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B9D05" w14:textId="70181CD7" w:rsidR="006D057C" w:rsidRDefault="00380F6F" w:rsidP="00BE38AE">
      <w:pPr>
        <w:pStyle w:val="Heading1"/>
        <w:jc w:val="center"/>
        <w:rPr>
          <w:lang w:val="en-US"/>
        </w:rPr>
      </w:pPr>
      <w:r w:rsidRPr="00FD68F0">
        <w:rPr>
          <w:rFonts w:ascii="Calibri Light" w:eastAsia="Times New Roman" w:hAnsi="Calibri Light" w:cs="Times New Roman"/>
          <w:color w:val="2F5496"/>
        </w:rPr>
        <w:t>Pacific Ocean tuna - longline (Bumble Bee</w:t>
      </w:r>
      <w:r>
        <w:rPr>
          <w:rFonts w:ascii="Calibri Light" w:eastAsia="Times New Roman" w:hAnsi="Calibri Light" w:cs="Times New Roman"/>
          <w:color w:val="2F5496"/>
        </w:rPr>
        <w:t>/</w:t>
      </w:r>
      <w:r w:rsidRPr="00FD68F0">
        <w:rPr>
          <w:rFonts w:ascii="Calibri Light" w:eastAsia="Times New Roman" w:hAnsi="Calibri Light" w:cs="Times New Roman"/>
          <w:color w:val="2F5496"/>
        </w:rPr>
        <w:t xml:space="preserve">FCF Co., Ltd) </w:t>
      </w:r>
      <w:r w:rsidR="00BE38AE" w:rsidRPr="00BE38AE">
        <w:rPr>
          <w:lang w:val="en-US"/>
        </w:rPr>
        <w:t>FIP</w:t>
      </w:r>
      <w:r w:rsidR="00BE38AE">
        <w:rPr>
          <w:lang w:val="en-US"/>
        </w:rPr>
        <w:t xml:space="preserve"> </w:t>
      </w:r>
      <w:r w:rsidR="006D057C" w:rsidRPr="00793F62">
        <w:rPr>
          <w:lang w:val="en-US"/>
        </w:rPr>
        <w:t xml:space="preserve">Position Statement </w:t>
      </w:r>
      <w:r w:rsidR="00BE38AE">
        <w:rPr>
          <w:lang w:val="en-US"/>
        </w:rPr>
        <w:t>f</w:t>
      </w:r>
      <w:r w:rsidR="006D057C" w:rsidRPr="00793F62">
        <w:rPr>
          <w:lang w:val="en-US"/>
        </w:rPr>
        <w:t>or</w:t>
      </w:r>
      <w:r w:rsidR="00BE38AE">
        <w:rPr>
          <w:lang w:val="en-US"/>
        </w:rPr>
        <w:t xml:space="preserve"> </w:t>
      </w:r>
      <w:r w:rsidR="008D38BB">
        <w:rPr>
          <w:lang w:val="en-US"/>
        </w:rPr>
        <w:t>WCPFC</w:t>
      </w:r>
      <w:r w:rsidR="006D057C">
        <w:rPr>
          <w:lang w:val="en-US"/>
        </w:rPr>
        <w:t xml:space="preserve"> 202</w:t>
      </w:r>
      <w:r w:rsidR="00F5106F">
        <w:rPr>
          <w:lang w:val="en-US"/>
        </w:rPr>
        <w:t>2</w:t>
      </w:r>
    </w:p>
    <w:p w14:paraId="10F3A37C" w14:textId="77777777" w:rsidR="006D057C" w:rsidRPr="008617C0" w:rsidRDefault="006D057C" w:rsidP="006D057C">
      <w:pPr>
        <w:spacing w:line="276" w:lineRule="auto"/>
        <w:rPr>
          <w:lang w:val="en-US"/>
        </w:rPr>
      </w:pPr>
    </w:p>
    <w:p w14:paraId="4037F0D9" w14:textId="649B5784" w:rsidR="00DB6582" w:rsidRPr="00DB6582" w:rsidRDefault="006D057C" w:rsidP="006B6EA1">
      <w:pPr>
        <w:pStyle w:val="Heading3"/>
        <w:spacing w:after="240" w:line="276" w:lineRule="auto"/>
        <w:jc w:val="center"/>
        <w:rPr>
          <w:lang w:val="en-US"/>
        </w:rPr>
      </w:pPr>
      <w:r>
        <w:rPr>
          <w:lang w:val="en-US"/>
        </w:rPr>
        <w:t xml:space="preserve">Drafted with agreement from all FIP Participants </w:t>
      </w:r>
      <w:r w:rsidR="00DB6582">
        <w:rPr>
          <w:lang w:val="en-US"/>
        </w:rPr>
        <w:t>–</w:t>
      </w:r>
      <w:r>
        <w:rPr>
          <w:lang w:val="en-US"/>
        </w:rPr>
        <w:t xml:space="preserve"> </w:t>
      </w:r>
      <w:r w:rsidR="00DB6582">
        <w:rPr>
          <w:lang w:val="en-US"/>
        </w:rPr>
        <w:t>November 202</w:t>
      </w:r>
      <w:r w:rsidR="00F5106F">
        <w:rPr>
          <w:lang w:val="en-US"/>
        </w:rPr>
        <w:t>2</w:t>
      </w:r>
    </w:p>
    <w:p w14:paraId="05B65D0D" w14:textId="62DDFD1F" w:rsidR="00DB6582" w:rsidRDefault="00DB6582" w:rsidP="001B65D3">
      <w:pPr>
        <w:spacing w:line="276" w:lineRule="auto"/>
        <w:jc w:val="both"/>
      </w:pPr>
      <w:r w:rsidRPr="00DB6582">
        <w:rPr>
          <w:b/>
          <w:bCs/>
        </w:rPr>
        <w:t xml:space="preserve">ATTN: </w:t>
      </w:r>
      <w:r w:rsidR="008D38BB">
        <w:rPr>
          <w:b/>
          <w:bCs/>
        </w:rPr>
        <w:t>WCPFC and delegates</w:t>
      </w:r>
      <w:r>
        <w:t xml:space="preserve"> </w:t>
      </w:r>
    </w:p>
    <w:p w14:paraId="429463BB" w14:textId="77777777" w:rsidR="00380F6F" w:rsidRPr="00380F6F" w:rsidRDefault="00380F6F" w:rsidP="00380F6F">
      <w:pPr>
        <w:spacing w:line="276" w:lineRule="auto"/>
        <w:jc w:val="both"/>
      </w:pPr>
      <w:r w:rsidRPr="00380F6F">
        <w:rPr>
          <w:lang w:val="en-US"/>
        </w:rPr>
        <w:t xml:space="preserve">We are writing on behalf </w:t>
      </w:r>
      <w:hyperlink r:id="rId8" w:history="1">
        <w:r w:rsidRPr="00380F6F">
          <w:rPr>
            <w:rStyle w:val="Hyperlink"/>
            <w:lang w:val="en-US"/>
          </w:rPr>
          <w:t>of Pacific Ocean tuna - longline (Bumble Bee/FCF Co., Ltd) FIP</w:t>
        </w:r>
      </w:hyperlink>
      <w:r w:rsidRPr="00380F6F">
        <w:rPr>
          <w:lang w:val="en-US"/>
        </w:rPr>
        <w:t xml:space="preserve"> in support of urgently needed tuna management measures in the Pacific Ocean, a region for which your delegation serves as an important leader as a member of the Western and Central Pacific Fisheries Commission (WCPFC). This FIP involves longline vessels that</w:t>
      </w:r>
      <w:r w:rsidRPr="00380F6F">
        <w:t xml:space="preserve"> targets albacore (</w:t>
      </w:r>
      <w:r w:rsidRPr="00380F6F">
        <w:rPr>
          <w:i/>
          <w:iCs/>
        </w:rPr>
        <w:t>Thunnus alalunga</w:t>
      </w:r>
      <w:r w:rsidRPr="00380F6F">
        <w:t>), bigeye (</w:t>
      </w:r>
      <w:r w:rsidRPr="00380F6F">
        <w:rPr>
          <w:i/>
          <w:iCs/>
        </w:rPr>
        <w:t>Thunnus obesus</w:t>
      </w:r>
      <w:r w:rsidRPr="00380F6F">
        <w:t>) and yellowfin tuna (</w:t>
      </w:r>
      <w:r w:rsidRPr="00380F6F">
        <w:rPr>
          <w:i/>
          <w:iCs/>
        </w:rPr>
        <w:t>Thunnus albacares</w:t>
      </w:r>
      <w:r w:rsidRPr="00380F6F">
        <w:t xml:space="preserve">). These longline vessels are flagged to China, Taiwan, Fiji, Vanuatu and Panama and fish on the high seas and within the EEZs of Samoa, the USA (American Samoa), members of the Parties to the Nauru Agreement (including the Federated States of Micronesia, Kiribati, Papua New Guinea, and Tuvalu), Tonga, Fiji, Vanuatu, Solomon Islands, and the Cook Islands. The fishery is managed regionally the Western and Central Pacific Fisheries Commission (WCPFC) and the Inter American Tropical Tuna Commission (IATTC). This FIP aims to meet the rising global demand for tuna in a sustainable manner by assuring catches do not exceed sustainable levels, promoting an ecosystem-based approach to fisheries management and strengthening policy and governance systems in the region. The end goal is to achieve certification under the </w:t>
      </w:r>
      <w:hyperlink r:id="rId9" w:history="1">
        <w:r w:rsidRPr="00380F6F">
          <w:rPr>
            <w:rStyle w:val="Hyperlink"/>
            <w:lang w:val="en-US"/>
          </w:rPr>
          <w:t>Marine Stewardship Council</w:t>
        </w:r>
      </w:hyperlink>
      <w:r w:rsidRPr="00380F6F">
        <w:rPr>
          <w:lang w:val="en-US"/>
        </w:rPr>
        <w:t xml:space="preserve"> (MSC) </w:t>
      </w:r>
      <w:r w:rsidRPr="00380F6F">
        <w:t>Fisheries Standard by 2024.</w:t>
      </w:r>
    </w:p>
    <w:p w14:paraId="120E41C9" w14:textId="59D4698A" w:rsidR="006B6EA1" w:rsidRDefault="001427A0" w:rsidP="001B65D3">
      <w:pPr>
        <w:spacing w:line="276" w:lineRule="auto"/>
        <w:jc w:val="both"/>
      </w:pPr>
      <w:r>
        <w:t xml:space="preserve">The vessel owners and industry participants of the FIP submit this letter to request additional support from CCMs for the measures that will further tuna conservation at the Commission meeting beginning 27 </w:t>
      </w:r>
      <w:r w:rsidR="000E7121">
        <w:t>November</w:t>
      </w:r>
      <w:r>
        <w:t xml:space="preserve"> 2022. </w:t>
      </w:r>
      <w:r w:rsidR="003601C8">
        <w:t>There</w:t>
      </w:r>
      <w:r w:rsidR="00DB6582">
        <w:t xml:space="preserve"> are several critical measures and issues that require immediate attention by</w:t>
      </w:r>
      <w:r w:rsidR="008D38BB">
        <w:t xml:space="preserve"> the WCPFC </w:t>
      </w:r>
      <w:r w:rsidR="00DB6582">
        <w:t>this year, and others that need to be advanced in 202</w:t>
      </w:r>
      <w:r w:rsidR="0069740F">
        <w:t>3</w:t>
      </w:r>
      <w:r w:rsidR="00DB6582">
        <w:t xml:space="preserve">. We strongly urge </w:t>
      </w:r>
      <w:r>
        <w:t>WCPFC</w:t>
      </w:r>
      <w:r w:rsidR="00DB6582">
        <w:t xml:space="preserve"> acts in November 202</w:t>
      </w:r>
      <w:r w:rsidR="0069740F">
        <w:t>2</w:t>
      </w:r>
      <w:r w:rsidR="00DB6582">
        <w:t xml:space="preserve"> to ensure that Recommendations that are about to partially or fully expire, continue to be effective in 202</w:t>
      </w:r>
      <w:r w:rsidR="0069740F">
        <w:t>3</w:t>
      </w:r>
      <w:r w:rsidR="00DB6582">
        <w:t xml:space="preserve">. Other priority issues are listed below: </w:t>
      </w:r>
    </w:p>
    <w:p w14:paraId="0A1609A3" w14:textId="77777777" w:rsidR="006B6EA1" w:rsidRPr="006B6EA1" w:rsidRDefault="00DB6582" w:rsidP="001B65D3">
      <w:pPr>
        <w:spacing w:line="276" w:lineRule="auto"/>
        <w:jc w:val="both"/>
        <w:rPr>
          <w:b/>
          <w:bCs/>
        </w:rPr>
      </w:pPr>
      <w:r w:rsidRPr="006B6EA1">
        <w:rPr>
          <w:b/>
          <w:bCs/>
        </w:rPr>
        <w:t xml:space="preserve">Management measures for tropical tunas </w:t>
      </w:r>
    </w:p>
    <w:p w14:paraId="255E981C" w14:textId="55414657" w:rsidR="001427A0" w:rsidRDefault="008A3176" w:rsidP="001B65D3">
      <w:pPr>
        <w:pStyle w:val="ListParagraph"/>
        <w:numPr>
          <w:ilvl w:val="0"/>
          <w:numId w:val="10"/>
        </w:numPr>
        <w:spacing w:line="276" w:lineRule="auto"/>
        <w:ind w:left="714" w:hanging="357"/>
        <w:contextualSpacing w:val="0"/>
        <w:jc w:val="both"/>
      </w:pPr>
      <w:r>
        <w:t>Continue to s</w:t>
      </w:r>
      <w:r w:rsidR="001427A0">
        <w:t xml:space="preserve">upport and endorse further implementation of </w:t>
      </w:r>
      <w:r w:rsidR="001427A0">
        <w:rPr>
          <w:i/>
          <w:iCs/>
        </w:rPr>
        <w:t xml:space="preserve">CMM </w:t>
      </w:r>
      <w:r>
        <w:rPr>
          <w:i/>
          <w:iCs/>
        </w:rPr>
        <w:t xml:space="preserve">2021-01 </w:t>
      </w:r>
      <w:r>
        <w:t>in an effort to improve the harvest strategies for tropical tuna species.</w:t>
      </w:r>
    </w:p>
    <w:p w14:paraId="24F781AB" w14:textId="0BF12859" w:rsidR="001B65D3" w:rsidRPr="001B65D3" w:rsidRDefault="001B65D3" w:rsidP="001B65D3">
      <w:pPr>
        <w:numPr>
          <w:ilvl w:val="0"/>
          <w:numId w:val="10"/>
        </w:numPr>
        <w:pBdr>
          <w:top w:val="nil"/>
          <w:left w:val="nil"/>
          <w:bottom w:val="nil"/>
          <w:right w:val="nil"/>
          <w:between w:val="nil"/>
        </w:pBdr>
        <w:spacing w:line="276" w:lineRule="auto"/>
        <w:ind w:left="714" w:hanging="357"/>
        <w:rPr>
          <w:color w:val="000000"/>
        </w:rPr>
      </w:pPr>
      <w:r w:rsidRPr="001B65D3">
        <w:rPr>
          <w:color w:val="000000"/>
        </w:rPr>
        <w:t>Establish precautionary target reference points (TRPs) for bigeye and yellowfin tunas and re-establish an agreed precautionary TRP for skipjack.</w:t>
      </w:r>
    </w:p>
    <w:p w14:paraId="46363ADD" w14:textId="77777777" w:rsidR="001B65D3" w:rsidRPr="001B65D3" w:rsidRDefault="001B65D3" w:rsidP="001B65D3">
      <w:pPr>
        <w:numPr>
          <w:ilvl w:val="0"/>
          <w:numId w:val="10"/>
        </w:numPr>
        <w:pBdr>
          <w:top w:val="nil"/>
          <w:left w:val="nil"/>
          <w:bottom w:val="nil"/>
          <w:right w:val="nil"/>
          <w:between w:val="nil"/>
        </w:pBdr>
        <w:spacing w:line="276" w:lineRule="auto"/>
        <w:ind w:left="714" w:hanging="357"/>
        <w:rPr>
          <w:color w:val="000000"/>
        </w:rPr>
      </w:pPr>
      <w:r w:rsidRPr="001B65D3">
        <w:rPr>
          <w:color w:val="000000"/>
        </w:rPr>
        <w:t>Endorse the continued development and implementation of limit reference points (LRPs) and TRPs for proper management of all stocks, including sharks as a priority.</w:t>
      </w:r>
    </w:p>
    <w:p w14:paraId="297CFD8A" w14:textId="77777777" w:rsidR="001B65D3" w:rsidRPr="001B65D3" w:rsidRDefault="001B65D3" w:rsidP="001B65D3">
      <w:pPr>
        <w:numPr>
          <w:ilvl w:val="0"/>
          <w:numId w:val="10"/>
        </w:numPr>
        <w:pBdr>
          <w:top w:val="nil"/>
          <w:left w:val="nil"/>
          <w:bottom w:val="nil"/>
          <w:right w:val="nil"/>
          <w:between w:val="nil"/>
        </w:pBdr>
        <w:spacing w:line="276" w:lineRule="auto"/>
        <w:ind w:left="714" w:hanging="357"/>
        <w:rPr>
          <w:color w:val="000000"/>
        </w:rPr>
      </w:pPr>
      <w:r w:rsidRPr="001B65D3">
        <w:rPr>
          <w:color w:val="000000"/>
        </w:rPr>
        <w:t xml:space="preserve">Adopt a </w:t>
      </w:r>
      <w:sdt>
        <w:sdtPr>
          <w:rPr>
            <w:sz w:val="24"/>
            <w:szCs w:val="24"/>
          </w:rPr>
          <w:tag w:val="goog_rdk_0"/>
          <w:id w:val="507875503"/>
        </w:sdtPr>
        <w:sdtContent/>
      </w:sdt>
      <w:r w:rsidRPr="001B65D3">
        <w:rPr>
          <w:color w:val="000000"/>
        </w:rPr>
        <w:t>harvest control rule (HRC)/management pro</w:t>
      </w:r>
      <w:r w:rsidRPr="001B65D3">
        <w:t>cedure (MP)</w:t>
      </w:r>
      <w:r w:rsidRPr="001B65D3">
        <w:rPr>
          <w:color w:val="000000"/>
        </w:rPr>
        <w:t xml:space="preserve"> for the skipjack purse seine fishery.</w:t>
      </w:r>
    </w:p>
    <w:p w14:paraId="6EADBB87" w14:textId="2E2545EC" w:rsidR="001B65D3" w:rsidRDefault="001B65D3" w:rsidP="001B65D3">
      <w:pPr>
        <w:spacing w:line="276" w:lineRule="auto"/>
        <w:jc w:val="both"/>
        <w:rPr>
          <w:b/>
          <w:bCs/>
        </w:rPr>
      </w:pPr>
      <w:r w:rsidRPr="001B65D3">
        <w:rPr>
          <w:b/>
          <w:bCs/>
        </w:rPr>
        <w:t>FAD management best practices</w:t>
      </w:r>
    </w:p>
    <w:p w14:paraId="66F84713" w14:textId="27FFB9B8" w:rsidR="001B65D3" w:rsidRPr="001B65D3" w:rsidRDefault="001B65D3" w:rsidP="001B65D3">
      <w:pPr>
        <w:pStyle w:val="ListParagraph"/>
        <w:numPr>
          <w:ilvl w:val="0"/>
          <w:numId w:val="13"/>
        </w:numPr>
        <w:spacing w:line="276" w:lineRule="auto"/>
        <w:contextualSpacing w:val="0"/>
        <w:jc w:val="both"/>
        <w:rPr>
          <w:b/>
          <w:bCs/>
        </w:rPr>
      </w:pPr>
      <w:r>
        <w:t>A clear timeframe for the transition to biodegradable FADs (BioFADs)</w:t>
      </w:r>
      <w:r w:rsidR="00D07537">
        <w:t>.</w:t>
      </w:r>
    </w:p>
    <w:p w14:paraId="333B24EF" w14:textId="60304F4B" w:rsidR="001B65D3" w:rsidRPr="001B65D3" w:rsidRDefault="001B65D3" w:rsidP="001B65D3">
      <w:pPr>
        <w:pStyle w:val="ListParagraph"/>
        <w:numPr>
          <w:ilvl w:val="0"/>
          <w:numId w:val="13"/>
        </w:numPr>
        <w:spacing w:line="276" w:lineRule="auto"/>
        <w:contextualSpacing w:val="0"/>
        <w:jc w:val="both"/>
        <w:rPr>
          <w:b/>
          <w:bCs/>
        </w:rPr>
      </w:pPr>
      <w:r>
        <w:lastRenderedPageBreak/>
        <w:t>A requirement for vessels to provide complete FAD position data and acoustic records from echosounder buoys (with time delay)</w:t>
      </w:r>
      <w:r w:rsidR="00D07537">
        <w:t>.</w:t>
      </w:r>
    </w:p>
    <w:p w14:paraId="1F8FA678" w14:textId="2DC0C75C" w:rsidR="001B65D3" w:rsidRPr="001B65D3" w:rsidRDefault="001B65D3" w:rsidP="001B65D3">
      <w:pPr>
        <w:pStyle w:val="ListParagraph"/>
        <w:numPr>
          <w:ilvl w:val="0"/>
          <w:numId w:val="13"/>
        </w:numPr>
        <w:spacing w:line="276" w:lineRule="auto"/>
        <w:contextualSpacing w:val="0"/>
        <w:jc w:val="both"/>
        <w:rPr>
          <w:b/>
          <w:bCs/>
        </w:rPr>
      </w:pPr>
      <w:r>
        <w:t>Develop a FAD retrieval and recovery program, in which fisheries are educated and trained to understand the appropriate ways to reduce FAD loss and pollution</w:t>
      </w:r>
      <w:r w:rsidR="00D07537">
        <w:t>.</w:t>
      </w:r>
    </w:p>
    <w:p w14:paraId="50E2DAF5" w14:textId="1CD93912" w:rsidR="001B65D3" w:rsidRPr="001B65D3" w:rsidRDefault="001B65D3" w:rsidP="001B65D3">
      <w:pPr>
        <w:pStyle w:val="ListParagraph"/>
        <w:numPr>
          <w:ilvl w:val="0"/>
          <w:numId w:val="13"/>
        </w:numPr>
        <w:spacing w:line="276" w:lineRule="auto"/>
        <w:contextualSpacing w:val="0"/>
        <w:jc w:val="both"/>
        <w:rPr>
          <w:b/>
          <w:bCs/>
        </w:rPr>
      </w:pPr>
      <w:r>
        <w:t>Refine FAD ownership rules, and develop a workplan to adopt FAD marking schemes</w:t>
      </w:r>
      <w:r w:rsidR="00D07537">
        <w:t>.</w:t>
      </w:r>
    </w:p>
    <w:p w14:paraId="0C1B290A" w14:textId="77777777" w:rsidR="00E9771D" w:rsidRDefault="00E9771D" w:rsidP="001B65D3">
      <w:pPr>
        <w:spacing w:line="276" w:lineRule="auto"/>
        <w:jc w:val="both"/>
        <w:rPr>
          <w:b/>
          <w:bCs/>
        </w:rPr>
      </w:pPr>
    </w:p>
    <w:p w14:paraId="082036D8" w14:textId="45B000CA" w:rsidR="001427A0" w:rsidRDefault="00D07537" w:rsidP="001B65D3">
      <w:pPr>
        <w:spacing w:line="276" w:lineRule="auto"/>
        <w:jc w:val="both"/>
        <w:rPr>
          <w:b/>
          <w:bCs/>
        </w:rPr>
      </w:pPr>
      <w:r>
        <w:rPr>
          <w:b/>
          <w:bCs/>
        </w:rPr>
        <w:t>Effective and fair enforcement</w:t>
      </w:r>
    </w:p>
    <w:p w14:paraId="32B2C716" w14:textId="06F2A9A9" w:rsidR="00D07537" w:rsidRDefault="00D07537" w:rsidP="00D07537">
      <w:pPr>
        <w:pStyle w:val="ListParagraph"/>
        <w:numPr>
          <w:ilvl w:val="0"/>
          <w:numId w:val="14"/>
        </w:numPr>
        <w:spacing w:line="276" w:lineRule="auto"/>
        <w:jc w:val="both"/>
      </w:pPr>
      <w:r>
        <w:t>Further review of the transshipment regulation and adopt substantiative improvements to curtail opportunities for IUU fishing, trafficking, and labour abuses such as:</w:t>
      </w:r>
    </w:p>
    <w:p w14:paraId="26637829" w14:textId="7DCF5A3E" w:rsidR="00D07537" w:rsidRDefault="00D07537" w:rsidP="00D07537">
      <w:pPr>
        <w:pStyle w:val="ListParagraph"/>
        <w:numPr>
          <w:ilvl w:val="1"/>
          <w:numId w:val="14"/>
        </w:numPr>
        <w:spacing w:line="276" w:lineRule="auto"/>
        <w:jc w:val="both"/>
      </w:pPr>
      <w:r>
        <w:t>100% observer coverage on all vessels engaged in at-sea transshipment;</w:t>
      </w:r>
    </w:p>
    <w:p w14:paraId="16C5FC0E" w14:textId="5C6DC511" w:rsidR="00D07537" w:rsidRDefault="00D07537" w:rsidP="00D07537">
      <w:pPr>
        <w:pStyle w:val="ListParagraph"/>
        <w:numPr>
          <w:ilvl w:val="1"/>
          <w:numId w:val="14"/>
        </w:numPr>
        <w:spacing w:line="276" w:lineRule="auto"/>
        <w:jc w:val="both"/>
      </w:pPr>
      <w:r>
        <w:t>Required reporting of all transshipment activity; and</w:t>
      </w:r>
    </w:p>
    <w:p w14:paraId="7A2E100A" w14:textId="546F2B80" w:rsidR="00D07537" w:rsidRDefault="00D07537" w:rsidP="00D07537">
      <w:pPr>
        <w:pStyle w:val="ListParagraph"/>
        <w:numPr>
          <w:ilvl w:val="1"/>
          <w:numId w:val="14"/>
        </w:numPr>
        <w:spacing w:line="276" w:lineRule="auto"/>
        <w:jc w:val="both"/>
      </w:pPr>
      <w:r>
        <w:t>The development and application of technologies for verification of transshipment activities.</w:t>
      </w:r>
    </w:p>
    <w:p w14:paraId="47E49DAC" w14:textId="5165A89E" w:rsidR="00D07537" w:rsidRDefault="00D07537" w:rsidP="00D07537">
      <w:pPr>
        <w:spacing w:line="276" w:lineRule="auto"/>
        <w:jc w:val="both"/>
      </w:pPr>
      <w:r>
        <w:rPr>
          <w:b/>
          <w:bCs/>
        </w:rPr>
        <w:t>Data quality and quantity</w:t>
      </w:r>
    </w:p>
    <w:p w14:paraId="4402A950" w14:textId="15B43291" w:rsidR="00D07537" w:rsidRDefault="00D07537" w:rsidP="00D07537">
      <w:pPr>
        <w:pStyle w:val="ListParagraph"/>
        <w:numPr>
          <w:ilvl w:val="0"/>
          <w:numId w:val="14"/>
        </w:numPr>
        <w:spacing w:line="276" w:lineRule="auto"/>
        <w:jc w:val="both"/>
      </w:pPr>
      <w:r>
        <w:t>We support the program to increase knowledge and understanding of the ways that fisheries can minimise the mortality rates of juvenile bigeye and yellowfin tuna.</w:t>
      </w:r>
    </w:p>
    <w:p w14:paraId="3D04AA96" w14:textId="5E7D14FF" w:rsidR="00D07537" w:rsidRDefault="00D07537" w:rsidP="00D07537">
      <w:pPr>
        <w:pStyle w:val="ListParagraph"/>
        <w:numPr>
          <w:ilvl w:val="0"/>
          <w:numId w:val="14"/>
        </w:numPr>
        <w:spacing w:line="276" w:lineRule="auto"/>
        <w:jc w:val="both"/>
      </w:pPr>
      <w:r>
        <w:t>Require that there is 100% human observer coverage across all purse seine vessels by 2026.</w:t>
      </w:r>
    </w:p>
    <w:p w14:paraId="7F9B5F1D" w14:textId="40A6B82D" w:rsidR="00D07537" w:rsidRPr="00D07537" w:rsidRDefault="00D07537" w:rsidP="00D07537">
      <w:pPr>
        <w:pStyle w:val="ListParagraph"/>
        <w:numPr>
          <w:ilvl w:val="0"/>
          <w:numId w:val="14"/>
        </w:numPr>
        <w:spacing w:line="276" w:lineRule="auto"/>
        <w:jc w:val="both"/>
      </w:pPr>
      <w:r>
        <w:t>Adopt best practices in electronic monitoring (EM) and electronic reporting (ER)</w:t>
      </w:r>
      <w:r w:rsidR="00F656AC">
        <w:t xml:space="preserve"> standards, including ER logbooks.</w:t>
      </w:r>
    </w:p>
    <w:p w14:paraId="211199FE" w14:textId="77777777" w:rsidR="00380F6F" w:rsidRDefault="00380F6F" w:rsidP="001B65D3">
      <w:pPr>
        <w:spacing w:line="276" w:lineRule="auto"/>
        <w:jc w:val="both"/>
      </w:pPr>
    </w:p>
    <w:p w14:paraId="3A3F3EB0" w14:textId="6B8E919E" w:rsidR="006B6EA1" w:rsidRDefault="006B6EA1" w:rsidP="001B65D3">
      <w:pPr>
        <w:spacing w:line="276" w:lineRule="auto"/>
        <w:jc w:val="both"/>
      </w:pPr>
      <w:r>
        <w:t xml:space="preserve">For any further information, please contact the FIP </w:t>
      </w:r>
      <w:r w:rsidR="0099573A">
        <w:t>lead</w:t>
      </w:r>
      <w:r>
        <w:t xml:space="preserve"> </w:t>
      </w:r>
      <w:r w:rsidR="0099573A">
        <w:t>Tom Evans</w:t>
      </w:r>
      <w:r>
        <w:t xml:space="preserve"> at:</w:t>
      </w:r>
    </w:p>
    <w:p w14:paraId="71E6587E" w14:textId="199B902A" w:rsidR="00D10908" w:rsidRPr="00FE5ACB" w:rsidRDefault="00000000" w:rsidP="0099573A">
      <w:pPr>
        <w:spacing w:line="276" w:lineRule="auto"/>
        <w:jc w:val="both"/>
        <w:rPr>
          <w:b/>
          <w:bCs/>
          <w:lang w:val="en-US"/>
        </w:rPr>
      </w:pPr>
      <w:hyperlink r:id="rId10" w:history="1">
        <w:r w:rsidR="0099573A" w:rsidRPr="00476AC8">
          <w:rPr>
            <w:rStyle w:val="Hyperlink"/>
          </w:rPr>
          <w:t>t.evans@keytraceability.com</w:t>
        </w:r>
      </w:hyperlink>
      <w:r w:rsidR="0099573A">
        <w:t xml:space="preserve"> </w:t>
      </w:r>
    </w:p>
    <w:sectPr w:rsidR="00D10908" w:rsidRPr="00FE5ACB" w:rsidSect="00BE38AE">
      <w:headerReference w:type="default" r:id="rId11"/>
      <w:footerReference w:type="default" r:id="rId12"/>
      <w:pgSz w:w="11906" w:h="16838"/>
      <w:pgMar w:top="1276"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11D10" w14:textId="77777777" w:rsidR="002359F2" w:rsidRDefault="002359F2" w:rsidP="006D057C">
      <w:pPr>
        <w:spacing w:after="0" w:line="240" w:lineRule="auto"/>
      </w:pPr>
      <w:r>
        <w:separator/>
      </w:r>
    </w:p>
  </w:endnote>
  <w:endnote w:type="continuationSeparator" w:id="0">
    <w:p w14:paraId="7474E9FB" w14:textId="77777777" w:rsidR="002359F2" w:rsidRDefault="002359F2" w:rsidP="006D0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561842"/>
      <w:docPartObj>
        <w:docPartGallery w:val="Page Numbers (Bottom of Page)"/>
        <w:docPartUnique/>
      </w:docPartObj>
    </w:sdtPr>
    <w:sdtEndPr>
      <w:rPr>
        <w:rFonts w:ascii="Segoe UI" w:hAnsi="Segoe UI" w:cs="Segoe UI"/>
        <w:noProof/>
        <w:sz w:val="18"/>
      </w:rPr>
    </w:sdtEndPr>
    <w:sdtContent>
      <w:p w14:paraId="5C0B78DE" w14:textId="77777777" w:rsidR="00563231" w:rsidRDefault="00563231" w:rsidP="00B558BE">
        <w:pPr>
          <w:pStyle w:val="Footer"/>
          <w:jc w:val="center"/>
        </w:pPr>
      </w:p>
      <w:p w14:paraId="59FEE4B5" w14:textId="70BB49CF" w:rsidR="00B558BE" w:rsidRPr="00E040BD" w:rsidRDefault="00935724" w:rsidP="00B558BE">
        <w:pPr>
          <w:pStyle w:val="Footer"/>
          <w:jc w:val="center"/>
          <w:rPr>
            <w:sz w:val="18"/>
          </w:rPr>
        </w:pPr>
        <w:r>
          <w:rPr>
            <w:noProof/>
            <w:sz w:val="18"/>
            <w:lang w:eastAsia="zh-CN"/>
          </w:rPr>
          <mc:AlternateContent>
            <mc:Choice Requires="wps">
              <w:drawing>
                <wp:anchor distT="0" distB="0" distL="114300" distR="114300" simplePos="0" relativeHeight="251660288" behindDoc="0" locked="0" layoutInCell="1" allowOverlap="1" wp14:anchorId="7F2A891E" wp14:editId="1DDB303F">
                  <wp:simplePos x="0" y="0"/>
                  <wp:positionH relativeFrom="column">
                    <wp:posOffset>-551724</wp:posOffset>
                  </wp:positionH>
                  <wp:positionV relativeFrom="paragraph">
                    <wp:posOffset>104140</wp:posOffset>
                  </wp:positionV>
                  <wp:extent cx="914400" cy="370114"/>
                  <wp:effectExtent l="0" t="0" r="2540" b="0"/>
                  <wp:wrapNone/>
                  <wp:docPr id="7" name="Text Box 7"/>
                  <wp:cNvGraphicFramePr/>
                  <a:graphic xmlns:a="http://schemas.openxmlformats.org/drawingml/2006/main">
                    <a:graphicData uri="http://schemas.microsoft.com/office/word/2010/wordprocessingShape">
                      <wps:wsp>
                        <wps:cNvSpPr txBox="1"/>
                        <wps:spPr>
                          <a:xfrm>
                            <a:off x="0" y="0"/>
                            <a:ext cx="914400" cy="370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B13E8B" w14:textId="77777777" w:rsidR="00B558BE" w:rsidRPr="00D1033F" w:rsidRDefault="00935724" w:rsidP="00B558BE">
                              <w:pPr>
                                <w:rPr>
                                  <w:sz w:val="18"/>
                                  <w:szCs w:val="18"/>
                                </w:rPr>
                              </w:pPr>
                              <w:r w:rsidRPr="00D1033F">
                                <w:rPr>
                                  <w:sz w:val="18"/>
                                  <w:szCs w:val="18"/>
                                </w:rPr>
                                <w:t xml:space="preserve">Page </w:t>
                              </w:r>
                              <w:r w:rsidRPr="00D1033F">
                                <w:rPr>
                                  <w:b/>
                                  <w:sz w:val="18"/>
                                  <w:szCs w:val="18"/>
                                </w:rPr>
                                <w:fldChar w:fldCharType="begin"/>
                              </w:r>
                              <w:r w:rsidRPr="00D1033F">
                                <w:rPr>
                                  <w:b/>
                                  <w:sz w:val="18"/>
                                  <w:szCs w:val="18"/>
                                </w:rPr>
                                <w:instrText xml:space="preserve"> PAGE  \* Arabic  \* MERGEFORMAT </w:instrText>
                              </w:r>
                              <w:r w:rsidRPr="00D1033F">
                                <w:rPr>
                                  <w:b/>
                                  <w:sz w:val="18"/>
                                  <w:szCs w:val="18"/>
                                </w:rPr>
                                <w:fldChar w:fldCharType="separate"/>
                              </w:r>
                              <w:r>
                                <w:rPr>
                                  <w:b/>
                                  <w:noProof/>
                                  <w:sz w:val="18"/>
                                  <w:szCs w:val="18"/>
                                </w:rPr>
                                <w:t>1</w:t>
                              </w:r>
                              <w:r w:rsidRPr="00D1033F">
                                <w:rPr>
                                  <w:b/>
                                  <w:sz w:val="18"/>
                                  <w:szCs w:val="18"/>
                                </w:rPr>
                                <w:fldChar w:fldCharType="end"/>
                              </w:r>
                              <w:r w:rsidRPr="00D1033F">
                                <w:rPr>
                                  <w:sz w:val="18"/>
                                  <w:szCs w:val="18"/>
                                </w:rPr>
                                <w:t xml:space="preserve"> of </w:t>
                              </w:r>
                              <w:r w:rsidRPr="00D1033F">
                                <w:rPr>
                                  <w:b/>
                                  <w:sz w:val="18"/>
                                  <w:szCs w:val="18"/>
                                </w:rPr>
                                <w:fldChar w:fldCharType="begin"/>
                              </w:r>
                              <w:r w:rsidRPr="00D1033F">
                                <w:rPr>
                                  <w:b/>
                                  <w:sz w:val="18"/>
                                  <w:szCs w:val="18"/>
                                </w:rPr>
                                <w:instrText xml:space="preserve"> NUMPAGES  \* Arabic  \* MERGEFORMAT </w:instrText>
                              </w:r>
                              <w:r w:rsidRPr="00D1033F">
                                <w:rPr>
                                  <w:b/>
                                  <w:sz w:val="18"/>
                                  <w:szCs w:val="18"/>
                                </w:rPr>
                                <w:fldChar w:fldCharType="separate"/>
                              </w:r>
                              <w:r>
                                <w:rPr>
                                  <w:b/>
                                  <w:noProof/>
                                  <w:sz w:val="18"/>
                                  <w:szCs w:val="18"/>
                                </w:rPr>
                                <w:t>4</w:t>
                              </w:r>
                              <w:r w:rsidRPr="00D1033F">
                                <w:rPr>
                                  <w:b/>
                                  <w:sz w:val="18"/>
                                  <w:szCs w:val="18"/>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2A891E" id="_x0000_t202" coordsize="21600,21600" o:spt="202" path="m,l,21600r21600,l21600,xe">
                  <v:stroke joinstyle="miter"/>
                  <v:path gradientshapeok="t" o:connecttype="rect"/>
                </v:shapetype>
                <v:shape id="Text Box 7" o:spid="_x0000_s1026" type="#_x0000_t202" style="position:absolute;left:0;text-align:left;margin-left:-43.45pt;margin-top:8.2pt;width:1in;height:29.1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" fillcolor="white [3201]" stroked="f" strokeweight=".5pt">
                  <v:textbox>
                    <w:txbxContent>
                      <w:p w14:paraId="45B13E8B" w14:textId="77777777" w:rsidR="00B558BE" w:rsidRPr="00D1033F" w:rsidRDefault="00935724" w:rsidP="00B558BE">
                        <w:pPr>
                          <w:rPr>
                            <w:sz w:val="18"/>
                            <w:szCs w:val="18"/>
                          </w:rPr>
                        </w:pPr>
                        <w:r w:rsidRPr="00D1033F">
                          <w:rPr>
                            <w:sz w:val="18"/>
                            <w:szCs w:val="18"/>
                          </w:rPr>
                          <w:t xml:space="preserve">Page </w:t>
                        </w:r>
                        <w:r w:rsidRPr="00D1033F">
                          <w:rPr>
                            <w:b/>
                            <w:sz w:val="18"/>
                            <w:szCs w:val="18"/>
                          </w:rPr>
                          <w:fldChar w:fldCharType="begin"/>
                        </w:r>
                        <w:r w:rsidRPr="00D1033F">
                          <w:rPr>
                            <w:b/>
                            <w:sz w:val="18"/>
                            <w:szCs w:val="18"/>
                          </w:rPr>
                          <w:instrText xml:space="preserve"> PAGE  \* Arabic  \* MERGEFORMAT </w:instrText>
                        </w:r>
                        <w:r w:rsidRPr="00D1033F">
                          <w:rPr>
                            <w:b/>
                            <w:sz w:val="18"/>
                            <w:szCs w:val="18"/>
                          </w:rPr>
                          <w:fldChar w:fldCharType="separate"/>
                        </w:r>
                        <w:r>
                          <w:rPr>
                            <w:b/>
                            <w:noProof/>
                            <w:sz w:val="18"/>
                            <w:szCs w:val="18"/>
                          </w:rPr>
                          <w:t>1</w:t>
                        </w:r>
                        <w:r w:rsidRPr="00D1033F">
                          <w:rPr>
                            <w:b/>
                            <w:sz w:val="18"/>
                            <w:szCs w:val="18"/>
                          </w:rPr>
                          <w:fldChar w:fldCharType="end"/>
                        </w:r>
                        <w:r w:rsidRPr="00D1033F">
                          <w:rPr>
                            <w:sz w:val="18"/>
                            <w:szCs w:val="18"/>
                          </w:rPr>
                          <w:t xml:space="preserve"> of </w:t>
                        </w:r>
                        <w:r w:rsidRPr="00D1033F">
                          <w:rPr>
                            <w:b/>
                            <w:sz w:val="18"/>
                            <w:szCs w:val="18"/>
                          </w:rPr>
                          <w:fldChar w:fldCharType="begin"/>
                        </w:r>
                        <w:r w:rsidRPr="00D1033F">
                          <w:rPr>
                            <w:b/>
                            <w:sz w:val="18"/>
                            <w:szCs w:val="18"/>
                          </w:rPr>
                          <w:instrText xml:space="preserve"> NUMPAGES  \* Arabic  \* MERGEFORMAT </w:instrText>
                        </w:r>
                        <w:r w:rsidRPr="00D1033F">
                          <w:rPr>
                            <w:b/>
                            <w:sz w:val="18"/>
                            <w:szCs w:val="18"/>
                          </w:rPr>
                          <w:fldChar w:fldCharType="separate"/>
                        </w:r>
                        <w:r>
                          <w:rPr>
                            <w:b/>
                            <w:noProof/>
                            <w:sz w:val="18"/>
                            <w:szCs w:val="18"/>
                          </w:rPr>
                          <w:t>4</w:t>
                        </w:r>
                        <w:r w:rsidRPr="00D1033F">
                          <w:rPr>
                            <w:b/>
                            <w:sz w:val="18"/>
                            <w:szCs w:val="18"/>
                          </w:rPr>
                          <w:fldChar w:fldCharType="end"/>
                        </w:r>
                      </w:p>
                    </w:txbxContent>
                  </v:textbox>
                </v:shape>
              </w:pict>
            </mc:Fallback>
          </mc:AlternateContent>
        </w:r>
        <w:r w:rsidRPr="00E040BD">
          <w:rPr>
            <w:sz w:val="18"/>
          </w:rPr>
          <w:t>Key Traceability Ltd. Company Registered in England, Number 9730288, VAT No. 257022718</w:t>
        </w:r>
      </w:p>
      <w:p w14:paraId="2298D5FD" w14:textId="77777777" w:rsidR="00B558BE" w:rsidRPr="00D1033F" w:rsidRDefault="00000000" w:rsidP="00D1033F">
        <w:pPr>
          <w:pStyle w:val="Footer"/>
          <w:jc w:val="center"/>
          <w:rPr>
            <w:rFonts w:ascii="Segoe UI" w:hAnsi="Segoe UI" w:cs="Segoe UI"/>
            <w:noProof/>
            <w:sz w:val="18"/>
          </w:rPr>
        </w:pPr>
        <w:hyperlink r:id="rId1" w:history="1">
          <w:r w:rsidR="00935724" w:rsidRPr="00E040BD">
            <w:rPr>
              <w:rStyle w:val="Hyperlink"/>
              <w:sz w:val="18"/>
            </w:rPr>
            <w:t>http://keytraceability.com/</w:t>
          </w:r>
        </w:hyperlink>
        <w:r w:rsidR="00935724" w:rsidRPr="00E040BD">
          <w:rPr>
            <w:sz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08993" w14:textId="77777777" w:rsidR="002359F2" w:rsidRDefault="002359F2" w:rsidP="006D057C">
      <w:pPr>
        <w:spacing w:after="0" w:line="240" w:lineRule="auto"/>
      </w:pPr>
      <w:r>
        <w:separator/>
      </w:r>
    </w:p>
  </w:footnote>
  <w:footnote w:type="continuationSeparator" w:id="0">
    <w:p w14:paraId="62AB1E8E" w14:textId="77777777" w:rsidR="002359F2" w:rsidRDefault="002359F2" w:rsidP="006D0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DC87" w14:textId="44576F88" w:rsidR="004F4C87" w:rsidRPr="00D1033F" w:rsidRDefault="00380F6F">
    <w:pPr>
      <w:pStyle w:val="Header"/>
      <w:rPr>
        <w:sz w:val="18"/>
        <w:szCs w:val="18"/>
      </w:rPr>
    </w:pPr>
    <w:r w:rsidRPr="001C1A5B">
      <w:rPr>
        <w:rFonts w:asciiTheme="majorHAnsi" w:hAnsiTheme="majorHAnsi" w:cstheme="majorHAnsi"/>
        <w:noProof/>
        <w:sz w:val="18"/>
        <w:szCs w:val="18"/>
      </w:rPr>
      <w:drawing>
        <wp:anchor distT="0" distB="0" distL="114300" distR="114300" simplePos="0" relativeHeight="251664384" behindDoc="0" locked="0" layoutInCell="1" allowOverlap="1" wp14:anchorId="64DF7DD4" wp14:editId="44D654D0">
          <wp:simplePos x="0" y="0"/>
          <wp:positionH relativeFrom="column">
            <wp:posOffset>2419350</wp:posOffset>
          </wp:positionH>
          <wp:positionV relativeFrom="paragraph">
            <wp:posOffset>-187960</wp:posOffset>
          </wp:positionV>
          <wp:extent cx="1333500" cy="485775"/>
          <wp:effectExtent l="0" t="0" r="0" b="0"/>
          <wp:wrapSquare wrapText="bothSides"/>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1A5B">
      <w:rPr>
        <w:rFonts w:asciiTheme="majorHAnsi" w:hAnsiTheme="majorHAnsi" w:cstheme="majorHAnsi"/>
        <w:noProof/>
        <w:sz w:val="18"/>
        <w:szCs w:val="18"/>
      </w:rPr>
      <w:drawing>
        <wp:anchor distT="0" distB="0" distL="114300" distR="114300" simplePos="0" relativeHeight="251663360" behindDoc="0" locked="0" layoutInCell="1" allowOverlap="1" wp14:anchorId="1D0584E9" wp14:editId="5B902B34">
          <wp:simplePos x="0" y="0"/>
          <wp:positionH relativeFrom="column">
            <wp:posOffset>0</wp:posOffset>
          </wp:positionH>
          <wp:positionV relativeFrom="paragraph">
            <wp:posOffset>-187960</wp:posOffset>
          </wp:positionV>
          <wp:extent cx="704850" cy="581025"/>
          <wp:effectExtent l="0" t="0" r="0" b="9525"/>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1A5B">
      <w:rPr>
        <w:rFonts w:asciiTheme="majorHAnsi" w:hAnsiTheme="majorHAnsi" w:cstheme="majorHAnsi"/>
        <w:noProof/>
        <w:sz w:val="18"/>
        <w:szCs w:val="18"/>
      </w:rPr>
      <w:drawing>
        <wp:anchor distT="0" distB="0" distL="114300" distR="114300" simplePos="0" relativeHeight="251662336" behindDoc="1" locked="0" layoutInCell="1" allowOverlap="1" wp14:anchorId="41388574" wp14:editId="60BB3638">
          <wp:simplePos x="0" y="0"/>
          <wp:positionH relativeFrom="page">
            <wp:posOffset>6191250</wp:posOffset>
          </wp:positionH>
          <wp:positionV relativeFrom="paragraph">
            <wp:posOffset>-330835</wp:posOffset>
          </wp:positionV>
          <wp:extent cx="1123950" cy="795020"/>
          <wp:effectExtent l="0" t="0" r="0" b="0"/>
          <wp:wrapTight wrapText="bothSides">
            <wp:wrapPolygon edited="0">
              <wp:start x="16108" y="2588"/>
              <wp:lineTo x="5858" y="3623"/>
              <wp:lineTo x="5125" y="4141"/>
              <wp:lineTo x="5125" y="11904"/>
              <wp:lineTo x="3661" y="18115"/>
              <wp:lineTo x="4027" y="18633"/>
              <wp:lineTo x="10617" y="19668"/>
              <wp:lineTo x="12081" y="19668"/>
              <wp:lineTo x="16475" y="18633"/>
              <wp:lineTo x="17573" y="16562"/>
              <wp:lineTo x="15742" y="11904"/>
              <wp:lineTo x="17573" y="4141"/>
              <wp:lineTo x="17573" y="2588"/>
              <wp:lineTo x="16108" y="2588"/>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3950" cy="795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6A41"/>
    <w:multiLevelType w:val="hybridMultilevel"/>
    <w:tmpl w:val="34982BE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 w15:restartNumberingAfterBreak="0">
    <w:nsid w:val="0C5E20E7"/>
    <w:multiLevelType w:val="hybridMultilevel"/>
    <w:tmpl w:val="D9EA6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5C169A"/>
    <w:multiLevelType w:val="hybridMultilevel"/>
    <w:tmpl w:val="92CE8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A0FFA"/>
    <w:multiLevelType w:val="hybridMultilevel"/>
    <w:tmpl w:val="5F50E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B95BD2"/>
    <w:multiLevelType w:val="hybridMultilevel"/>
    <w:tmpl w:val="C3B0C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26310"/>
    <w:multiLevelType w:val="multilevel"/>
    <w:tmpl w:val="3404E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0C2D4D"/>
    <w:multiLevelType w:val="hybridMultilevel"/>
    <w:tmpl w:val="419C7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8E07E1"/>
    <w:multiLevelType w:val="hybridMultilevel"/>
    <w:tmpl w:val="E55EC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E90B09"/>
    <w:multiLevelType w:val="hybridMultilevel"/>
    <w:tmpl w:val="F1748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B92AEA"/>
    <w:multiLevelType w:val="hybridMultilevel"/>
    <w:tmpl w:val="1BC4B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19164C"/>
    <w:multiLevelType w:val="hybridMultilevel"/>
    <w:tmpl w:val="2F424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8557EA"/>
    <w:multiLevelType w:val="hybridMultilevel"/>
    <w:tmpl w:val="D0D2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90227"/>
    <w:multiLevelType w:val="hybridMultilevel"/>
    <w:tmpl w:val="86A29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EB2B00"/>
    <w:multiLevelType w:val="hybridMultilevel"/>
    <w:tmpl w:val="AF6A0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82228431">
    <w:abstractNumId w:val="0"/>
  </w:num>
  <w:num w:numId="2" w16cid:durableId="1863857536">
    <w:abstractNumId w:val="6"/>
  </w:num>
  <w:num w:numId="3" w16cid:durableId="2064525168">
    <w:abstractNumId w:val="8"/>
  </w:num>
  <w:num w:numId="4" w16cid:durableId="1549027531">
    <w:abstractNumId w:val="7"/>
  </w:num>
  <w:num w:numId="5" w16cid:durableId="2024936651">
    <w:abstractNumId w:val="4"/>
  </w:num>
  <w:num w:numId="6" w16cid:durableId="1183976607">
    <w:abstractNumId w:val="13"/>
  </w:num>
  <w:num w:numId="7" w16cid:durableId="857888719">
    <w:abstractNumId w:val="1"/>
  </w:num>
  <w:num w:numId="8" w16cid:durableId="1952317800">
    <w:abstractNumId w:val="3"/>
  </w:num>
  <w:num w:numId="9" w16cid:durableId="1827699281">
    <w:abstractNumId w:val="9"/>
  </w:num>
  <w:num w:numId="10" w16cid:durableId="2139569349">
    <w:abstractNumId w:val="2"/>
  </w:num>
  <w:num w:numId="11" w16cid:durableId="1680504995">
    <w:abstractNumId w:val="5"/>
  </w:num>
  <w:num w:numId="12" w16cid:durableId="631332322">
    <w:abstractNumId w:val="11"/>
  </w:num>
  <w:num w:numId="13" w16cid:durableId="118689048">
    <w:abstractNumId w:val="12"/>
  </w:num>
  <w:num w:numId="14" w16cid:durableId="2953353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7BA"/>
    <w:rsid w:val="000007BA"/>
    <w:rsid w:val="000045A2"/>
    <w:rsid w:val="0000569A"/>
    <w:rsid w:val="000548D3"/>
    <w:rsid w:val="0008183E"/>
    <w:rsid w:val="0008423C"/>
    <w:rsid w:val="00092666"/>
    <w:rsid w:val="000A2432"/>
    <w:rsid w:val="000A5678"/>
    <w:rsid w:val="000B4743"/>
    <w:rsid w:val="000E4574"/>
    <w:rsid w:val="000E7121"/>
    <w:rsid w:val="000F16CE"/>
    <w:rsid w:val="001306A3"/>
    <w:rsid w:val="001312B8"/>
    <w:rsid w:val="001427A0"/>
    <w:rsid w:val="00143805"/>
    <w:rsid w:val="0019629E"/>
    <w:rsid w:val="001B65D3"/>
    <w:rsid w:val="002016EE"/>
    <w:rsid w:val="002359F2"/>
    <w:rsid w:val="00280B06"/>
    <w:rsid w:val="002B1177"/>
    <w:rsid w:val="002C708A"/>
    <w:rsid w:val="003026A9"/>
    <w:rsid w:val="0032374F"/>
    <w:rsid w:val="0033507E"/>
    <w:rsid w:val="00343980"/>
    <w:rsid w:val="00353B33"/>
    <w:rsid w:val="00355043"/>
    <w:rsid w:val="003601C8"/>
    <w:rsid w:val="003632E8"/>
    <w:rsid w:val="00380F6F"/>
    <w:rsid w:val="00397C90"/>
    <w:rsid w:val="003A248B"/>
    <w:rsid w:val="003C769F"/>
    <w:rsid w:val="00410AF0"/>
    <w:rsid w:val="004302D4"/>
    <w:rsid w:val="004475BF"/>
    <w:rsid w:val="004A039F"/>
    <w:rsid w:val="004A1636"/>
    <w:rsid w:val="004E1C10"/>
    <w:rsid w:val="00526E4A"/>
    <w:rsid w:val="005442D5"/>
    <w:rsid w:val="00552776"/>
    <w:rsid w:val="00563231"/>
    <w:rsid w:val="0058297E"/>
    <w:rsid w:val="00585C1C"/>
    <w:rsid w:val="00595266"/>
    <w:rsid w:val="005A43BF"/>
    <w:rsid w:val="005A7B96"/>
    <w:rsid w:val="005B420B"/>
    <w:rsid w:val="005C48EB"/>
    <w:rsid w:val="00606F18"/>
    <w:rsid w:val="00664688"/>
    <w:rsid w:val="00676228"/>
    <w:rsid w:val="0069740F"/>
    <w:rsid w:val="006B109A"/>
    <w:rsid w:val="006B6EA1"/>
    <w:rsid w:val="006D057C"/>
    <w:rsid w:val="006F3567"/>
    <w:rsid w:val="0071177B"/>
    <w:rsid w:val="00716B5A"/>
    <w:rsid w:val="007407CE"/>
    <w:rsid w:val="00776460"/>
    <w:rsid w:val="00793D15"/>
    <w:rsid w:val="007B6944"/>
    <w:rsid w:val="00843B5E"/>
    <w:rsid w:val="0087315D"/>
    <w:rsid w:val="00883343"/>
    <w:rsid w:val="008A3176"/>
    <w:rsid w:val="008A7135"/>
    <w:rsid w:val="008D38BB"/>
    <w:rsid w:val="008E70E7"/>
    <w:rsid w:val="008F7D11"/>
    <w:rsid w:val="00907AF9"/>
    <w:rsid w:val="0092181C"/>
    <w:rsid w:val="00935724"/>
    <w:rsid w:val="00955034"/>
    <w:rsid w:val="00955662"/>
    <w:rsid w:val="00971EED"/>
    <w:rsid w:val="0099573A"/>
    <w:rsid w:val="009A791D"/>
    <w:rsid w:val="009F541E"/>
    <w:rsid w:val="00A475C2"/>
    <w:rsid w:val="00A528F5"/>
    <w:rsid w:val="00A532C2"/>
    <w:rsid w:val="00A755BA"/>
    <w:rsid w:val="00AB210E"/>
    <w:rsid w:val="00AC27E3"/>
    <w:rsid w:val="00B404AD"/>
    <w:rsid w:val="00B9400D"/>
    <w:rsid w:val="00B95201"/>
    <w:rsid w:val="00B97C76"/>
    <w:rsid w:val="00BC70E2"/>
    <w:rsid w:val="00BE38AE"/>
    <w:rsid w:val="00C05BA5"/>
    <w:rsid w:val="00C51B96"/>
    <w:rsid w:val="00C53B3D"/>
    <w:rsid w:val="00CD033E"/>
    <w:rsid w:val="00CE1BC9"/>
    <w:rsid w:val="00D07537"/>
    <w:rsid w:val="00D10908"/>
    <w:rsid w:val="00DA48AF"/>
    <w:rsid w:val="00DB5D23"/>
    <w:rsid w:val="00DB6582"/>
    <w:rsid w:val="00DB777B"/>
    <w:rsid w:val="00E44FE5"/>
    <w:rsid w:val="00E50933"/>
    <w:rsid w:val="00E516DA"/>
    <w:rsid w:val="00E54306"/>
    <w:rsid w:val="00E67A66"/>
    <w:rsid w:val="00E714F3"/>
    <w:rsid w:val="00E81D2A"/>
    <w:rsid w:val="00E91916"/>
    <w:rsid w:val="00E9771D"/>
    <w:rsid w:val="00EA13B7"/>
    <w:rsid w:val="00EE5808"/>
    <w:rsid w:val="00EF0C2E"/>
    <w:rsid w:val="00F5106F"/>
    <w:rsid w:val="00F656AC"/>
    <w:rsid w:val="00F91189"/>
    <w:rsid w:val="00FE5ACB"/>
    <w:rsid w:val="00FF38D6"/>
    <w:rsid w:val="00FF45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A3E51"/>
  <w15:chartTrackingRefBased/>
  <w15:docId w15:val="{ACB3D209-4C79-4957-85CA-5DFE648B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57C"/>
    <w:rPr>
      <w:lang w:val="en-GB"/>
    </w:rPr>
  </w:style>
  <w:style w:type="paragraph" w:styleId="Heading1">
    <w:name w:val="heading 1"/>
    <w:basedOn w:val="Normal"/>
    <w:next w:val="Normal"/>
    <w:link w:val="Heading1Char"/>
    <w:uiPriority w:val="9"/>
    <w:qFormat/>
    <w:rsid w:val="006D05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6D05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57C"/>
    <w:rPr>
      <w:rFonts w:asciiTheme="majorHAnsi" w:eastAsiaTheme="majorEastAsia" w:hAnsiTheme="majorHAnsi" w:cstheme="majorBidi"/>
      <w:color w:val="2F5496" w:themeColor="accent1" w:themeShade="BF"/>
      <w:sz w:val="32"/>
      <w:szCs w:val="32"/>
      <w:lang w:val="en-GB"/>
    </w:rPr>
  </w:style>
  <w:style w:type="character" w:customStyle="1" w:styleId="Heading3Char">
    <w:name w:val="Heading 3 Char"/>
    <w:basedOn w:val="DefaultParagraphFont"/>
    <w:link w:val="Heading3"/>
    <w:uiPriority w:val="9"/>
    <w:rsid w:val="006D057C"/>
    <w:rPr>
      <w:rFonts w:asciiTheme="majorHAnsi" w:eastAsiaTheme="majorEastAsia" w:hAnsiTheme="majorHAnsi" w:cstheme="majorBidi"/>
      <w:color w:val="1F3763" w:themeColor="accent1" w:themeShade="7F"/>
      <w:sz w:val="24"/>
      <w:szCs w:val="24"/>
      <w:lang w:val="en-GB"/>
    </w:rPr>
  </w:style>
  <w:style w:type="paragraph" w:styleId="Header">
    <w:name w:val="header"/>
    <w:basedOn w:val="Normal"/>
    <w:link w:val="HeaderChar"/>
    <w:uiPriority w:val="99"/>
    <w:unhideWhenUsed/>
    <w:rsid w:val="006D0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57C"/>
    <w:rPr>
      <w:lang w:val="en-GB"/>
    </w:rPr>
  </w:style>
  <w:style w:type="paragraph" w:styleId="Footer">
    <w:name w:val="footer"/>
    <w:basedOn w:val="Normal"/>
    <w:link w:val="FooterChar"/>
    <w:unhideWhenUsed/>
    <w:rsid w:val="006D057C"/>
    <w:pPr>
      <w:tabs>
        <w:tab w:val="center" w:pos="4513"/>
        <w:tab w:val="right" w:pos="9026"/>
      </w:tabs>
      <w:spacing w:after="0" w:line="240" w:lineRule="auto"/>
    </w:pPr>
  </w:style>
  <w:style w:type="character" w:customStyle="1" w:styleId="FooterChar">
    <w:name w:val="Footer Char"/>
    <w:basedOn w:val="DefaultParagraphFont"/>
    <w:link w:val="Footer"/>
    <w:rsid w:val="006D057C"/>
    <w:rPr>
      <w:lang w:val="en-GB"/>
    </w:rPr>
  </w:style>
  <w:style w:type="character" w:styleId="Hyperlink">
    <w:name w:val="Hyperlink"/>
    <w:basedOn w:val="DefaultParagraphFont"/>
    <w:uiPriority w:val="99"/>
    <w:unhideWhenUsed/>
    <w:rsid w:val="006D057C"/>
    <w:rPr>
      <w:color w:val="0563C1" w:themeColor="hyperlink"/>
      <w:u w:val="single"/>
    </w:rPr>
  </w:style>
  <w:style w:type="paragraph" w:styleId="ListParagraph">
    <w:name w:val="List Paragraph"/>
    <w:basedOn w:val="Normal"/>
    <w:uiPriority w:val="34"/>
    <w:qFormat/>
    <w:rsid w:val="006D057C"/>
    <w:pPr>
      <w:ind w:left="720"/>
      <w:contextualSpacing/>
    </w:pPr>
  </w:style>
  <w:style w:type="table" w:styleId="GridTable4-Accent1">
    <w:name w:val="Grid Table 4 Accent 1"/>
    <w:basedOn w:val="TableNormal"/>
    <w:uiPriority w:val="49"/>
    <w:rsid w:val="006D057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EF0C2E"/>
    <w:rPr>
      <w:sz w:val="16"/>
      <w:szCs w:val="16"/>
    </w:rPr>
  </w:style>
  <w:style w:type="paragraph" w:styleId="CommentText">
    <w:name w:val="annotation text"/>
    <w:basedOn w:val="Normal"/>
    <w:link w:val="CommentTextChar"/>
    <w:uiPriority w:val="99"/>
    <w:semiHidden/>
    <w:unhideWhenUsed/>
    <w:rsid w:val="00EF0C2E"/>
    <w:pPr>
      <w:spacing w:line="240" w:lineRule="auto"/>
    </w:pPr>
    <w:rPr>
      <w:sz w:val="20"/>
      <w:szCs w:val="20"/>
    </w:rPr>
  </w:style>
  <w:style w:type="character" w:customStyle="1" w:styleId="CommentTextChar">
    <w:name w:val="Comment Text Char"/>
    <w:basedOn w:val="DefaultParagraphFont"/>
    <w:link w:val="CommentText"/>
    <w:uiPriority w:val="99"/>
    <w:semiHidden/>
    <w:rsid w:val="00EF0C2E"/>
    <w:rPr>
      <w:sz w:val="20"/>
      <w:szCs w:val="20"/>
      <w:lang w:val="en-GB"/>
    </w:rPr>
  </w:style>
  <w:style w:type="paragraph" w:styleId="CommentSubject">
    <w:name w:val="annotation subject"/>
    <w:basedOn w:val="CommentText"/>
    <w:next w:val="CommentText"/>
    <w:link w:val="CommentSubjectChar"/>
    <w:uiPriority w:val="99"/>
    <w:semiHidden/>
    <w:unhideWhenUsed/>
    <w:rsid w:val="00EF0C2E"/>
    <w:rPr>
      <w:b/>
      <w:bCs/>
    </w:rPr>
  </w:style>
  <w:style w:type="character" w:customStyle="1" w:styleId="CommentSubjectChar">
    <w:name w:val="Comment Subject Char"/>
    <w:basedOn w:val="CommentTextChar"/>
    <w:link w:val="CommentSubject"/>
    <w:uiPriority w:val="99"/>
    <w:semiHidden/>
    <w:rsid w:val="00EF0C2E"/>
    <w:rPr>
      <w:b/>
      <w:bCs/>
      <w:sz w:val="20"/>
      <w:szCs w:val="20"/>
      <w:lang w:val="en-GB"/>
    </w:rPr>
  </w:style>
  <w:style w:type="paragraph" w:styleId="BalloonText">
    <w:name w:val="Balloon Text"/>
    <w:basedOn w:val="Normal"/>
    <w:link w:val="BalloonTextChar"/>
    <w:uiPriority w:val="99"/>
    <w:semiHidden/>
    <w:unhideWhenUsed/>
    <w:rsid w:val="00EF0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C2E"/>
    <w:rPr>
      <w:rFonts w:ascii="Segoe UI" w:hAnsi="Segoe UI" w:cs="Segoe UI"/>
      <w:sz w:val="18"/>
      <w:szCs w:val="18"/>
      <w:lang w:val="en-GB"/>
    </w:rPr>
  </w:style>
  <w:style w:type="character" w:styleId="UnresolvedMention">
    <w:name w:val="Unresolved Mention"/>
    <w:basedOn w:val="DefaultParagraphFont"/>
    <w:uiPriority w:val="99"/>
    <w:semiHidden/>
    <w:unhideWhenUsed/>
    <w:rsid w:val="00410AF0"/>
    <w:rPr>
      <w:color w:val="605E5C"/>
      <w:shd w:val="clear" w:color="auto" w:fill="E1DFDD"/>
    </w:rPr>
  </w:style>
  <w:style w:type="table" w:styleId="TableGrid">
    <w:name w:val="Table Grid"/>
    <w:aliases w:val="Texttabelle"/>
    <w:basedOn w:val="TableNormal"/>
    <w:uiPriority w:val="59"/>
    <w:rsid w:val="00D10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092666"/>
  </w:style>
  <w:style w:type="paragraph" w:styleId="Caption">
    <w:name w:val="caption"/>
    <w:basedOn w:val="Normal"/>
    <w:next w:val="Normal"/>
    <w:uiPriority w:val="35"/>
    <w:unhideWhenUsed/>
    <w:qFormat/>
    <w:rsid w:val="00FE5ACB"/>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FE5A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16217">
      <w:bodyDiv w:val="1"/>
      <w:marLeft w:val="0"/>
      <w:marRight w:val="0"/>
      <w:marTop w:val="0"/>
      <w:marBottom w:val="0"/>
      <w:divBdr>
        <w:top w:val="none" w:sz="0" w:space="0" w:color="auto"/>
        <w:left w:val="none" w:sz="0" w:space="0" w:color="auto"/>
        <w:bottom w:val="none" w:sz="0" w:space="0" w:color="auto"/>
        <w:right w:val="none" w:sz="0" w:space="0" w:color="auto"/>
      </w:divBdr>
    </w:div>
    <w:div w:id="895244285">
      <w:bodyDiv w:val="1"/>
      <w:marLeft w:val="0"/>
      <w:marRight w:val="0"/>
      <w:marTop w:val="0"/>
      <w:marBottom w:val="0"/>
      <w:divBdr>
        <w:top w:val="none" w:sz="0" w:space="0" w:color="auto"/>
        <w:left w:val="none" w:sz="0" w:space="0" w:color="auto"/>
        <w:bottom w:val="none" w:sz="0" w:space="0" w:color="auto"/>
        <w:right w:val="none" w:sz="0" w:space="0" w:color="auto"/>
      </w:divBdr>
    </w:div>
    <w:div w:id="1672222020">
      <w:bodyDiv w:val="1"/>
      <w:marLeft w:val="0"/>
      <w:marRight w:val="0"/>
      <w:marTop w:val="0"/>
      <w:marBottom w:val="0"/>
      <w:divBdr>
        <w:top w:val="none" w:sz="0" w:space="0" w:color="auto"/>
        <w:left w:val="none" w:sz="0" w:space="0" w:color="auto"/>
        <w:bottom w:val="none" w:sz="0" w:space="0" w:color="auto"/>
        <w:right w:val="none" w:sz="0" w:space="0" w:color="auto"/>
      </w:divBdr>
    </w:div>
    <w:div w:id="173081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sheryprogress.org/fip-profile/western-and-central-pacific-albacore-and-yellowfin-tuna-longli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evans@keytraceability.com" TargetMode="External"/><Relationship Id="rId4" Type="http://schemas.openxmlformats.org/officeDocument/2006/relationships/settings" Target="settings.xml"/><Relationship Id="rId9" Type="http://schemas.openxmlformats.org/officeDocument/2006/relationships/hyperlink" Target="https://www.msc.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keytraceability.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F077B-D54E-4968-81A3-31E7647F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Horsnell</dc:creator>
  <cp:keywords/>
  <dc:description/>
  <cp:lastModifiedBy>Tom Evans</cp:lastModifiedBy>
  <cp:revision>7</cp:revision>
  <cp:lastPrinted>2022-10-21T09:43:00Z</cp:lastPrinted>
  <dcterms:created xsi:type="dcterms:W3CDTF">2022-10-31T17:00:00Z</dcterms:created>
  <dcterms:modified xsi:type="dcterms:W3CDTF">2022-11-01T10:58:00Z</dcterms:modified>
</cp:coreProperties>
</file>