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42EF0" w14:textId="6BE05EFC" w:rsidR="006E4875" w:rsidRDefault="006E4875" w:rsidP="000B1562">
      <w:pPr>
        <w:spacing w:after="240"/>
        <w:jc w:val="center"/>
        <w:rPr>
          <w:rFonts w:ascii="Calibri" w:hAnsi="Calibri" w:cs="Calibri"/>
          <w:b/>
          <w:bCs/>
          <w:color w:val="000000"/>
          <w:sz w:val="22"/>
          <w:szCs w:val="22"/>
        </w:rPr>
      </w:pPr>
      <w:r>
        <w:rPr>
          <w:rFonts w:ascii="Calibri" w:hAnsi="Calibri" w:cs="Calibri"/>
          <w:b/>
          <w:bCs/>
          <w:sz w:val="22"/>
          <w:szCs w:val="22"/>
          <w:lang w:val="es-ES"/>
        </w:rPr>
        <w:t>REPORTE TÉCNICO</w:t>
      </w:r>
    </w:p>
    <w:p w14:paraId="4816EA9A" w14:textId="27B20CA1" w:rsidR="00500A55" w:rsidRDefault="006E4875" w:rsidP="000B1562">
      <w:pPr>
        <w:spacing w:after="240"/>
        <w:jc w:val="center"/>
        <w:rPr>
          <w:rFonts w:ascii="Calibri" w:hAnsi="Calibri" w:cs="Calibri"/>
          <w:b/>
          <w:bCs/>
          <w:color w:val="000000"/>
          <w:sz w:val="22"/>
          <w:szCs w:val="22"/>
        </w:rPr>
      </w:pPr>
      <w:r w:rsidRPr="006E4875">
        <w:rPr>
          <w:rFonts w:ascii="Calibri" w:hAnsi="Calibri" w:cs="Calibri"/>
          <w:b/>
          <w:bCs/>
          <w:color w:val="000000"/>
          <w:sz w:val="22"/>
          <w:szCs w:val="22"/>
        </w:rPr>
        <w:t xml:space="preserve">Actualización del Compendio de muestreos </w:t>
      </w:r>
      <w:proofErr w:type="spellStart"/>
      <w:r w:rsidRPr="006E4875">
        <w:rPr>
          <w:rFonts w:ascii="Calibri" w:hAnsi="Calibri" w:cs="Calibri"/>
          <w:b/>
          <w:bCs/>
          <w:color w:val="000000"/>
          <w:sz w:val="22"/>
          <w:szCs w:val="22"/>
        </w:rPr>
        <w:t>C</w:t>
      </w:r>
      <w:r>
        <w:rPr>
          <w:rFonts w:ascii="Calibri" w:hAnsi="Calibri" w:cs="Calibri"/>
          <w:b/>
          <w:bCs/>
          <w:color w:val="000000"/>
          <w:sz w:val="22"/>
          <w:szCs w:val="22"/>
        </w:rPr>
        <w:t>oo</w:t>
      </w:r>
      <w:r w:rsidRPr="006E4875">
        <w:rPr>
          <w:rFonts w:ascii="Calibri" w:hAnsi="Calibri" w:cs="Calibri"/>
          <w:b/>
          <w:bCs/>
          <w:color w:val="000000"/>
          <w:sz w:val="22"/>
          <w:szCs w:val="22"/>
        </w:rPr>
        <w:t>cBCS</w:t>
      </w:r>
      <w:proofErr w:type="spellEnd"/>
    </w:p>
    <w:p w14:paraId="369649EF" w14:textId="77777777" w:rsidR="000B1562" w:rsidRPr="00FA2937" w:rsidRDefault="000B1562" w:rsidP="000B1562">
      <w:pPr>
        <w:spacing w:after="240"/>
        <w:jc w:val="center"/>
        <w:rPr>
          <w:rFonts w:ascii="Calibri" w:hAnsi="Calibri" w:cs="Calibri"/>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7559"/>
      </w:tblGrid>
      <w:tr w:rsidR="00500A55" w:rsidRPr="00FA2937" w14:paraId="38EF3C8B" w14:textId="77777777" w:rsidTr="001031EC">
        <w:tc>
          <w:tcPr>
            <w:tcW w:w="2088" w:type="dxa"/>
            <w:shd w:val="clear" w:color="auto" w:fill="auto"/>
          </w:tcPr>
          <w:p w14:paraId="3232E4EC" w14:textId="77777777" w:rsidR="00500A55" w:rsidRPr="00FA2937" w:rsidRDefault="00500A55" w:rsidP="001031EC">
            <w:pPr>
              <w:spacing w:after="120"/>
              <w:jc w:val="both"/>
              <w:rPr>
                <w:rFonts w:ascii="Calibri" w:hAnsi="Calibri" w:cs="Calibri"/>
                <w:b/>
                <w:sz w:val="18"/>
                <w:szCs w:val="18"/>
                <w:lang w:val="es-ES"/>
              </w:rPr>
            </w:pPr>
            <w:r w:rsidRPr="00FA2937">
              <w:rPr>
                <w:rFonts w:ascii="Calibri" w:hAnsi="Calibri" w:cs="Calibri"/>
                <w:b/>
                <w:sz w:val="18"/>
                <w:szCs w:val="18"/>
                <w:lang w:val="es-ES"/>
              </w:rPr>
              <w:t>Oficina:</w:t>
            </w:r>
          </w:p>
        </w:tc>
        <w:tc>
          <w:tcPr>
            <w:tcW w:w="7690" w:type="dxa"/>
            <w:shd w:val="clear" w:color="auto" w:fill="auto"/>
          </w:tcPr>
          <w:p w14:paraId="6584F671" w14:textId="77777777" w:rsidR="00500A55" w:rsidRPr="00FA2937" w:rsidRDefault="00500A55" w:rsidP="001031EC">
            <w:pPr>
              <w:spacing w:after="120"/>
              <w:jc w:val="both"/>
              <w:rPr>
                <w:rFonts w:ascii="Calibri" w:hAnsi="Calibri" w:cs="Calibri"/>
                <w:sz w:val="18"/>
                <w:szCs w:val="18"/>
                <w:lang w:val="es-ES"/>
              </w:rPr>
            </w:pPr>
            <w:r w:rsidRPr="00FA2937">
              <w:rPr>
                <w:rFonts w:ascii="Calibri" w:hAnsi="Calibri" w:cs="Calibri"/>
                <w:sz w:val="18"/>
                <w:szCs w:val="18"/>
                <w:lang w:val="es-ES"/>
              </w:rPr>
              <w:t>PNO - La Paz</w:t>
            </w:r>
          </w:p>
        </w:tc>
      </w:tr>
      <w:tr w:rsidR="00500A55" w:rsidRPr="00FA2937" w14:paraId="7E4BEC7A" w14:textId="77777777" w:rsidTr="001031EC">
        <w:tc>
          <w:tcPr>
            <w:tcW w:w="2088" w:type="dxa"/>
            <w:shd w:val="clear" w:color="auto" w:fill="auto"/>
          </w:tcPr>
          <w:p w14:paraId="4CF28520" w14:textId="77777777" w:rsidR="00500A55" w:rsidRPr="00FA2937" w:rsidRDefault="00500A55" w:rsidP="001031EC">
            <w:pPr>
              <w:jc w:val="both"/>
              <w:rPr>
                <w:rFonts w:ascii="Calibri" w:hAnsi="Calibri" w:cs="Calibri"/>
                <w:b/>
                <w:sz w:val="18"/>
                <w:szCs w:val="18"/>
                <w:lang w:val="es-ES"/>
              </w:rPr>
            </w:pPr>
            <w:r w:rsidRPr="00FA2937">
              <w:rPr>
                <w:rFonts w:ascii="Calibri" w:hAnsi="Calibri" w:cs="Calibri"/>
                <w:b/>
                <w:sz w:val="18"/>
                <w:szCs w:val="18"/>
                <w:lang w:val="es-ES"/>
              </w:rPr>
              <w:t xml:space="preserve">Título del proyecto o </w:t>
            </w:r>
          </w:p>
          <w:p w14:paraId="0EE9F44B" w14:textId="77777777" w:rsidR="00500A55" w:rsidRPr="00FA2937" w:rsidRDefault="00500A55" w:rsidP="001031EC">
            <w:pPr>
              <w:spacing w:after="120"/>
              <w:jc w:val="both"/>
              <w:rPr>
                <w:rFonts w:ascii="Calibri" w:hAnsi="Calibri" w:cs="Calibri"/>
                <w:b/>
                <w:sz w:val="18"/>
                <w:szCs w:val="18"/>
                <w:lang w:val="es-ES"/>
              </w:rPr>
            </w:pPr>
            <w:r w:rsidRPr="00FA2937">
              <w:rPr>
                <w:rFonts w:ascii="Calibri" w:hAnsi="Calibri" w:cs="Calibri"/>
                <w:b/>
                <w:sz w:val="18"/>
                <w:szCs w:val="18"/>
                <w:lang w:val="es-ES"/>
              </w:rPr>
              <w:t>actividad desarrollada:</w:t>
            </w:r>
          </w:p>
        </w:tc>
        <w:tc>
          <w:tcPr>
            <w:tcW w:w="7690" w:type="dxa"/>
            <w:shd w:val="clear" w:color="auto" w:fill="auto"/>
          </w:tcPr>
          <w:p w14:paraId="56435BCA" w14:textId="6573A1CE" w:rsidR="00895484" w:rsidRPr="00895484" w:rsidRDefault="00500A55" w:rsidP="001031EC">
            <w:pPr>
              <w:spacing w:after="120"/>
              <w:jc w:val="both"/>
              <w:rPr>
                <w:rFonts w:ascii="Calibri" w:hAnsi="Calibri" w:cs="Calibri"/>
                <w:sz w:val="18"/>
                <w:szCs w:val="18"/>
                <w:lang w:val="es-ES"/>
              </w:rPr>
            </w:pPr>
            <w:r w:rsidRPr="00EA3123">
              <w:rPr>
                <w:rFonts w:ascii="Calibri" w:hAnsi="Calibri" w:cs="Calibri"/>
                <w:b/>
                <w:bCs/>
                <w:sz w:val="18"/>
                <w:szCs w:val="18"/>
                <w:lang w:val="es-ES"/>
              </w:rPr>
              <w:t xml:space="preserve">Actividad </w:t>
            </w:r>
            <w:r w:rsidR="00895484">
              <w:rPr>
                <w:rFonts w:ascii="Calibri" w:hAnsi="Calibri" w:cs="Calibri"/>
                <w:b/>
                <w:bCs/>
                <w:sz w:val="18"/>
                <w:szCs w:val="18"/>
                <w:lang w:val="es-ES"/>
              </w:rPr>
              <w:t xml:space="preserve">1.1 </w:t>
            </w:r>
            <w:r w:rsidR="00BF4D4A" w:rsidRPr="00BF4D4A">
              <w:rPr>
                <w:rFonts w:ascii="Calibri" w:hAnsi="Calibri" w:cs="Calibri"/>
                <w:sz w:val="18"/>
                <w:szCs w:val="18"/>
                <w:lang w:val="es-ES"/>
              </w:rPr>
              <w:t>Integrar la información,</w:t>
            </w:r>
            <w:r w:rsidR="00BF4D4A">
              <w:rPr>
                <w:rFonts w:ascii="Calibri" w:hAnsi="Calibri" w:cs="Calibri"/>
                <w:sz w:val="18"/>
                <w:szCs w:val="18"/>
                <w:lang w:val="es-ES"/>
              </w:rPr>
              <w:t xml:space="preserve"> los resultados de la evaluación de stock, la regla de control y las herramientas de manejo, permitiendo que el sistema de manejo responda al estado del verdillo y </w:t>
            </w:r>
            <w:r w:rsidR="00DA6B87">
              <w:rPr>
                <w:rFonts w:ascii="Calibri" w:hAnsi="Calibri" w:cs="Calibri"/>
                <w:sz w:val="18"/>
                <w:szCs w:val="18"/>
                <w:lang w:val="es-ES"/>
              </w:rPr>
              <w:t>cumplir los objetivos de manejo de la pesquería</w:t>
            </w:r>
          </w:p>
          <w:p w14:paraId="404DA8A7" w14:textId="749B44F1" w:rsidR="00500A55" w:rsidRPr="00FA2937" w:rsidRDefault="00500A55" w:rsidP="001031EC">
            <w:pPr>
              <w:spacing w:after="120"/>
              <w:jc w:val="both"/>
              <w:rPr>
                <w:rFonts w:ascii="Calibri" w:hAnsi="Calibri" w:cs="Calibri"/>
                <w:sz w:val="18"/>
                <w:szCs w:val="18"/>
                <w:lang w:val="es-ES"/>
              </w:rPr>
            </w:pPr>
          </w:p>
        </w:tc>
      </w:tr>
      <w:tr w:rsidR="00500A55" w:rsidRPr="00FA2937" w14:paraId="0543D0C3" w14:textId="77777777" w:rsidTr="001031EC">
        <w:tc>
          <w:tcPr>
            <w:tcW w:w="2088" w:type="dxa"/>
            <w:shd w:val="clear" w:color="auto" w:fill="auto"/>
          </w:tcPr>
          <w:p w14:paraId="41BBEE0B" w14:textId="77777777" w:rsidR="00500A55" w:rsidRPr="00FA2937" w:rsidRDefault="00500A55" w:rsidP="001031EC">
            <w:pPr>
              <w:spacing w:after="120"/>
              <w:jc w:val="both"/>
              <w:rPr>
                <w:rFonts w:ascii="Calibri" w:hAnsi="Calibri" w:cs="Calibri"/>
                <w:b/>
                <w:sz w:val="18"/>
                <w:szCs w:val="18"/>
                <w:lang w:val="es-ES"/>
              </w:rPr>
            </w:pPr>
            <w:r w:rsidRPr="00FA2937">
              <w:rPr>
                <w:rFonts w:ascii="Calibri" w:hAnsi="Calibri" w:cs="Calibri"/>
                <w:b/>
                <w:sz w:val="18"/>
                <w:szCs w:val="18"/>
                <w:lang w:val="es-ES"/>
              </w:rPr>
              <w:t>Ejecutor(es):</w:t>
            </w:r>
          </w:p>
        </w:tc>
        <w:tc>
          <w:tcPr>
            <w:tcW w:w="7690" w:type="dxa"/>
            <w:shd w:val="clear" w:color="auto" w:fill="auto"/>
          </w:tcPr>
          <w:p w14:paraId="61A80139" w14:textId="55F7FB22" w:rsidR="00500A55" w:rsidRPr="00FA2937" w:rsidRDefault="006F7668" w:rsidP="001031EC">
            <w:pPr>
              <w:spacing w:after="120"/>
              <w:jc w:val="both"/>
              <w:rPr>
                <w:rFonts w:ascii="Calibri" w:hAnsi="Calibri" w:cs="Calibri"/>
                <w:sz w:val="18"/>
                <w:szCs w:val="18"/>
                <w:lang w:val="es-ES"/>
              </w:rPr>
            </w:pPr>
            <w:r>
              <w:rPr>
                <w:rFonts w:ascii="Calibri" w:hAnsi="Calibri" w:cs="Calibri"/>
                <w:sz w:val="18"/>
                <w:szCs w:val="18"/>
                <w:lang w:val="es-ES"/>
              </w:rPr>
              <w:t>María Belén Ojeda Villegas</w:t>
            </w:r>
          </w:p>
        </w:tc>
      </w:tr>
      <w:tr w:rsidR="00500A55" w:rsidRPr="00FA2937" w14:paraId="139CFC80" w14:textId="77777777" w:rsidTr="001031EC">
        <w:tc>
          <w:tcPr>
            <w:tcW w:w="2088" w:type="dxa"/>
            <w:shd w:val="clear" w:color="auto" w:fill="auto"/>
          </w:tcPr>
          <w:p w14:paraId="15AC6F48" w14:textId="77777777" w:rsidR="00500A55" w:rsidRPr="00FA2937" w:rsidRDefault="00500A55" w:rsidP="001031EC">
            <w:pPr>
              <w:spacing w:after="120"/>
              <w:jc w:val="both"/>
              <w:rPr>
                <w:rFonts w:ascii="Calibri" w:hAnsi="Calibri" w:cs="Calibri"/>
                <w:b/>
                <w:sz w:val="18"/>
                <w:szCs w:val="18"/>
                <w:lang w:val="es-ES"/>
              </w:rPr>
            </w:pPr>
            <w:r w:rsidRPr="00FA2937">
              <w:rPr>
                <w:rFonts w:ascii="Calibri" w:hAnsi="Calibri" w:cs="Calibri"/>
                <w:b/>
                <w:sz w:val="18"/>
                <w:szCs w:val="18"/>
                <w:lang w:val="es-ES"/>
              </w:rPr>
              <w:t>Supervisor:</w:t>
            </w:r>
          </w:p>
        </w:tc>
        <w:tc>
          <w:tcPr>
            <w:tcW w:w="7690" w:type="dxa"/>
            <w:shd w:val="clear" w:color="auto" w:fill="auto"/>
          </w:tcPr>
          <w:p w14:paraId="1335D79A" w14:textId="6461B5CC" w:rsidR="006F7668" w:rsidRPr="00FA2937" w:rsidRDefault="006F7668" w:rsidP="001031EC">
            <w:pPr>
              <w:spacing w:after="120"/>
              <w:jc w:val="both"/>
              <w:rPr>
                <w:rFonts w:ascii="Calibri" w:hAnsi="Calibri" w:cs="Calibri"/>
                <w:sz w:val="18"/>
                <w:szCs w:val="18"/>
                <w:lang w:val="es-ES"/>
              </w:rPr>
            </w:pPr>
            <w:r>
              <w:rPr>
                <w:rFonts w:ascii="Calibri" w:hAnsi="Calibri" w:cs="Calibri"/>
                <w:sz w:val="18"/>
                <w:szCs w:val="18"/>
                <w:lang w:val="es-ES"/>
              </w:rPr>
              <w:t>Carlos Álvarez</w:t>
            </w:r>
          </w:p>
        </w:tc>
      </w:tr>
      <w:tr w:rsidR="00500A55" w:rsidRPr="00FA2937" w14:paraId="73E30E45" w14:textId="77777777" w:rsidTr="001031EC">
        <w:tc>
          <w:tcPr>
            <w:tcW w:w="2088" w:type="dxa"/>
            <w:shd w:val="clear" w:color="auto" w:fill="auto"/>
          </w:tcPr>
          <w:p w14:paraId="088F6DE8" w14:textId="77777777" w:rsidR="00500A55" w:rsidRPr="00FA2937" w:rsidRDefault="00500A55" w:rsidP="001031EC">
            <w:pPr>
              <w:spacing w:after="120"/>
              <w:jc w:val="both"/>
              <w:rPr>
                <w:rFonts w:ascii="Calibri" w:hAnsi="Calibri" w:cs="Calibri"/>
                <w:b/>
                <w:sz w:val="18"/>
                <w:szCs w:val="18"/>
                <w:lang w:val="es-ES"/>
              </w:rPr>
            </w:pPr>
            <w:r w:rsidRPr="00FA2937">
              <w:rPr>
                <w:rFonts w:ascii="Calibri" w:hAnsi="Calibri" w:cs="Calibri"/>
                <w:b/>
                <w:sz w:val="18"/>
                <w:szCs w:val="18"/>
                <w:lang w:val="es-ES"/>
              </w:rPr>
              <w:t>Fecha del reporte:</w:t>
            </w:r>
          </w:p>
        </w:tc>
        <w:tc>
          <w:tcPr>
            <w:tcW w:w="7690" w:type="dxa"/>
            <w:shd w:val="clear" w:color="auto" w:fill="auto"/>
          </w:tcPr>
          <w:p w14:paraId="017801A0" w14:textId="7C88096E" w:rsidR="00500A55" w:rsidRPr="00FA2937" w:rsidRDefault="006E4875" w:rsidP="001031EC">
            <w:pPr>
              <w:spacing w:after="120"/>
              <w:jc w:val="both"/>
              <w:rPr>
                <w:rFonts w:ascii="Calibri" w:hAnsi="Calibri" w:cs="Calibri"/>
                <w:sz w:val="18"/>
                <w:szCs w:val="18"/>
                <w:lang w:val="es-ES"/>
              </w:rPr>
            </w:pPr>
            <w:r>
              <w:rPr>
                <w:rFonts w:ascii="Calibri" w:hAnsi="Calibri" w:cs="Calibri"/>
                <w:sz w:val="18"/>
                <w:szCs w:val="18"/>
                <w:lang w:val="es-ES"/>
              </w:rPr>
              <w:t>Viernes</w:t>
            </w:r>
            <w:r w:rsidR="0084254B">
              <w:rPr>
                <w:rFonts w:ascii="Calibri" w:hAnsi="Calibri" w:cs="Calibri"/>
                <w:sz w:val="18"/>
                <w:szCs w:val="18"/>
                <w:lang w:val="es-ES"/>
              </w:rPr>
              <w:t xml:space="preserve">, </w:t>
            </w:r>
            <w:r>
              <w:rPr>
                <w:rFonts w:ascii="Calibri" w:hAnsi="Calibri" w:cs="Calibri"/>
                <w:sz w:val="18"/>
                <w:szCs w:val="18"/>
                <w:lang w:val="es-ES"/>
              </w:rPr>
              <w:t>29 de noviembre</w:t>
            </w:r>
            <w:r w:rsidR="0084254B">
              <w:rPr>
                <w:rFonts w:ascii="Calibri" w:hAnsi="Calibri" w:cs="Calibri"/>
                <w:sz w:val="18"/>
                <w:szCs w:val="18"/>
                <w:lang w:val="es-ES"/>
              </w:rPr>
              <w:t xml:space="preserve"> de 2024.</w:t>
            </w:r>
          </w:p>
        </w:tc>
      </w:tr>
      <w:tr w:rsidR="00500A55" w:rsidRPr="00974086" w14:paraId="122BA680" w14:textId="77777777" w:rsidTr="001031EC">
        <w:tc>
          <w:tcPr>
            <w:tcW w:w="2088" w:type="dxa"/>
            <w:shd w:val="clear" w:color="auto" w:fill="auto"/>
          </w:tcPr>
          <w:p w14:paraId="68A76147" w14:textId="77777777" w:rsidR="00500A55" w:rsidRPr="00FA2937" w:rsidRDefault="00500A55" w:rsidP="001031EC">
            <w:pPr>
              <w:spacing w:after="120"/>
              <w:jc w:val="both"/>
              <w:rPr>
                <w:rFonts w:ascii="Calibri" w:hAnsi="Calibri" w:cs="Calibri"/>
                <w:b/>
                <w:sz w:val="18"/>
                <w:szCs w:val="18"/>
                <w:lang w:val="es-ES"/>
              </w:rPr>
            </w:pPr>
            <w:r w:rsidRPr="00FA2937">
              <w:rPr>
                <w:rFonts w:ascii="Calibri" w:hAnsi="Calibri" w:cs="Calibri"/>
                <w:b/>
                <w:sz w:val="18"/>
                <w:szCs w:val="18"/>
                <w:lang w:val="es-ES"/>
              </w:rPr>
              <w:t>Resumen:</w:t>
            </w:r>
          </w:p>
        </w:tc>
        <w:tc>
          <w:tcPr>
            <w:tcW w:w="7690" w:type="dxa"/>
            <w:shd w:val="clear" w:color="auto" w:fill="auto"/>
          </w:tcPr>
          <w:p w14:paraId="784BE20B" w14:textId="3E4FA7F9" w:rsidR="00974086" w:rsidRPr="006E4875" w:rsidRDefault="006E4875" w:rsidP="006E4875">
            <w:pPr>
              <w:numPr>
                <w:ilvl w:val="0"/>
                <w:numId w:val="1"/>
              </w:numPr>
              <w:tabs>
                <w:tab w:val="clear" w:pos="680"/>
                <w:tab w:val="num" w:pos="252"/>
              </w:tabs>
              <w:spacing w:after="120"/>
              <w:ind w:left="252" w:hanging="252"/>
              <w:jc w:val="both"/>
              <w:rPr>
                <w:rFonts w:ascii="Calibri" w:hAnsi="Calibri" w:cs="Calibri"/>
                <w:sz w:val="18"/>
                <w:szCs w:val="18"/>
                <w:lang w:val="es-ES"/>
              </w:rPr>
            </w:pPr>
            <w:r>
              <w:rPr>
                <w:rFonts w:ascii="Calibri" w:hAnsi="Calibri" w:cs="Calibri"/>
                <w:sz w:val="18"/>
                <w:szCs w:val="18"/>
                <w:lang w:val="es-ES"/>
              </w:rPr>
              <w:t>Se actualizó la base de datos con información proveniente del sistema de monitoreo electrónico de capturas y del monitoreo biológico implementado en la cooperativa Punta Abreojos que incluye tallas y estadio de madurez</w:t>
            </w:r>
          </w:p>
        </w:tc>
      </w:tr>
      <w:tr w:rsidR="00500A55" w:rsidRPr="001B7053" w14:paraId="3F8B7E83" w14:textId="77777777" w:rsidTr="001031EC">
        <w:tc>
          <w:tcPr>
            <w:tcW w:w="2088" w:type="dxa"/>
            <w:shd w:val="clear" w:color="auto" w:fill="auto"/>
          </w:tcPr>
          <w:p w14:paraId="2F9F428F" w14:textId="77777777" w:rsidR="00500A55" w:rsidRPr="00FA2937" w:rsidRDefault="00500A55" w:rsidP="001031EC">
            <w:pPr>
              <w:spacing w:after="120"/>
              <w:jc w:val="both"/>
              <w:rPr>
                <w:rFonts w:ascii="Calibri" w:hAnsi="Calibri" w:cs="Calibri"/>
                <w:b/>
                <w:sz w:val="18"/>
                <w:szCs w:val="18"/>
                <w:lang w:val="es-ES"/>
              </w:rPr>
            </w:pPr>
            <w:r w:rsidRPr="00FA2937">
              <w:rPr>
                <w:rFonts w:ascii="Calibri" w:hAnsi="Calibri" w:cs="Calibri"/>
                <w:b/>
                <w:sz w:val="18"/>
                <w:szCs w:val="18"/>
                <w:lang w:val="es-ES"/>
              </w:rPr>
              <w:t>Descripción de las actividades realizadas:</w:t>
            </w:r>
          </w:p>
        </w:tc>
        <w:tc>
          <w:tcPr>
            <w:tcW w:w="7690" w:type="dxa"/>
            <w:shd w:val="clear" w:color="auto" w:fill="auto"/>
          </w:tcPr>
          <w:p w14:paraId="3D4DDE76" w14:textId="566D27B4" w:rsidR="00227A68" w:rsidRDefault="00227A68" w:rsidP="00227A68">
            <w:pPr>
              <w:pStyle w:val="Prrafodelista"/>
              <w:numPr>
                <w:ilvl w:val="0"/>
                <w:numId w:val="1"/>
              </w:numPr>
              <w:tabs>
                <w:tab w:val="clear" w:pos="680"/>
              </w:tabs>
              <w:spacing w:after="120"/>
              <w:ind w:left="229" w:hanging="229"/>
              <w:jc w:val="both"/>
              <w:rPr>
                <w:rFonts w:ascii="Calibri" w:hAnsi="Calibri" w:cs="Calibri"/>
                <w:sz w:val="18"/>
                <w:szCs w:val="18"/>
                <w:lang w:val="es-ES"/>
              </w:rPr>
            </w:pPr>
            <w:r w:rsidRPr="00227A68">
              <w:rPr>
                <w:rFonts w:ascii="Calibri" w:hAnsi="Calibri" w:cs="Calibri"/>
                <w:sz w:val="18"/>
                <w:szCs w:val="18"/>
                <w:lang w:val="es-ES"/>
              </w:rPr>
              <w:t xml:space="preserve">la base de datos del </w:t>
            </w:r>
            <w:r>
              <w:rPr>
                <w:rFonts w:ascii="Calibri" w:hAnsi="Calibri" w:cs="Calibri"/>
                <w:sz w:val="18"/>
                <w:szCs w:val="18"/>
                <w:lang w:val="es-ES"/>
              </w:rPr>
              <w:t>“</w:t>
            </w:r>
            <w:r w:rsidRPr="00227A68">
              <w:rPr>
                <w:rFonts w:ascii="Calibri" w:hAnsi="Calibri" w:cs="Calibri"/>
                <w:sz w:val="18"/>
                <w:szCs w:val="18"/>
                <w:lang w:val="es-ES"/>
              </w:rPr>
              <w:t xml:space="preserve">Compendio de Muestreos </w:t>
            </w:r>
            <w:proofErr w:type="spellStart"/>
            <w:r w:rsidRPr="00227A68">
              <w:rPr>
                <w:rFonts w:ascii="Calibri" w:hAnsi="Calibri" w:cs="Calibri"/>
                <w:sz w:val="18"/>
                <w:szCs w:val="18"/>
                <w:lang w:val="es-ES"/>
              </w:rPr>
              <w:t>CoccBCS</w:t>
            </w:r>
            <w:proofErr w:type="spellEnd"/>
            <w:r>
              <w:rPr>
                <w:rFonts w:ascii="Calibri" w:hAnsi="Calibri" w:cs="Calibri"/>
                <w:sz w:val="18"/>
                <w:szCs w:val="18"/>
                <w:lang w:val="es-ES"/>
              </w:rPr>
              <w:t>”</w:t>
            </w:r>
            <w:r w:rsidRPr="00227A68">
              <w:rPr>
                <w:rFonts w:ascii="Calibri" w:hAnsi="Calibri" w:cs="Calibri"/>
                <w:sz w:val="18"/>
                <w:szCs w:val="18"/>
                <w:lang w:val="es-ES"/>
              </w:rPr>
              <w:t xml:space="preserve"> fue actualizada con información proporcionada por la cooperativa Punta Abreojos. Esta actualización incluyó los registros de capturas correspondientes a los últimos seis meses, obtenidos a través de bitácoras electrónicas. Asimismo, se incorporaron los datos de monitoreo biológico implementado en esta cooperativa durante el periodo de junio a noviembre. En este lapso, se registraron un total de 218 viajes de pesca que dieron como resultado una captura acumulada de 99 toneladas.</w:t>
            </w:r>
          </w:p>
          <w:p w14:paraId="1FFCC7D8" w14:textId="6F5C17ED" w:rsidR="00496BA0" w:rsidRPr="00227A68" w:rsidRDefault="00227A68" w:rsidP="00227A68">
            <w:pPr>
              <w:pStyle w:val="Prrafodelista"/>
              <w:numPr>
                <w:ilvl w:val="0"/>
                <w:numId w:val="1"/>
              </w:numPr>
              <w:tabs>
                <w:tab w:val="clear" w:pos="680"/>
              </w:tabs>
              <w:spacing w:after="120"/>
              <w:ind w:left="229" w:hanging="229"/>
              <w:jc w:val="both"/>
              <w:rPr>
                <w:rFonts w:ascii="Calibri" w:hAnsi="Calibri" w:cs="Calibri"/>
                <w:sz w:val="18"/>
                <w:szCs w:val="18"/>
                <w:lang w:val="es-ES"/>
              </w:rPr>
            </w:pPr>
            <w:r w:rsidRPr="00227A68">
              <w:rPr>
                <w:rFonts w:ascii="Calibri" w:hAnsi="Calibri" w:cs="Calibri"/>
                <w:sz w:val="18"/>
                <w:szCs w:val="18"/>
                <w:lang w:val="es-ES"/>
              </w:rPr>
              <w:t>Por otra parte, también se actualizó la base de datos que contiene la información oficial de los avisos de arribo del estado de Baja California Sur. Este registro integra datos provenientes de todas las unidades económicas pesqueras registradas, lo que permite contar con una visión integral de las operaciones en el sector.</w:t>
            </w:r>
            <w:r>
              <w:rPr>
                <w:rFonts w:ascii="Calibri" w:hAnsi="Calibri" w:cs="Calibri"/>
                <w:sz w:val="18"/>
                <w:szCs w:val="18"/>
                <w:lang w:val="es-ES"/>
              </w:rPr>
              <w:t xml:space="preserve"> </w:t>
            </w:r>
          </w:p>
        </w:tc>
      </w:tr>
      <w:tr w:rsidR="00500A55" w:rsidRPr="00FA2937" w14:paraId="2D85772B" w14:textId="77777777" w:rsidTr="001031EC">
        <w:tc>
          <w:tcPr>
            <w:tcW w:w="2088" w:type="dxa"/>
            <w:shd w:val="clear" w:color="auto" w:fill="auto"/>
          </w:tcPr>
          <w:p w14:paraId="658147A5" w14:textId="1B334146" w:rsidR="00500A55" w:rsidRPr="00FA2937" w:rsidRDefault="00500A55" w:rsidP="001031EC">
            <w:pPr>
              <w:spacing w:after="120"/>
              <w:jc w:val="both"/>
              <w:rPr>
                <w:rFonts w:ascii="Calibri" w:hAnsi="Calibri" w:cs="Calibri"/>
                <w:b/>
                <w:sz w:val="18"/>
                <w:szCs w:val="18"/>
                <w:lang w:val="es-ES"/>
              </w:rPr>
            </w:pPr>
            <w:r w:rsidRPr="00FA2937">
              <w:rPr>
                <w:rFonts w:ascii="Calibri" w:hAnsi="Calibri" w:cs="Calibri"/>
                <w:b/>
                <w:sz w:val="18"/>
                <w:szCs w:val="18"/>
                <w:lang w:val="es-ES"/>
              </w:rPr>
              <w:t>Resultado:</w:t>
            </w:r>
          </w:p>
        </w:tc>
        <w:tc>
          <w:tcPr>
            <w:tcW w:w="7690" w:type="dxa"/>
            <w:shd w:val="clear" w:color="auto" w:fill="auto"/>
          </w:tcPr>
          <w:p w14:paraId="2BA67FE6" w14:textId="0412A66B" w:rsidR="00500A55" w:rsidRPr="00891EB3" w:rsidRDefault="00227A68" w:rsidP="00891EB3">
            <w:pPr>
              <w:numPr>
                <w:ilvl w:val="0"/>
                <w:numId w:val="1"/>
              </w:numPr>
              <w:tabs>
                <w:tab w:val="clear" w:pos="680"/>
              </w:tabs>
              <w:spacing w:after="120"/>
              <w:ind w:left="371" w:hanging="371"/>
              <w:jc w:val="both"/>
              <w:rPr>
                <w:rFonts w:ascii="Calibri" w:hAnsi="Calibri" w:cs="Calibri"/>
                <w:sz w:val="18"/>
                <w:szCs w:val="18"/>
                <w:lang w:val="es-ES"/>
              </w:rPr>
            </w:pPr>
            <w:r>
              <w:rPr>
                <w:rFonts w:ascii="Calibri" w:hAnsi="Calibri" w:cs="Calibri"/>
                <w:sz w:val="18"/>
                <w:szCs w:val="18"/>
                <w:lang w:val="es-ES"/>
              </w:rPr>
              <w:t>Base de datos de monitoreo de producción y biológico y avisos de arribo actualizados</w:t>
            </w:r>
          </w:p>
        </w:tc>
      </w:tr>
      <w:tr w:rsidR="00500A55" w:rsidRPr="00FA2937" w14:paraId="21FE013A" w14:textId="77777777" w:rsidTr="001031EC">
        <w:tc>
          <w:tcPr>
            <w:tcW w:w="2088" w:type="dxa"/>
            <w:shd w:val="clear" w:color="auto" w:fill="auto"/>
          </w:tcPr>
          <w:p w14:paraId="74397393" w14:textId="77777777" w:rsidR="00500A55" w:rsidRPr="00FA2937" w:rsidRDefault="00500A55" w:rsidP="001031EC">
            <w:pPr>
              <w:spacing w:after="120"/>
              <w:jc w:val="both"/>
              <w:rPr>
                <w:rFonts w:ascii="Calibri" w:hAnsi="Calibri" w:cs="Calibri"/>
                <w:b/>
                <w:sz w:val="18"/>
                <w:szCs w:val="18"/>
                <w:lang w:val="es-ES"/>
              </w:rPr>
            </w:pPr>
            <w:r w:rsidRPr="00FA2937">
              <w:rPr>
                <w:rFonts w:ascii="Calibri" w:hAnsi="Calibri" w:cs="Calibri"/>
                <w:b/>
                <w:sz w:val="18"/>
                <w:szCs w:val="18"/>
                <w:lang w:val="es-ES"/>
              </w:rPr>
              <w:t>Comentarios:</w:t>
            </w:r>
          </w:p>
        </w:tc>
        <w:tc>
          <w:tcPr>
            <w:tcW w:w="7690" w:type="dxa"/>
            <w:shd w:val="clear" w:color="auto" w:fill="auto"/>
          </w:tcPr>
          <w:p w14:paraId="5B13CF21" w14:textId="446D35AA" w:rsidR="00837077" w:rsidRPr="00AC35B4" w:rsidRDefault="0084254B" w:rsidP="0084254B">
            <w:pPr>
              <w:spacing w:after="120"/>
              <w:jc w:val="both"/>
              <w:rPr>
                <w:rFonts w:ascii="Calibri" w:hAnsi="Calibri" w:cs="Calibri"/>
                <w:sz w:val="18"/>
                <w:szCs w:val="18"/>
                <w:lang w:val="es-ES"/>
              </w:rPr>
            </w:pPr>
            <w:r>
              <w:rPr>
                <w:rFonts w:ascii="Calibri" w:hAnsi="Calibri" w:cs="Calibri"/>
                <w:sz w:val="18"/>
                <w:szCs w:val="18"/>
                <w:lang w:val="es-ES"/>
              </w:rPr>
              <w:t xml:space="preserve">La información sobre el monitoreo realizado en la cooperativa Punta Abreojos es de carácter confidencial por lo que solo se hacen públicos datos procesados o reportes técnicos para la plataforma </w:t>
            </w:r>
            <w:proofErr w:type="spellStart"/>
            <w:r>
              <w:rPr>
                <w:rFonts w:ascii="Calibri" w:hAnsi="Calibri" w:cs="Calibri"/>
                <w:sz w:val="18"/>
                <w:szCs w:val="18"/>
                <w:lang w:val="es-ES"/>
              </w:rPr>
              <w:t>Fishery</w:t>
            </w:r>
            <w:proofErr w:type="spellEnd"/>
            <w:r>
              <w:rPr>
                <w:rFonts w:ascii="Calibri" w:hAnsi="Calibri" w:cs="Calibri"/>
                <w:sz w:val="18"/>
                <w:szCs w:val="18"/>
                <w:lang w:val="es-ES"/>
              </w:rPr>
              <w:t xml:space="preserve"> </w:t>
            </w:r>
            <w:proofErr w:type="spellStart"/>
            <w:r>
              <w:rPr>
                <w:rFonts w:ascii="Calibri" w:hAnsi="Calibri" w:cs="Calibri"/>
                <w:sz w:val="18"/>
                <w:szCs w:val="18"/>
                <w:lang w:val="es-ES"/>
              </w:rPr>
              <w:t>progress</w:t>
            </w:r>
            <w:proofErr w:type="spellEnd"/>
            <w:r>
              <w:rPr>
                <w:rFonts w:ascii="Calibri" w:hAnsi="Calibri" w:cs="Calibri"/>
                <w:sz w:val="18"/>
                <w:szCs w:val="18"/>
                <w:lang w:val="es-ES"/>
              </w:rPr>
              <w:t>.</w:t>
            </w:r>
          </w:p>
        </w:tc>
      </w:tr>
    </w:tbl>
    <w:p w14:paraId="2881D88D" w14:textId="38988332" w:rsidR="00500A55" w:rsidRDefault="00500A55" w:rsidP="00500A55">
      <w:pPr>
        <w:spacing w:after="120"/>
        <w:jc w:val="both"/>
        <w:rPr>
          <w:rFonts w:ascii="Calibri" w:hAnsi="Calibri" w:cs="Calibri"/>
          <w:sz w:val="22"/>
          <w:szCs w:val="22"/>
          <w:lang w:val="es-ES"/>
        </w:rPr>
      </w:pPr>
    </w:p>
    <w:p w14:paraId="2E37DEC2" w14:textId="59BFA6C2" w:rsidR="00825B11" w:rsidRDefault="00825B11" w:rsidP="00616D32">
      <w:pPr>
        <w:tabs>
          <w:tab w:val="left" w:pos="5570"/>
        </w:tabs>
        <w:spacing w:after="120"/>
        <w:jc w:val="both"/>
        <w:rPr>
          <w:rFonts w:ascii="Calibri" w:hAnsi="Calibri" w:cs="Calibri"/>
          <w:b/>
          <w:bCs/>
          <w:sz w:val="22"/>
          <w:szCs w:val="22"/>
          <w:lang w:val="es-ES"/>
        </w:rPr>
      </w:pPr>
    </w:p>
    <w:p w14:paraId="586A9549" w14:textId="55DAF544" w:rsidR="00825B11" w:rsidRDefault="00616D32" w:rsidP="00D4358A">
      <w:pPr>
        <w:tabs>
          <w:tab w:val="left" w:pos="3470"/>
          <w:tab w:val="center" w:pos="4819"/>
          <w:tab w:val="left" w:pos="7181"/>
        </w:tabs>
        <w:spacing w:after="120"/>
        <w:jc w:val="both"/>
        <w:rPr>
          <w:rFonts w:ascii="Calibri" w:hAnsi="Calibri" w:cs="Calibri"/>
          <w:b/>
          <w:bCs/>
          <w:sz w:val="22"/>
          <w:szCs w:val="22"/>
          <w:lang w:val="es-ES"/>
        </w:rPr>
      </w:pPr>
      <w:r>
        <w:rPr>
          <w:rFonts w:ascii="Calibri" w:hAnsi="Calibri" w:cs="Calibri"/>
          <w:b/>
          <w:bCs/>
          <w:sz w:val="22"/>
          <w:szCs w:val="22"/>
          <w:lang w:val="es-ES"/>
        </w:rPr>
        <w:tab/>
      </w:r>
      <w:r w:rsidR="00D4358A">
        <w:rPr>
          <w:rFonts w:ascii="Calibri" w:hAnsi="Calibri" w:cs="Calibri"/>
          <w:b/>
          <w:bCs/>
          <w:sz w:val="22"/>
          <w:szCs w:val="22"/>
          <w:lang w:val="es-ES"/>
        </w:rPr>
        <w:tab/>
      </w:r>
      <w:r w:rsidR="00D4358A">
        <w:rPr>
          <w:rFonts w:ascii="Calibri" w:hAnsi="Calibri" w:cs="Calibri"/>
          <w:b/>
          <w:bCs/>
          <w:sz w:val="22"/>
          <w:szCs w:val="22"/>
          <w:lang w:val="es-ES"/>
        </w:rPr>
        <w:tab/>
      </w:r>
    </w:p>
    <w:p w14:paraId="41681A39" w14:textId="6988A419" w:rsidR="00825B11" w:rsidRDefault="00825B11" w:rsidP="00616D32">
      <w:pPr>
        <w:spacing w:after="120"/>
        <w:jc w:val="center"/>
        <w:rPr>
          <w:rFonts w:ascii="Calibri" w:hAnsi="Calibri" w:cs="Calibri"/>
          <w:b/>
          <w:bCs/>
          <w:sz w:val="22"/>
          <w:szCs w:val="22"/>
          <w:lang w:val="es-ES"/>
        </w:rPr>
      </w:pPr>
    </w:p>
    <w:p w14:paraId="7C9D3DBA" w14:textId="77777777" w:rsidR="00227A68" w:rsidRDefault="00227A68" w:rsidP="00616D32">
      <w:pPr>
        <w:spacing w:after="120"/>
        <w:jc w:val="center"/>
        <w:rPr>
          <w:rFonts w:ascii="Calibri" w:hAnsi="Calibri" w:cs="Calibri"/>
          <w:b/>
          <w:bCs/>
          <w:sz w:val="22"/>
          <w:szCs w:val="22"/>
          <w:lang w:val="es-ES"/>
        </w:rPr>
      </w:pPr>
    </w:p>
    <w:p w14:paraId="79147743" w14:textId="77777777" w:rsidR="00227A68" w:rsidRDefault="00227A68" w:rsidP="00616D32">
      <w:pPr>
        <w:spacing w:after="120"/>
        <w:jc w:val="center"/>
        <w:rPr>
          <w:rFonts w:ascii="Calibri" w:hAnsi="Calibri" w:cs="Calibri"/>
          <w:b/>
          <w:bCs/>
          <w:sz w:val="22"/>
          <w:szCs w:val="22"/>
          <w:lang w:val="es-ES"/>
        </w:rPr>
      </w:pPr>
    </w:p>
    <w:p w14:paraId="52A3E5EE" w14:textId="77777777" w:rsidR="00227A68" w:rsidRDefault="00227A68" w:rsidP="00616D32">
      <w:pPr>
        <w:spacing w:after="120"/>
        <w:jc w:val="center"/>
        <w:rPr>
          <w:rFonts w:ascii="Calibri" w:hAnsi="Calibri" w:cs="Calibri"/>
          <w:b/>
          <w:bCs/>
          <w:sz w:val="22"/>
          <w:szCs w:val="22"/>
          <w:lang w:val="es-ES"/>
        </w:rPr>
      </w:pPr>
    </w:p>
    <w:p w14:paraId="6FE19C2E" w14:textId="77777777" w:rsidR="00227A68" w:rsidRDefault="00227A68" w:rsidP="00616D32">
      <w:pPr>
        <w:spacing w:after="120"/>
        <w:jc w:val="center"/>
        <w:rPr>
          <w:rFonts w:ascii="Calibri" w:hAnsi="Calibri" w:cs="Calibri"/>
          <w:b/>
          <w:bCs/>
          <w:sz w:val="22"/>
          <w:szCs w:val="22"/>
          <w:lang w:val="es-ES"/>
        </w:rPr>
      </w:pPr>
    </w:p>
    <w:p w14:paraId="31B970F2" w14:textId="77777777" w:rsidR="00227A68" w:rsidRDefault="00227A68" w:rsidP="00616D32">
      <w:pPr>
        <w:spacing w:after="120"/>
        <w:jc w:val="center"/>
        <w:rPr>
          <w:rFonts w:ascii="Calibri" w:hAnsi="Calibri" w:cs="Calibri"/>
          <w:b/>
          <w:bCs/>
          <w:sz w:val="22"/>
          <w:szCs w:val="22"/>
          <w:lang w:val="es-ES"/>
        </w:rPr>
      </w:pPr>
    </w:p>
    <w:p w14:paraId="3B3A6432" w14:textId="77777777" w:rsidR="00825B11" w:rsidRDefault="00825B11" w:rsidP="00500A55">
      <w:pPr>
        <w:spacing w:after="120"/>
        <w:jc w:val="both"/>
        <w:rPr>
          <w:rFonts w:ascii="Calibri" w:hAnsi="Calibri" w:cs="Calibri"/>
          <w:b/>
          <w:bCs/>
          <w:sz w:val="22"/>
          <w:szCs w:val="22"/>
          <w:lang w:val="es-ES"/>
        </w:rPr>
      </w:pPr>
    </w:p>
    <w:p w14:paraId="2D982646" w14:textId="192F682D" w:rsidR="00825B11" w:rsidRDefault="00C65369" w:rsidP="00A33997">
      <w:pPr>
        <w:pStyle w:val="Prrafodelista"/>
        <w:numPr>
          <w:ilvl w:val="0"/>
          <w:numId w:val="5"/>
        </w:numPr>
        <w:spacing w:after="120"/>
        <w:rPr>
          <w:rFonts w:ascii="Calibri" w:hAnsi="Calibri" w:cs="Calibri"/>
          <w:b/>
          <w:bCs/>
          <w:sz w:val="22"/>
          <w:szCs w:val="22"/>
          <w:lang w:val="es-ES"/>
        </w:rPr>
      </w:pPr>
      <w:r w:rsidRPr="00C65369">
        <w:rPr>
          <w:noProof/>
          <w:lang w:val="es-ES"/>
        </w:rPr>
        <w:lastRenderedPageBreak/>
        <w:drawing>
          <wp:inline distT="0" distB="0" distL="0" distR="0" wp14:anchorId="00BF5D76" wp14:editId="79AE3EE8">
            <wp:extent cx="5786755" cy="2159000"/>
            <wp:effectExtent l="0" t="0" r="4445" b="0"/>
            <wp:docPr id="2989988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755" cy="2159000"/>
                    </a:xfrm>
                    <a:prstGeom prst="rect">
                      <a:avLst/>
                    </a:prstGeom>
                    <a:noFill/>
                    <a:ln>
                      <a:noFill/>
                    </a:ln>
                  </pic:spPr>
                </pic:pic>
              </a:graphicData>
            </a:graphic>
          </wp:inline>
        </w:drawing>
      </w:r>
    </w:p>
    <w:p w14:paraId="3B20C8F0" w14:textId="77777777" w:rsidR="00A33997" w:rsidRPr="00A33997" w:rsidRDefault="00A33997" w:rsidP="00A33997">
      <w:pPr>
        <w:pStyle w:val="Prrafodelista"/>
        <w:spacing w:after="120"/>
        <w:rPr>
          <w:rFonts w:ascii="Calibri" w:hAnsi="Calibri" w:cs="Calibri"/>
          <w:b/>
          <w:bCs/>
          <w:sz w:val="22"/>
          <w:szCs w:val="22"/>
          <w:lang w:val="es-ES"/>
        </w:rPr>
      </w:pPr>
    </w:p>
    <w:p w14:paraId="581D43F4" w14:textId="50FDF9CC" w:rsidR="00C65369" w:rsidRPr="00A33997" w:rsidRDefault="00A33997" w:rsidP="00A33997">
      <w:pPr>
        <w:pStyle w:val="Prrafodelista"/>
        <w:numPr>
          <w:ilvl w:val="0"/>
          <w:numId w:val="5"/>
        </w:numPr>
        <w:tabs>
          <w:tab w:val="left" w:pos="7304"/>
        </w:tabs>
        <w:spacing w:after="120"/>
        <w:jc w:val="both"/>
        <w:rPr>
          <w:rFonts w:ascii="Calibri" w:hAnsi="Calibri" w:cs="Calibri"/>
          <w:sz w:val="22"/>
          <w:szCs w:val="22"/>
        </w:rPr>
      </w:pPr>
      <w:r w:rsidRPr="00C65369">
        <w:rPr>
          <w:noProof/>
          <w:lang w:val="es-ES"/>
        </w:rPr>
        <w:drawing>
          <wp:inline distT="0" distB="0" distL="0" distR="0" wp14:anchorId="72B13CFD" wp14:editId="147D9F90">
            <wp:extent cx="5786755" cy="2146300"/>
            <wp:effectExtent l="0" t="0" r="4445" b="6350"/>
            <wp:docPr id="5386517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6755" cy="2146300"/>
                    </a:xfrm>
                    <a:prstGeom prst="rect">
                      <a:avLst/>
                    </a:prstGeom>
                    <a:noFill/>
                    <a:ln>
                      <a:noFill/>
                    </a:ln>
                  </pic:spPr>
                </pic:pic>
              </a:graphicData>
            </a:graphic>
          </wp:inline>
        </w:drawing>
      </w:r>
    </w:p>
    <w:p w14:paraId="243E73C1" w14:textId="5A86FB49" w:rsidR="00500A55" w:rsidRPr="00227A68" w:rsidRDefault="00C65369" w:rsidP="00A33997">
      <w:pPr>
        <w:tabs>
          <w:tab w:val="left" w:pos="7304"/>
        </w:tabs>
        <w:spacing w:after="120"/>
        <w:jc w:val="both"/>
        <w:rPr>
          <w:rFonts w:ascii="Calibri" w:hAnsi="Calibri" w:cs="Calibri"/>
          <w:sz w:val="22"/>
          <w:szCs w:val="22"/>
        </w:rPr>
      </w:pPr>
      <w:r w:rsidRPr="00C65369">
        <w:rPr>
          <w:rFonts w:ascii="Calibri" w:hAnsi="Calibri" w:cs="Calibri"/>
          <w:sz w:val="22"/>
          <w:szCs w:val="22"/>
        </w:rPr>
        <w:t>Figura 1. Visualización de la estructura de la base de datos destinada al registro de información de la pesquería de verdillo. La</w:t>
      </w:r>
      <w:r w:rsidR="00A33997">
        <w:rPr>
          <w:rFonts w:ascii="Calibri" w:hAnsi="Calibri" w:cs="Calibri"/>
          <w:sz w:val="22"/>
          <w:szCs w:val="22"/>
        </w:rPr>
        <w:t>s imágenes a y b muestran la estructura de la</w:t>
      </w:r>
      <w:r w:rsidRPr="00C65369">
        <w:rPr>
          <w:rFonts w:ascii="Calibri" w:hAnsi="Calibri" w:cs="Calibri"/>
          <w:sz w:val="22"/>
          <w:szCs w:val="22"/>
        </w:rPr>
        <w:t xml:space="preserve"> pestaña “Biológico-Reproductivo” </w:t>
      </w:r>
      <w:r w:rsidR="00A33997">
        <w:rPr>
          <w:rFonts w:ascii="Calibri" w:hAnsi="Calibri" w:cs="Calibri"/>
          <w:sz w:val="22"/>
          <w:szCs w:val="22"/>
        </w:rPr>
        <w:t>que contiene datos de tallas, peso, sexo y fase de madurez</w:t>
      </w:r>
      <w:r w:rsidRPr="00C65369">
        <w:rPr>
          <w:rFonts w:ascii="Calibri" w:hAnsi="Calibri" w:cs="Calibri"/>
          <w:sz w:val="22"/>
          <w:szCs w:val="22"/>
        </w:rPr>
        <w:t>.</w:t>
      </w:r>
      <w:r w:rsidR="00D51FFD">
        <w:rPr>
          <w:rFonts w:ascii="Calibri" w:hAnsi="Calibri" w:cs="Calibri"/>
          <w:sz w:val="22"/>
          <w:szCs w:val="22"/>
          <w:lang w:val="es-ES"/>
        </w:rPr>
        <w:tab/>
      </w:r>
    </w:p>
    <w:p w14:paraId="5968384C" w14:textId="77777777" w:rsidR="005B64D2" w:rsidRDefault="005B64D2" w:rsidP="00616D32">
      <w:pPr>
        <w:rPr>
          <w:rFonts w:ascii="Calibri" w:hAnsi="Calibri" w:cs="Calibri"/>
          <w:sz w:val="22"/>
          <w:szCs w:val="22"/>
          <w:lang w:val="es-ES"/>
        </w:rPr>
      </w:pPr>
    </w:p>
    <w:p w14:paraId="7B53A9D9" w14:textId="77777777" w:rsidR="005B64D2" w:rsidRDefault="005B64D2" w:rsidP="00616D32">
      <w:pPr>
        <w:rPr>
          <w:rFonts w:ascii="Calibri" w:hAnsi="Calibri" w:cs="Calibri"/>
          <w:sz w:val="22"/>
          <w:szCs w:val="22"/>
          <w:lang w:val="es-ES"/>
        </w:rPr>
      </w:pPr>
    </w:p>
    <w:p w14:paraId="696BA83A" w14:textId="77777777" w:rsidR="005B64D2" w:rsidRDefault="005B64D2" w:rsidP="00616D32">
      <w:pPr>
        <w:rPr>
          <w:rFonts w:ascii="Calibri" w:hAnsi="Calibri" w:cs="Calibri"/>
          <w:sz w:val="22"/>
          <w:szCs w:val="22"/>
          <w:lang w:val="es-ES"/>
        </w:rPr>
      </w:pPr>
    </w:p>
    <w:p w14:paraId="0AEB708F" w14:textId="69C335AB" w:rsidR="00616D32" w:rsidRDefault="00C65369" w:rsidP="00A33997">
      <w:pPr>
        <w:pStyle w:val="Prrafodelista"/>
        <w:numPr>
          <w:ilvl w:val="0"/>
          <w:numId w:val="6"/>
        </w:numPr>
        <w:rPr>
          <w:rFonts w:ascii="Calibri" w:hAnsi="Calibri" w:cs="Calibri"/>
          <w:sz w:val="22"/>
          <w:szCs w:val="22"/>
          <w:lang w:val="es-ES"/>
        </w:rPr>
      </w:pPr>
      <w:r w:rsidRPr="00C65369">
        <w:rPr>
          <w:noProof/>
          <w:lang w:val="es-ES"/>
        </w:rPr>
        <w:drawing>
          <wp:inline distT="0" distB="0" distL="0" distR="0" wp14:anchorId="53FE3DC4" wp14:editId="4EEC2D9D">
            <wp:extent cx="5786755" cy="2176145"/>
            <wp:effectExtent l="0" t="0" r="4445" b="0"/>
            <wp:docPr id="65930435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6755" cy="2176145"/>
                    </a:xfrm>
                    <a:prstGeom prst="rect">
                      <a:avLst/>
                    </a:prstGeom>
                    <a:noFill/>
                    <a:ln>
                      <a:noFill/>
                    </a:ln>
                  </pic:spPr>
                </pic:pic>
              </a:graphicData>
            </a:graphic>
          </wp:inline>
        </w:drawing>
      </w:r>
    </w:p>
    <w:p w14:paraId="2CFED082" w14:textId="4691C36C" w:rsidR="00A33997" w:rsidRDefault="00A33997" w:rsidP="00A33997">
      <w:pPr>
        <w:pStyle w:val="Prrafodelista"/>
        <w:numPr>
          <w:ilvl w:val="0"/>
          <w:numId w:val="6"/>
        </w:numPr>
        <w:rPr>
          <w:rFonts w:ascii="Calibri" w:hAnsi="Calibri" w:cs="Calibri"/>
          <w:sz w:val="22"/>
          <w:szCs w:val="22"/>
          <w:lang w:val="es-ES"/>
        </w:rPr>
      </w:pPr>
      <w:r w:rsidRPr="00C65369">
        <w:rPr>
          <w:rFonts w:ascii="Calibri" w:hAnsi="Calibri" w:cs="Calibri"/>
          <w:noProof/>
          <w:sz w:val="22"/>
          <w:szCs w:val="22"/>
          <w:lang w:val="es-ES"/>
        </w:rPr>
        <w:lastRenderedPageBreak/>
        <w:drawing>
          <wp:inline distT="0" distB="0" distL="0" distR="0" wp14:anchorId="6102E8EA" wp14:editId="47AE3B50">
            <wp:extent cx="5786755" cy="2188845"/>
            <wp:effectExtent l="0" t="0" r="4445" b="1905"/>
            <wp:docPr id="145530486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6755" cy="2188845"/>
                    </a:xfrm>
                    <a:prstGeom prst="rect">
                      <a:avLst/>
                    </a:prstGeom>
                    <a:noFill/>
                    <a:ln>
                      <a:noFill/>
                    </a:ln>
                  </pic:spPr>
                </pic:pic>
              </a:graphicData>
            </a:graphic>
          </wp:inline>
        </w:drawing>
      </w:r>
    </w:p>
    <w:p w14:paraId="2850851F" w14:textId="77777777" w:rsidR="00A33997" w:rsidRDefault="00A33997" w:rsidP="00A33997">
      <w:pPr>
        <w:pStyle w:val="Prrafodelista"/>
        <w:rPr>
          <w:rFonts w:ascii="Calibri" w:hAnsi="Calibri" w:cs="Calibri"/>
          <w:sz w:val="22"/>
          <w:szCs w:val="22"/>
          <w:lang w:val="es-ES"/>
        </w:rPr>
      </w:pPr>
    </w:p>
    <w:p w14:paraId="2023871A" w14:textId="77D34800" w:rsidR="00A33997" w:rsidRPr="00A33997" w:rsidRDefault="00A33997" w:rsidP="00A33997">
      <w:pPr>
        <w:pStyle w:val="Prrafodelista"/>
        <w:numPr>
          <w:ilvl w:val="0"/>
          <w:numId w:val="6"/>
        </w:numPr>
        <w:rPr>
          <w:rFonts w:ascii="Calibri" w:hAnsi="Calibri" w:cs="Calibri"/>
          <w:sz w:val="22"/>
          <w:szCs w:val="22"/>
          <w:lang w:val="es-ES"/>
        </w:rPr>
      </w:pPr>
      <w:r w:rsidRPr="00C65369">
        <w:rPr>
          <w:rFonts w:ascii="Calibri" w:hAnsi="Calibri" w:cs="Calibri"/>
          <w:noProof/>
          <w:sz w:val="22"/>
          <w:szCs w:val="22"/>
          <w:lang w:val="es-ES"/>
        </w:rPr>
        <w:drawing>
          <wp:inline distT="0" distB="0" distL="0" distR="0" wp14:anchorId="7F7E1BD6" wp14:editId="23FEDA0E">
            <wp:extent cx="5786755" cy="2184400"/>
            <wp:effectExtent l="0" t="0" r="4445" b="6350"/>
            <wp:docPr id="53423403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6755" cy="2184400"/>
                    </a:xfrm>
                    <a:prstGeom prst="rect">
                      <a:avLst/>
                    </a:prstGeom>
                    <a:noFill/>
                    <a:ln>
                      <a:noFill/>
                    </a:ln>
                  </pic:spPr>
                </pic:pic>
              </a:graphicData>
            </a:graphic>
          </wp:inline>
        </w:drawing>
      </w:r>
    </w:p>
    <w:p w14:paraId="25CC1903" w14:textId="23EE8EFF" w:rsidR="008F085F" w:rsidRDefault="00C65369" w:rsidP="006F286F">
      <w:pPr>
        <w:jc w:val="both"/>
        <w:rPr>
          <w:rFonts w:ascii="Calibri" w:hAnsi="Calibri" w:cs="Calibri"/>
          <w:sz w:val="22"/>
          <w:szCs w:val="22"/>
        </w:rPr>
      </w:pPr>
      <w:r w:rsidRPr="00C65369">
        <w:rPr>
          <w:rFonts w:ascii="Calibri" w:hAnsi="Calibri" w:cs="Calibri"/>
          <w:sz w:val="22"/>
          <w:szCs w:val="22"/>
        </w:rPr>
        <w:t>Figura 3. Visualización de la estructura de la base de datos destinada al registro de información de la pesquería de verdillo. La</w:t>
      </w:r>
      <w:r w:rsidR="006F286F">
        <w:rPr>
          <w:rFonts w:ascii="Calibri" w:hAnsi="Calibri" w:cs="Calibri"/>
          <w:sz w:val="22"/>
          <w:szCs w:val="22"/>
        </w:rPr>
        <w:t xml:space="preserve">s imágenes </w:t>
      </w:r>
      <w:proofErr w:type="spellStart"/>
      <w:r w:rsidR="006F286F">
        <w:rPr>
          <w:rFonts w:ascii="Calibri" w:hAnsi="Calibri" w:cs="Calibri"/>
          <w:sz w:val="22"/>
          <w:szCs w:val="22"/>
        </w:rPr>
        <w:t>a,b</w:t>
      </w:r>
      <w:proofErr w:type="spellEnd"/>
      <w:r w:rsidR="006F286F">
        <w:rPr>
          <w:rFonts w:ascii="Calibri" w:hAnsi="Calibri" w:cs="Calibri"/>
          <w:sz w:val="22"/>
          <w:szCs w:val="22"/>
        </w:rPr>
        <w:t xml:space="preserve"> y c muestran la estructura de la</w:t>
      </w:r>
      <w:r w:rsidRPr="00C65369">
        <w:rPr>
          <w:rFonts w:ascii="Calibri" w:hAnsi="Calibri" w:cs="Calibri"/>
          <w:sz w:val="22"/>
          <w:szCs w:val="22"/>
        </w:rPr>
        <w:t xml:space="preserve"> pestaña “Producción” </w:t>
      </w:r>
      <w:r w:rsidR="006F286F">
        <w:rPr>
          <w:rFonts w:ascii="Calibri" w:hAnsi="Calibri" w:cs="Calibri"/>
          <w:sz w:val="22"/>
          <w:szCs w:val="22"/>
        </w:rPr>
        <w:t>que contiene</w:t>
      </w:r>
      <w:r w:rsidRPr="00C65369">
        <w:rPr>
          <w:rFonts w:ascii="Calibri" w:hAnsi="Calibri" w:cs="Calibri"/>
          <w:sz w:val="22"/>
          <w:szCs w:val="22"/>
        </w:rPr>
        <w:t xml:space="preserve"> relacionados con el monitoreo de producción obtenido a partir del seguimiento de bitácoras electrónicas.</w:t>
      </w:r>
    </w:p>
    <w:p w14:paraId="1F9BB1BA" w14:textId="6BE6BAFC" w:rsidR="00C65369" w:rsidRDefault="00C65369" w:rsidP="00616D32">
      <w:pPr>
        <w:rPr>
          <w:rFonts w:ascii="Calibri" w:hAnsi="Calibri" w:cs="Calibri"/>
          <w:sz w:val="22"/>
          <w:szCs w:val="22"/>
          <w:lang w:val="es-ES"/>
        </w:rPr>
      </w:pPr>
    </w:p>
    <w:p w14:paraId="6187C836" w14:textId="2758985D" w:rsidR="00C65369" w:rsidRPr="00616D32" w:rsidRDefault="00C65369" w:rsidP="00616D32">
      <w:pPr>
        <w:rPr>
          <w:rFonts w:ascii="Calibri" w:hAnsi="Calibri" w:cs="Calibri"/>
          <w:sz w:val="22"/>
          <w:szCs w:val="22"/>
          <w:lang w:val="es-ES"/>
        </w:rPr>
      </w:pPr>
    </w:p>
    <w:sectPr w:rsidR="00C65369" w:rsidRPr="00616D32" w:rsidSect="005B0079">
      <w:footerReference w:type="even" r:id="rId12"/>
      <w:footerReference w:type="default" r:id="rId13"/>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508A1" w14:textId="77777777" w:rsidR="00FC7729" w:rsidRDefault="00FC7729">
      <w:r>
        <w:separator/>
      </w:r>
    </w:p>
  </w:endnote>
  <w:endnote w:type="continuationSeparator" w:id="0">
    <w:p w14:paraId="12BFEE04" w14:textId="77777777" w:rsidR="00FC7729" w:rsidRDefault="00FC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E0E1C" w14:textId="77777777" w:rsidR="005C5FBB" w:rsidRDefault="00500A55" w:rsidP="00B01EE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C04872" w14:textId="77777777" w:rsidR="005C5FBB" w:rsidRDefault="005C5F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2AA36" w14:textId="77777777" w:rsidR="005C5FBB" w:rsidRPr="001251C8" w:rsidRDefault="00500A55" w:rsidP="00540B95">
    <w:pPr>
      <w:pStyle w:val="Piedepgina"/>
      <w:framePr w:wrap="around" w:vAnchor="text" w:hAnchor="margin" w:xAlign="center" w:y="1"/>
      <w:rPr>
        <w:rStyle w:val="Nmerodepgina"/>
        <w:rFonts w:ascii="Calibri" w:hAnsi="Calibri" w:cs="Calibri"/>
        <w:sz w:val="18"/>
        <w:szCs w:val="18"/>
      </w:rPr>
    </w:pPr>
    <w:r w:rsidRPr="001251C8">
      <w:rPr>
        <w:rStyle w:val="Nmerodepgina"/>
        <w:rFonts w:ascii="Calibri" w:hAnsi="Calibri" w:cs="Calibri"/>
        <w:sz w:val="18"/>
        <w:szCs w:val="18"/>
      </w:rPr>
      <w:fldChar w:fldCharType="begin"/>
    </w:r>
    <w:r w:rsidRPr="001251C8">
      <w:rPr>
        <w:rStyle w:val="Nmerodepgina"/>
        <w:rFonts w:ascii="Calibri" w:hAnsi="Calibri" w:cs="Calibri"/>
        <w:sz w:val="18"/>
        <w:szCs w:val="18"/>
      </w:rPr>
      <w:instrText xml:space="preserve">PAGE  </w:instrText>
    </w:r>
    <w:r w:rsidRPr="001251C8">
      <w:rPr>
        <w:rStyle w:val="Nmerodepgina"/>
        <w:rFonts w:ascii="Calibri" w:hAnsi="Calibri" w:cs="Calibri"/>
        <w:sz w:val="18"/>
        <w:szCs w:val="18"/>
      </w:rPr>
      <w:fldChar w:fldCharType="separate"/>
    </w:r>
    <w:r w:rsidR="00616D32">
      <w:rPr>
        <w:rStyle w:val="Nmerodepgina"/>
        <w:rFonts w:ascii="Calibri" w:hAnsi="Calibri" w:cs="Calibri"/>
        <w:noProof/>
        <w:sz w:val="18"/>
        <w:szCs w:val="18"/>
      </w:rPr>
      <w:t>1</w:t>
    </w:r>
    <w:r w:rsidRPr="001251C8">
      <w:rPr>
        <w:rStyle w:val="Nmerodepgina"/>
        <w:rFonts w:ascii="Calibri" w:hAnsi="Calibri" w:cs="Calibri"/>
        <w:sz w:val="18"/>
        <w:szCs w:val="18"/>
      </w:rPr>
      <w:fldChar w:fldCharType="end"/>
    </w:r>
  </w:p>
  <w:p w14:paraId="71E8D59F" w14:textId="77777777" w:rsidR="005C5FBB" w:rsidRDefault="005C5F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E9A21" w14:textId="77777777" w:rsidR="00FC7729" w:rsidRDefault="00FC7729">
      <w:r>
        <w:separator/>
      </w:r>
    </w:p>
  </w:footnote>
  <w:footnote w:type="continuationSeparator" w:id="0">
    <w:p w14:paraId="0E0B44DD" w14:textId="77777777" w:rsidR="00FC7729" w:rsidRDefault="00FC7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462E8"/>
    <w:multiLevelType w:val="hybridMultilevel"/>
    <w:tmpl w:val="310C19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767DCF"/>
    <w:multiLevelType w:val="hybridMultilevel"/>
    <w:tmpl w:val="A4C83270"/>
    <w:lvl w:ilvl="0" w:tplc="A3EAE67E">
      <w:numFmt w:val="bullet"/>
      <w:lvlText w:val="-"/>
      <w:lvlJc w:val="left"/>
      <w:pPr>
        <w:ind w:left="612" w:hanging="360"/>
      </w:pPr>
      <w:rPr>
        <w:rFonts w:ascii="Calibri" w:eastAsia="Times New Roman" w:hAnsi="Calibri" w:cs="Calibri"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2" w15:restartNumberingAfterBreak="0">
    <w:nsid w:val="29486D91"/>
    <w:multiLevelType w:val="hybridMultilevel"/>
    <w:tmpl w:val="E30E2C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A67A48"/>
    <w:multiLevelType w:val="hybridMultilevel"/>
    <w:tmpl w:val="43E4D9E4"/>
    <w:lvl w:ilvl="0" w:tplc="B5D65266">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272384"/>
    <w:multiLevelType w:val="hybridMultilevel"/>
    <w:tmpl w:val="80D6F8C8"/>
    <w:lvl w:ilvl="0" w:tplc="080A0005">
      <w:start w:val="1"/>
      <w:numFmt w:val="bullet"/>
      <w:lvlText w:val=""/>
      <w:lvlJc w:val="left"/>
      <w:pPr>
        <w:ind w:left="972" w:hanging="360"/>
      </w:pPr>
      <w:rPr>
        <w:rFonts w:ascii="Wingdings" w:hAnsi="Wingdings" w:hint="default"/>
      </w:rPr>
    </w:lvl>
    <w:lvl w:ilvl="1" w:tplc="080A0003" w:tentative="1">
      <w:start w:val="1"/>
      <w:numFmt w:val="bullet"/>
      <w:lvlText w:val="o"/>
      <w:lvlJc w:val="left"/>
      <w:pPr>
        <w:ind w:left="1692" w:hanging="360"/>
      </w:pPr>
      <w:rPr>
        <w:rFonts w:ascii="Courier New" w:hAnsi="Courier New" w:cs="Courier New" w:hint="default"/>
      </w:rPr>
    </w:lvl>
    <w:lvl w:ilvl="2" w:tplc="080A0005" w:tentative="1">
      <w:start w:val="1"/>
      <w:numFmt w:val="bullet"/>
      <w:lvlText w:val=""/>
      <w:lvlJc w:val="left"/>
      <w:pPr>
        <w:ind w:left="2412" w:hanging="360"/>
      </w:pPr>
      <w:rPr>
        <w:rFonts w:ascii="Wingdings" w:hAnsi="Wingdings" w:hint="default"/>
      </w:rPr>
    </w:lvl>
    <w:lvl w:ilvl="3" w:tplc="080A0001" w:tentative="1">
      <w:start w:val="1"/>
      <w:numFmt w:val="bullet"/>
      <w:lvlText w:val=""/>
      <w:lvlJc w:val="left"/>
      <w:pPr>
        <w:ind w:left="3132" w:hanging="360"/>
      </w:pPr>
      <w:rPr>
        <w:rFonts w:ascii="Symbol" w:hAnsi="Symbol" w:hint="default"/>
      </w:rPr>
    </w:lvl>
    <w:lvl w:ilvl="4" w:tplc="080A0003" w:tentative="1">
      <w:start w:val="1"/>
      <w:numFmt w:val="bullet"/>
      <w:lvlText w:val="o"/>
      <w:lvlJc w:val="left"/>
      <w:pPr>
        <w:ind w:left="3852" w:hanging="360"/>
      </w:pPr>
      <w:rPr>
        <w:rFonts w:ascii="Courier New" w:hAnsi="Courier New" w:cs="Courier New" w:hint="default"/>
      </w:rPr>
    </w:lvl>
    <w:lvl w:ilvl="5" w:tplc="080A0005" w:tentative="1">
      <w:start w:val="1"/>
      <w:numFmt w:val="bullet"/>
      <w:lvlText w:val=""/>
      <w:lvlJc w:val="left"/>
      <w:pPr>
        <w:ind w:left="4572" w:hanging="360"/>
      </w:pPr>
      <w:rPr>
        <w:rFonts w:ascii="Wingdings" w:hAnsi="Wingdings" w:hint="default"/>
      </w:rPr>
    </w:lvl>
    <w:lvl w:ilvl="6" w:tplc="080A0001" w:tentative="1">
      <w:start w:val="1"/>
      <w:numFmt w:val="bullet"/>
      <w:lvlText w:val=""/>
      <w:lvlJc w:val="left"/>
      <w:pPr>
        <w:ind w:left="5292" w:hanging="360"/>
      </w:pPr>
      <w:rPr>
        <w:rFonts w:ascii="Symbol" w:hAnsi="Symbol" w:hint="default"/>
      </w:rPr>
    </w:lvl>
    <w:lvl w:ilvl="7" w:tplc="080A0003" w:tentative="1">
      <w:start w:val="1"/>
      <w:numFmt w:val="bullet"/>
      <w:lvlText w:val="o"/>
      <w:lvlJc w:val="left"/>
      <w:pPr>
        <w:ind w:left="6012" w:hanging="360"/>
      </w:pPr>
      <w:rPr>
        <w:rFonts w:ascii="Courier New" w:hAnsi="Courier New" w:cs="Courier New" w:hint="default"/>
      </w:rPr>
    </w:lvl>
    <w:lvl w:ilvl="8" w:tplc="080A0005" w:tentative="1">
      <w:start w:val="1"/>
      <w:numFmt w:val="bullet"/>
      <w:lvlText w:val=""/>
      <w:lvlJc w:val="left"/>
      <w:pPr>
        <w:ind w:left="6732" w:hanging="360"/>
      </w:pPr>
      <w:rPr>
        <w:rFonts w:ascii="Wingdings" w:hAnsi="Wingdings" w:hint="default"/>
      </w:rPr>
    </w:lvl>
  </w:abstractNum>
  <w:abstractNum w:abstractNumId="5" w15:restartNumberingAfterBreak="0">
    <w:nsid w:val="79B01C22"/>
    <w:multiLevelType w:val="hybridMultilevel"/>
    <w:tmpl w:val="AC42FAD6"/>
    <w:lvl w:ilvl="0" w:tplc="080A0005">
      <w:start w:val="1"/>
      <w:numFmt w:val="bullet"/>
      <w:lvlText w:val=""/>
      <w:lvlJc w:val="left"/>
      <w:pPr>
        <w:tabs>
          <w:tab w:val="num" w:pos="680"/>
        </w:tabs>
        <w:ind w:left="720" w:hanging="493"/>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58756542">
    <w:abstractNumId w:val="5"/>
  </w:num>
  <w:num w:numId="2" w16cid:durableId="1807428087">
    <w:abstractNumId w:val="1"/>
  </w:num>
  <w:num w:numId="3" w16cid:durableId="1350452262">
    <w:abstractNumId w:val="4"/>
  </w:num>
  <w:num w:numId="4" w16cid:durableId="877350706">
    <w:abstractNumId w:val="2"/>
  </w:num>
  <w:num w:numId="5" w16cid:durableId="929461276">
    <w:abstractNumId w:val="3"/>
  </w:num>
  <w:num w:numId="6" w16cid:durableId="26904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55"/>
    <w:rsid w:val="00001FA5"/>
    <w:rsid w:val="00015FCB"/>
    <w:rsid w:val="00052B1E"/>
    <w:rsid w:val="00061479"/>
    <w:rsid w:val="000B1562"/>
    <w:rsid w:val="000B25AB"/>
    <w:rsid w:val="000C0843"/>
    <w:rsid w:val="000C7C3F"/>
    <w:rsid w:val="0012244F"/>
    <w:rsid w:val="001641B9"/>
    <w:rsid w:val="0017717E"/>
    <w:rsid w:val="001812A8"/>
    <w:rsid w:val="001A6A7E"/>
    <w:rsid w:val="001B7053"/>
    <w:rsid w:val="001E4427"/>
    <w:rsid w:val="002026AD"/>
    <w:rsid w:val="00207682"/>
    <w:rsid w:val="00210518"/>
    <w:rsid w:val="00215EF3"/>
    <w:rsid w:val="00227A68"/>
    <w:rsid w:val="00243727"/>
    <w:rsid w:val="00245358"/>
    <w:rsid w:val="002542D8"/>
    <w:rsid w:val="002640A9"/>
    <w:rsid w:val="002A2361"/>
    <w:rsid w:val="002B7F65"/>
    <w:rsid w:val="002C7062"/>
    <w:rsid w:val="002D2DA8"/>
    <w:rsid w:val="0030472C"/>
    <w:rsid w:val="00304E99"/>
    <w:rsid w:val="003101EC"/>
    <w:rsid w:val="003267D9"/>
    <w:rsid w:val="0034318D"/>
    <w:rsid w:val="003670F3"/>
    <w:rsid w:val="00381BF0"/>
    <w:rsid w:val="003926DE"/>
    <w:rsid w:val="004469D1"/>
    <w:rsid w:val="0045749F"/>
    <w:rsid w:val="004653F7"/>
    <w:rsid w:val="00474327"/>
    <w:rsid w:val="00496BA0"/>
    <w:rsid w:val="004B2B5E"/>
    <w:rsid w:val="004E5346"/>
    <w:rsid w:val="00500A55"/>
    <w:rsid w:val="00501257"/>
    <w:rsid w:val="00521557"/>
    <w:rsid w:val="00544293"/>
    <w:rsid w:val="0056008F"/>
    <w:rsid w:val="005B0079"/>
    <w:rsid w:val="005B64D2"/>
    <w:rsid w:val="005B73A1"/>
    <w:rsid w:val="005C5FBB"/>
    <w:rsid w:val="005D631F"/>
    <w:rsid w:val="006036C4"/>
    <w:rsid w:val="00606790"/>
    <w:rsid w:val="00616D32"/>
    <w:rsid w:val="006208D1"/>
    <w:rsid w:val="00622418"/>
    <w:rsid w:val="006254D9"/>
    <w:rsid w:val="00632A47"/>
    <w:rsid w:val="006416BB"/>
    <w:rsid w:val="006748D9"/>
    <w:rsid w:val="0069426A"/>
    <w:rsid w:val="006C6E37"/>
    <w:rsid w:val="006E4875"/>
    <w:rsid w:val="006F286F"/>
    <w:rsid w:val="006F46D8"/>
    <w:rsid w:val="006F7600"/>
    <w:rsid w:val="006F7668"/>
    <w:rsid w:val="007042F2"/>
    <w:rsid w:val="00714C2C"/>
    <w:rsid w:val="00733CC7"/>
    <w:rsid w:val="00744A41"/>
    <w:rsid w:val="00745AD8"/>
    <w:rsid w:val="00764285"/>
    <w:rsid w:val="007A48D8"/>
    <w:rsid w:val="007F0AB6"/>
    <w:rsid w:val="00806168"/>
    <w:rsid w:val="00825B11"/>
    <w:rsid w:val="008301C5"/>
    <w:rsid w:val="00837077"/>
    <w:rsid w:val="0084254B"/>
    <w:rsid w:val="00842F8E"/>
    <w:rsid w:val="0085398F"/>
    <w:rsid w:val="00870130"/>
    <w:rsid w:val="00872345"/>
    <w:rsid w:val="00884CC0"/>
    <w:rsid w:val="00891EB3"/>
    <w:rsid w:val="00895484"/>
    <w:rsid w:val="008B39A8"/>
    <w:rsid w:val="008E1565"/>
    <w:rsid w:val="008E5A1B"/>
    <w:rsid w:val="008F085F"/>
    <w:rsid w:val="008F6C01"/>
    <w:rsid w:val="00903113"/>
    <w:rsid w:val="009103E5"/>
    <w:rsid w:val="0093349D"/>
    <w:rsid w:val="0094334B"/>
    <w:rsid w:val="009646EE"/>
    <w:rsid w:val="00974086"/>
    <w:rsid w:val="009749DF"/>
    <w:rsid w:val="009A2A4E"/>
    <w:rsid w:val="009B614D"/>
    <w:rsid w:val="009C2383"/>
    <w:rsid w:val="009E1A9D"/>
    <w:rsid w:val="00A14E87"/>
    <w:rsid w:val="00A33997"/>
    <w:rsid w:val="00A46051"/>
    <w:rsid w:val="00A720CD"/>
    <w:rsid w:val="00A95148"/>
    <w:rsid w:val="00AB47F8"/>
    <w:rsid w:val="00AC35B4"/>
    <w:rsid w:val="00AD268A"/>
    <w:rsid w:val="00AE73E7"/>
    <w:rsid w:val="00B1357A"/>
    <w:rsid w:val="00B35550"/>
    <w:rsid w:val="00B36D43"/>
    <w:rsid w:val="00B41B64"/>
    <w:rsid w:val="00B65F60"/>
    <w:rsid w:val="00B76983"/>
    <w:rsid w:val="00BB6584"/>
    <w:rsid w:val="00BC1A9E"/>
    <w:rsid w:val="00BC66C5"/>
    <w:rsid w:val="00BD6C76"/>
    <w:rsid w:val="00BE722A"/>
    <w:rsid w:val="00BF4D4A"/>
    <w:rsid w:val="00BF7995"/>
    <w:rsid w:val="00C216C2"/>
    <w:rsid w:val="00C65369"/>
    <w:rsid w:val="00C72136"/>
    <w:rsid w:val="00C776C9"/>
    <w:rsid w:val="00C83B2A"/>
    <w:rsid w:val="00CA213B"/>
    <w:rsid w:val="00CE4E08"/>
    <w:rsid w:val="00D22469"/>
    <w:rsid w:val="00D4358A"/>
    <w:rsid w:val="00D51FFD"/>
    <w:rsid w:val="00D52DC2"/>
    <w:rsid w:val="00D80D08"/>
    <w:rsid w:val="00DA6B87"/>
    <w:rsid w:val="00DB4874"/>
    <w:rsid w:val="00DC4B94"/>
    <w:rsid w:val="00E224DF"/>
    <w:rsid w:val="00E322EE"/>
    <w:rsid w:val="00E36425"/>
    <w:rsid w:val="00E40DB0"/>
    <w:rsid w:val="00E82257"/>
    <w:rsid w:val="00E85859"/>
    <w:rsid w:val="00E8658B"/>
    <w:rsid w:val="00E9139A"/>
    <w:rsid w:val="00EA3123"/>
    <w:rsid w:val="00EB23EF"/>
    <w:rsid w:val="00EB3CA7"/>
    <w:rsid w:val="00EE0E05"/>
    <w:rsid w:val="00EE2D24"/>
    <w:rsid w:val="00EF5283"/>
    <w:rsid w:val="00F53357"/>
    <w:rsid w:val="00F552E5"/>
    <w:rsid w:val="00F73291"/>
    <w:rsid w:val="00F84851"/>
    <w:rsid w:val="00FA4DD1"/>
    <w:rsid w:val="00FB19A9"/>
    <w:rsid w:val="00FC7729"/>
    <w:rsid w:val="00FE7F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7C335"/>
  <w15:chartTrackingRefBased/>
  <w15:docId w15:val="{FCFF338A-5166-42E4-AE14-2FE693CC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A5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00A55"/>
    <w:pPr>
      <w:tabs>
        <w:tab w:val="center" w:pos="4252"/>
        <w:tab w:val="right" w:pos="8504"/>
      </w:tabs>
    </w:pPr>
  </w:style>
  <w:style w:type="character" w:customStyle="1" w:styleId="PiedepginaCar">
    <w:name w:val="Pie de página Car"/>
    <w:basedOn w:val="Fuentedeprrafopredeter"/>
    <w:link w:val="Piedepgina"/>
    <w:rsid w:val="00500A55"/>
    <w:rPr>
      <w:rFonts w:ascii="Times New Roman" w:eastAsia="Times New Roman" w:hAnsi="Times New Roman" w:cs="Times New Roman"/>
      <w:sz w:val="24"/>
      <w:szCs w:val="24"/>
      <w:lang w:eastAsia="es-MX"/>
    </w:rPr>
  </w:style>
  <w:style w:type="character" w:styleId="Nmerodepgina">
    <w:name w:val="page number"/>
    <w:basedOn w:val="Fuentedeprrafopredeter"/>
    <w:rsid w:val="00500A55"/>
  </w:style>
  <w:style w:type="table" w:styleId="Tablaconcuadrcula">
    <w:name w:val="Table Grid"/>
    <w:basedOn w:val="Tablanormal"/>
    <w:uiPriority w:val="39"/>
    <w:rsid w:val="0083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25B11"/>
    <w:pPr>
      <w:tabs>
        <w:tab w:val="center" w:pos="4419"/>
        <w:tab w:val="right" w:pos="8838"/>
      </w:tabs>
    </w:pPr>
  </w:style>
  <w:style w:type="character" w:customStyle="1" w:styleId="EncabezadoCar">
    <w:name w:val="Encabezado Car"/>
    <w:basedOn w:val="Fuentedeprrafopredeter"/>
    <w:link w:val="Encabezado"/>
    <w:uiPriority w:val="99"/>
    <w:rsid w:val="00825B11"/>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224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2469"/>
    <w:rPr>
      <w:rFonts w:ascii="Segoe UI" w:eastAsia="Times New Roman" w:hAnsi="Segoe UI" w:cs="Segoe UI"/>
      <w:sz w:val="18"/>
      <w:szCs w:val="18"/>
      <w:lang w:eastAsia="es-MX"/>
    </w:rPr>
  </w:style>
  <w:style w:type="paragraph" w:styleId="Prrafodelista">
    <w:name w:val="List Paragraph"/>
    <w:basedOn w:val="Normal"/>
    <w:uiPriority w:val="34"/>
    <w:qFormat/>
    <w:rsid w:val="00903113"/>
    <w:pPr>
      <w:ind w:left="720"/>
      <w:contextualSpacing/>
    </w:pPr>
  </w:style>
  <w:style w:type="character" w:styleId="Refdecomentario">
    <w:name w:val="annotation reference"/>
    <w:basedOn w:val="Fuentedeprrafopredeter"/>
    <w:uiPriority w:val="99"/>
    <w:semiHidden/>
    <w:unhideWhenUsed/>
    <w:rsid w:val="00243727"/>
    <w:rPr>
      <w:sz w:val="16"/>
      <w:szCs w:val="16"/>
    </w:rPr>
  </w:style>
  <w:style w:type="paragraph" w:styleId="Textocomentario">
    <w:name w:val="annotation text"/>
    <w:basedOn w:val="Normal"/>
    <w:link w:val="TextocomentarioCar"/>
    <w:uiPriority w:val="99"/>
    <w:semiHidden/>
    <w:unhideWhenUsed/>
    <w:rsid w:val="00243727"/>
    <w:rPr>
      <w:sz w:val="20"/>
      <w:szCs w:val="20"/>
    </w:rPr>
  </w:style>
  <w:style w:type="character" w:customStyle="1" w:styleId="TextocomentarioCar">
    <w:name w:val="Texto comentario Car"/>
    <w:basedOn w:val="Fuentedeprrafopredeter"/>
    <w:link w:val="Textocomentario"/>
    <w:uiPriority w:val="99"/>
    <w:semiHidden/>
    <w:rsid w:val="00243727"/>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43727"/>
    <w:rPr>
      <w:b/>
      <w:bCs/>
    </w:rPr>
  </w:style>
  <w:style w:type="character" w:customStyle="1" w:styleId="AsuntodelcomentarioCar">
    <w:name w:val="Asunto del comentario Car"/>
    <w:basedOn w:val="TextocomentarioCar"/>
    <w:link w:val="Asuntodelcomentario"/>
    <w:uiPriority w:val="99"/>
    <w:semiHidden/>
    <w:rsid w:val="00243727"/>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654643">
      <w:bodyDiv w:val="1"/>
      <w:marLeft w:val="0"/>
      <w:marRight w:val="0"/>
      <w:marTop w:val="0"/>
      <w:marBottom w:val="0"/>
      <w:divBdr>
        <w:top w:val="none" w:sz="0" w:space="0" w:color="auto"/>
        <w:left w:val="none" w:sz="0" w:space="0" w:color="auto"/>
        <w:bottom w:val="none" w:sz="0" w:space="0" w:color="auto"/>
        <w:right w:val="none" w:sz="0" w:space="0" w:color="auto"/>
      </w:divBdr>
    </w:div>
    <w:div w:id="145544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1060</TotalTime>
  <Pages>3</Pages>
  <Words>394</Words>
  <Characters>2193</Characters>
  <Application>Microsoft Office Word</Application>
  <DocSecurity>0</DocSecurity>
  <Lines>66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María Belén Ojeda Villegas</cp:lastModifiedBy>
  <cp:revision>11</cp:revision>
  <dcterms:created xsi:type="dcterms:W3CDTF">2023-12-19T20:54:00Z</dcterms:created>
  <dcterms:modified xsi:type="dcterms:W3CDTF">2024-11-30T02:14:00Z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9493df7f4e7c78cb5e9999f8bad5f65201e242f580b949ab2e3c99b0b3b170b0</vt:lpwstr>
  </property>
</Properties>
</file>