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9DACC" w14:textId="7502726B" w:rsidR="00CC2709" w:rsidRDefault="00822BB3" w:rsidP="00081E62">
      <w:pPr>
        <w:pStyle w:val="m-189263619286536364msolistparagraph"/>
        <w:rPr>
          <w:rFonts w:asciiTheme="minorHAnsi" w:hAnsiTheme="minorHAnsi" w:cs="Calibri (Body)"/>
          <w:szCs w:val="22"/>
        </w:rPr>
      </w:pPr>
      <w:r>
        <w:rPr>
          <w:rFonts w:asciiTheme="minorHAnsi" w:hAnsiTheme="minorHAnsi" w:cs="Calibri (Body)"/>
          <w:szCs w:val="22"/>
        </w:rPr>
        <w:t>ANNUAL</w:t>
      </w:r>
      <w:r w:rsidR="00CC2709" w:rsidRPr="009C2FDE">
        <w:rPr>
          <w:rFonts w:asciiTheme="minorHAnsi" w:hAnsiTheme="minorHAnsi" w:cs="Calibri (Body)"/>
          <w:szCs w:val="22"/>
        </w:rPr>
        <w:t xml:space="preserve"> Progress Report:</w:t>
      </w:r>
      <w:r w:rsidR="005E33BA" w:rsidRPr="009C2FDE">
        <w:rPr>
          <w:rFonts w:asciiTheme="minorHAnsi" w:hAnsiTheme="minorHAnsi" w:cs="Calibri (Body)"/>
          <w:szCs w:val="22"/>
        </w:rPr>
        <w:t xml:space="preserve">  </w:t>
      </w:r>
      <w:r w:rsidR="00B93ADC">
        <w:rPr>
          <w:rFonts w:asciiTheme="minorHAnsi" w:hAnsiTheme="minorHAnsi" w:cs="Calibri (Body)"/>
          <w:szCs w:val="22"/>
        </w:rPr>
        <w:t xml:space="preserve">Indian </w:t>
      </w:r>
      <w:r w:rsidR="007E6C9B" w:rsidRPr="009C2FDE">
        <w:rPr>
          <w:rFonts w:asciiTheme="minorHAnsi" w:hAnsiTheme="minorHAnsi" w:cs="Calibri (Body)"/>
          <w:szCs w:val="22"/>
        </w:rPr>
        <w:t>O</w:t>
      </w:r>
      <w:r w:rsidR="00CC2709" w:rsidRPr="009C2FDE">
        <w:rPr>
          <w:rFonts w:asciiTheme="minorHAnsi" w:hAnsiTheme="minorHAnsi" w:cs="Calibri (Body)"/>
          <w:szCs w:val="22"/>
        </w:rPr>
        <w:t xml:space="preserve">cean Swordfish -Longline </w:t>
      </w:r>
      <w:r>
        <w:rPr>
          <w:rFonts w:asciiTheme="minorHAnsi" w:hAnsiTheme="minorHAnsi" w:cs="Calibri (Body)"/>
          <w:szCs w:val="22"/>
        </w:rPr>
        <w:t>FIP</w:t>
      </w:r>
    </w:p>
    <w:p w14:paraId="1CF9364F" w14:textId="11DDC374" w:rsidR="00E84AA4" w:rsidRDefault="00E84AA4" w:rsidP="00E84AA4">
      <w:pPr>
        <w:pStyle w:val="ListParagraph"/>
        <w:numPr>
          <w:ilvl w:val="0"/>
          <w:numId w:val="3"/>
        </w:numPr>
        <w:rPr>
          <w:rFonts w:cstheme="minorHAnsi"/>
        </w:rPr>
      </w:pPr>
      <w:r w:rsidRPr="00E84AA4">
        <w:rPr>
          <w:rFonts w:cstheme="minorHAnsi"/>
        </w:rPr>
        <w:t>The priorit</w:t>
      </w:r>
      <w:r>
        <w:rPr>
          <w:rFonts w:cstheme="minorHAnsi"/>
        </w:rPr>
        <w:t>ies</w:t>
      </w:r>
      <w:r w:rsidRPr="00E84AA4">
        <w:rPr>
          <w:rFonts w:cstheme="minorHAnsi"/>
        </w:rPr>
        <w:t xml:space="preserve"> </w:t>
      </w:r>
      <w:r>
        <w:rPr>
          <w:rFonts w:cstheme="minorHAnsi"/>
        </w:rPr>
        <w:t xml:space="preserve">are </w:t>
      </w:r>
      <w:r w:rsidR="005436B6">
        <w:rPr>
          <w:rFonts w:cstheme="minorHAnsi"/>
        </w:rPr>
        <w:t xml:space="preserve">making progress on (1) </w:t>
      </w:r>
      <w:r>
        <w:rPr>
          <w:rFonts w:cstheme="minorHAnsi"/>
        </w:rPr>
        <w:t xml:space="preserve">the status </w:t>
      </w:r>
      <w:r w:rsidR="005436B6">
        <w:rPr>
          <w:rFonts w:cstheme="minorHAnsi"/>
        </w:rPr>
        <w:t xml:space="preserve">of the </w:t>
      </w:r>
      <w:r w:rsidR="00697BF4">
        <w:rPr>
          <w:rFonts w:cstheme="minorHAnsi"/>
        </w:rPr>
        <w:t xml:space="preserve">marine </w:t>
      </w:r>
      <w:r w:rsidR="005436B6">
        <w:rPr>
          <w:rFonts w:cstheme="minorHAnsi"/>
        </w:rPr>
        <w:t xml:space="preserve">animals impacted by the fishery </w:t>
      </w:r>
      <w:r>
        <w:rPr>
          <w:rFonts w:cstheme="minorHAnsi"/>
        </w:rPr>
        <w:t xml:space="preserve">and </w:t>
      </w:r>
      <w:r w:rsidR="005436B6">
        <w:rPr>
          <w:rFonts w:cstheme="minorHAnsi"/>
        </w:rPr>
        <w:t xml:space="preserve">on (2) </w:t>
      </w:r>
      <w:r>
        <w:rPr>
          <w:rFonts w:cstheme="minorHAnsi"/>
        </w:rPr>
        <w:t>management measures for e</w:t>
      </w:r>
      <w:r w:rsidRPr="00E84AA4">
        <w:rPr>
          <w:rFonts w:cstheme="minorHAnsi"/>
        </w:rPr>
        <w:t>ndangered</w:t>
      </w:r>
      <w:r>
        <w:rPr>
          <w:rFonts w:cstheme="minorHAnsi"/>
        </w:rPr>
        <w:t>, threatened and protected</w:t>
      </w:r>
      <w:r w:rsidRPr="00E84AA4">
        <w:rPr>
          <w:rFonts w:cstheme="minorHAnsi"/>
        </w:rPr>
        <w:t xml:space="preserve"> specie</w:t>
      </w:r>
      <w:r>
        <w:rPr>
          <w:rFonts w:cstheme="minorHAnsi"/>
        </w:rPr>
        <w:t>s impacted by longline fishing for swordfish</w:t>
      </w:r>
      <w:r w:rsidR="005436B6">
        <w:rPr>
          <w:rFonts w:cstheme="minorHAnsi"/>
        </w:rPr>
        <w:t xml:space="preserve"> </w:t>
      </w:r>
      <w:r>
        <w:rPr>
          <w:rFonts w:cstheme="minorHAnsi"/>
        </w:rPr>
        <w:t xml:space="preserve">in the </w:t>
      </w:r>
      <w:r w:rsidR="00697BF4">
        <w:rPr>
          <w:rFonts w:cstheme="minorHAnsi"/>
        </w:rPr>
        <w:t>Indian Ocean</w:t>
      </w:r>
      <w:r w:rsidR="005436B6">
        <w:rPr>
          <w:rFonts w:cstheme="minorHAnsi"/>
        </w:rPr>
        <w:t>.</w:t>
      </w:r>
    </w:p>
    <w:p w14:paraId="4BE07ED0" w14:textId="2547FC6C" w:rsidR="005436B6" w:rsidRDefault="00E84AA4" w:rsidP="009C2FDE">
      <w:pPr>
        <w:pStyle w:val="ListParagraph"/>
        <w:numPr>
          <w:ilvl w:val="0"/>
          <w:numId w:val="3"/>
        </w:numPr>
        <w:rPr>
          <w:rFonts w:cstheme="minorHAnsi"/>
        </w:rPr>
      </w:pPr>
      <w:r>
        <w:rPr>
          <w:rFonts w:cstheme="minorHAnsi"/>
        </w:rPr>
        <w:t xml:space="preserve">To this end, the FIP supports the conservation and management measures approved </w:t>
      </w:r>
      <w:r w:rsidR="005436B6">
        <w:rPr>
          <w:rFonts w:cstheme="minorHAnsi"/>
        </w:rPr>
        <w:t>for</w:t>
      </w:r>
      <w:r w:rsidR="005436B6">
        <w:rPr>
          <w:rFonts w:cstheme="minorHAnsi"/>
        </w:rPr>
        <w:t xml:space="preserve"> the convention area of the </w:t>
      </w:r>
      <w:r w:rsidR="00697BF4">
        <w:rPr>
          <w:rFonts w:cstheme="minorHAnsi"/>
        </w:rPr>
        <w:t>Indian Ocean Tuna Commission.</w:t>
      </w:r>
    </w:p>
    <w:p w14:paraId="2E26AE4B" w14:textId="3E833DA3" w:rsidR="00E84AA4" w:rsidRPr="00E84AA4" w:rsidRDefault="00E84AA4" w:rsidP="009C2FDE">
      <w:pPr>
        <w:pStyle w:val="ListParagraph"/>
        <w:numPr>
          <w:ilvl w:val="0"/>
          <w:numId w:val="3"/>
        </w:numPr>
        <w:rPr>
          <w:rFonts w:cstheme="minorHAnsi"/>
        </w:rPr>
      </w:pPr>
      <w:r>
        <w:rPr>
          <w:rFonts w:cstheme="minorHAnsi"/>
        </w:rPr>
        <w:t>The following fishery progress was made in 2024:</w:t>
      </w:r>
    </w:p>
    <w:p w14:paraId="1E5F19A8" w14:textId="1851F1DB" w:rsidR="009C2FDE" w:rsidRDefault="009C2FDE" w:rsidP="009C2FDE">
      <w:pPr>
        <w:pStyle w:val="m-189263619286536364msolistparagraph"/>
        <w:rPr>
          <w:rFonts w:asciiTheme="minorHAnsi" w:hAnsiTheme="minorHAnsi" w:cstheme="minorHAnsi"/>
        </w:rPr>
      </w:pPr>
      <w:r w:rsidRPr="00707A03">
        <w:rPr>
          <w:rFonts w:asciiTheme="minorHAnsi" w:hAnsiTheme="minorHAnsi" w:cstheme="minorHAnsi"/>
          <w:u w:val="single"/>
        </w:rPr>
        <w:t xml:space="preserve">Major Fishery Progress </w:t>
      </w:r>
      <w:r w:rsidR="005436B6">
        <w:rPr>
          <w:rFonts w:asciiTheme="minorHAnsi" w:hAnsiTheme="minorHAnsi" w:cstheme="minorHAnsi"/>
          <w:u w:val="single"/>
        </w:rPr>
        <w:t>in</w:t>
      </w:r>
      <w:r w:rsidRPr="00707A03">
        <w:rPr>
          <w:rFonts w:asciiTheme="minorHAnsi" w:hAnsiTheme="minorHAnsi" w:cstheme="minorHAnsi"/>
          <w:u w:val="single"/>
        </w:rPr>
        <w:t xml:space="preserve"> 202</w:t>
      </w:r>
      <w:r w:rsidR="00E84AA4">
        <w:rPr>
          <w:rFonts w:asciiTheme="minorHAnsi" w:hAnsiTheme="minorHAnsi" w:cstheme="minorHAnsi"/>
          <w:u w:val="single"/>
        </w:rPr>
        <w:t>4</w:t>
      </w:r>
      <w:r w:rsidRPr="004837C8">
        <w:rPr>
          <w:rFonts w:asciiTheme="minorHAnsi" w:hAnsiTheme="minorHAnsi" w:cstheme="minorHAnsi"/>
        </w:rPr>
        <w:t>:</w:t>
      </w:r>
    </w:p>
    <w:p w14:paraId="4885A1FC" w14:textId="3F391E3F" w:rsidR="005436B6" w:rsidRPr="004837C8" w:rsidRDefault="005436B6" w:rsidP="009C2FDE">
      <w:pPr>
        <w:pStyle w:val="m-189263619286536364msolistparagraph"/>
        <w:rPr>
          <w:rFonts w:asciiTheme="minorHAnsi" w:hAnsiTheme="minorHAnsi" w:cstheme="minorHAnsi"/>
        </w:rPr>
      </w:pPr>
      <w:r>
        <w:rPr>
          <w:rFonts w:asciiTheme="minorHAnsi" w:hAnsiTheme="minorHAnsi" w:cstheme="minorHAnsi"/>
        </w:rPr>
        <w:t xml:space="preserve">1. </w:t>
      </w:r>
      <w:r w:rsidR="00697BF4">
        <w:rPr>
          <w:rFonts w:asciiTheme="minorHAnsi" w:hAnsiTheme="minorHAnsi" w:cstheme="minorHAnsi"/>
        </w:rPr>
        <w:t>Progress on the</w:t>
      </w:r>
      <w:r>
        <w:rPr>
          <w:rFonts w:asciiTheme="minorHAnsi" w:hAnsiTheme="minorHAnsi" w:cstheme="minorHAnsi"/>
        </w:rPr>
        <w:t xml:space="preserve"> status of </w:t>
      </w:r>
      <w:r w:rsidR="00697BF4">
        <w:rPr>
          <w:rFonts w:asciiTheme="minorHAnsi" w:hAnsiTheme="minorHAnsi" w:cstheme="minorHAnsi"/>
        </w:rPr>
        <w:t xml:space="preserve">marine </w:t>
      </w:r>
      <w:r>
        <w:rPr>
          <w:rFonts w:asciiTheme="minorHAnsi" w:hAnsiTheme="minorHAnsi" w:cstheme="minorHAnsi"/>
        </w:rPr>
        <w:t>animals impacted by the fishery</w:t>
      </w:r>
    </w:p>
    <w:p w14:paraId="25E331FA" w14:textId="6AD7EEE0" w:rsidR="00B93ADC" w:rsidRDefault="00E84AA4" w:rsidP="00B93ADC">
      <w:pPr>
        <w:pStyle w:val="ListParagraph"/>
        <w:numPr>
          <w:ilvl w:val="0"/>
          <w:numId w:val="3"/>
        </w:numPr>
        <w:rPr>
          <w:rFonts w:cstheme="minorHAnsi"/>
        </w:rPr>
      </w:pPr>
      <w:r>
        <w:rPr>
          <w:rFonts w:cstheme="minorHAnsi"/>
        </w:rPr>
        <w:t>Swordfish in t</w:t>
      </w:r>
      <w:r w:rsidR="0045336A" w:rsidRPr="00E84AA4">
        <w:rPr>
          <w:rFonts w:cstheme="minorHAnsi"/>
        </w:rPr>
        <w:t xml:space="preserve">he </w:t>
      </w:r>
      <w:r w:rsidR="00B93ADC">
        <w:rPr>
          <w:rFonts w:cstheme="minorHAnsi"/>
        </w:rPr>
        <w:t>Indian</w:t>
      </w:r>
      <w:r w:rsidR="0045336A" w:rsidRPr="00E84AA4">
        <w:rPr>
          <w:rFonts w:cstheme="minorHAnsi"/>
        </w:rPr>
        <w:t xml:space="preserve"> Ocean </w:t>
      </w:r>
      <w:r>
        <w:rPr>
          <w:rFonts w:cstheme="minorHAnsi"/>
        </w:rPr>
        <w:t>is not overfished n</w:t>
      </w:r>
      <w:r w:rsidR="005436B6">
        <w:rPr>
          <w:rFonts w:cstheme="minorHAnsi"/>
        </w:rPr>
        <w:t>either does it</w:t>
      </w:r>
      <w:r>
        <w:rPr>
          <w:rFonts w:cstheme="minorHAnsi"/>
        </w:rPr>
        <w:t xml:space="preserve"> appear to be undergoing overfishing at this time</w:t>
      </w:r>
      <w:r w:rsidR="00697BF4">
        <w:rPr>
          <w:rFonts w:cstheme="minorHAnsi"/>
        </w:rPr>
        <w:t xml:space="preserve"> (</w:t>
      </w:r>
      <w:r w:rsidR="00B93ADC" w:rsidRPr="00B93ADC">
        <w:rPr>
          <w:rFonts w:cstheme="minorHAnsi"/>
        </w:rPr>
        <w:t>IOTC–2024–WPB22–R[E]</w:t>
      </w:r>
      <w:r w:rsidR="00B93ADC">
        <w:rPr>
          <w:rFonts w:cstheme="minorHAnsi"/>
        </w:rPr>
        <w:t>, page 40</w:t>
      </w:r>
      <w:r w:rsidR="00697BF4">
        <w:rPr>
          <w:rFonts w:cstheme="minorHAnsi"/>
        </w:rPr>
        <w:t>)</w:t>
      </w:r>
      <w:r w:rsidR="00B93ADC">
        <w:rPr>
          <w:rFonts w:cstheme="minorHAnsi"/>
        </w:rPr>
        <w:t xml:space="preserve">. </w:t>
      </w:r>
    </w:p>
    <w:p w14:paraId="7DA230A6" w14:textId="045DEEF8" w:rsidR="00B93ADC" w:rsidRDefault="00B93ADC" w:rsidP="00B93ADC">
      <w:pPr>
        <w:pStyle w:val="ListParagraph"/>
        <w:ind w:left="1080"/>
        <w:rPr>
          <w:rFonts w:cstheme="minorHAnsi"/>
        </w:rPr>
      </w:pPr>
      <w:r>
        <w:rPr>
          <w:rFonts w:cstheme="minorHAnsi"/>
          <w:noProof/>
        </w:rPr>
        <w:drawing>
          <wp:inline distT="0" distB="0" distL="0" distR="0" wp14:anchorId="22A5628F" wp14:editId="70257E9E">
            <wp:extent cx="5132654" cy="1991645"/>
            <wp:effectExtent l="0" t="0" r="0" b="2540"/>
            <wp:docPr id="210318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8101" name="Picture 2103181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45972" cy="1996813"/>
                    </a:xfrm>
                    <a:prstGeom prst="rect">
                      <a:avLst/>
                    </a:prstGeom>
                  </pic:spPr>
                </pic:pic>
              </a:graphicData>
            </a:graphic>
          </wp:inline>
        </w:drawing>
      </w:r>
    </w:p>
    <w:p w14:paraId="06ABDB6F" w14:textId="44E2731B" w:rsidR="00697BF4" w:rsidRPr="00697BF4" w:rsidRDefault="00697BF4" w:rsidP="00697BF4">
      <w:pPr>
        <w:pStyle w:val="ListParagraph"/>
        <w:numPr>
          <w:ilvl w:val="0"/>
          <w:numId w:val="3"/>
        </w:numPr>
        <w:rPr>
          <w:rFonts w:cstheme="minorHAnsi"/>
        </w:rPr>
      </w:pPr>
      <w:r>
        <w:rPr>
          <w:rFonts w:cstheme="minorHAnsi"/>
        </w:rPr>
        <w:t>The I</w:t>
      </w:r>
      <w:r>
        <w:rPr>
          <w:rFonts w:cstheme="minorHAnsi"/>
        </w:rPr>
        <w:t xml:space="preserve">ndian Ocean Tuna Commission manages the swordfish fishery through its Working Party on Billfish, which </w:t>
      </w:r>
      <w:r>
        <w:rPr>
          <w:rFonts w:cstheme="minorHAnsi"/>
        </w:rPr>
        <w:t>held its 22</w:t>
      </w:r>
      <w:r w:rsidRPr="00B93ADC">
        <w:rPr>
          <w:rFonts w:cstheme="minorHAnsi"/>
          <w:vertAlign w:val="superscript"/>
        </w:rPr>
        <w:t>nd</w:t>
      </w:r>
      <w:r>
        <w:rPr>
          <w:rFonts w:cstheme="minorHAnsi"/>
        </w:rPr>
        <w:t xml:space="preserve"> session in the Seychelles, 4-7 September 2024.</w:t>
      </w:r>
      <w:r>
        <w:rPr>
          <w:rFonts w:cstheme="minorHAnsi"/>
        </w:rPr>
        <w:t xml:space="preserve"> The Working Party reported on the status of marine animals caught regularly in billfish fisheries in its meeting document, </w:t>
      </w:r>
      <w:hyperlink r:id="rId6" w:history="1">
        <w:r w:rsidRPr="00697BF4">
          <w:rPr>
            <w:rStyle w:val="Hyperlink"/>
            <w:rFonts w:cstheme="minorHAnsi"/>
          </w:rPr>
          <w:t>IOTC-2024-WPB22-R[E]</w:t>
        </w:r>
      </w:hyperlink>
      <w:r>
        <w:rPr>
          <w:rFonts w:cstheme="minorHAnsi"/>
        </w:rPr>
        <w:t>, including</w:t>
      </w:r>
    </w:p>
    <w:p w14:paraId="12E553E9" w14:textId="6CD19B5B" w:rsidR="00697BF4" w:rsidRDefault="00697BF4" w:rsidP="00697BF4">
      <w:pPr>
        <w:pStyle w:val="ListParagraph"/>
        <w:numPr>
          <w:ilvl w:val="1"/>
          <w:numId w:val="3"/>
        </w:numPr>
        <w:rPr>
          <w:rFonts w:cstheme="minorHAnsi"/>
        </w:rPr>
      </w:pPr>
      <w:r>
        <w:rPr>
          <w:rFonts w:cstheme="minorHAnsi"/>
        </w:rPr>
        <w:t xml:space="preserve">Swordfish </w:t>
      </w:r>
      <w:r w:rsidRPr="00697BF4">
        <w:rPr>
          <w:rFonts w:cstheme="minorHAnsi"/>
        </w:rPr>
        <w:t>(Xiphias gladius)</w:t>
      </w:r>
      <w:r>
        <w:rPr>
          <w:rFonts w:cstheme="minorHAnsi"/>
        </w:rPr>
        <w:t xml:space="preserve"> – Not overfished/Overfishing not occurring</w:t>
      </w:r>
    </w:p>
    <w:p w14:paraId="0A0DE028" w14:textId="3BCC61CE" w:rsidR="00697BF4" w:rsidRPr="00697BF4" w:rsidRDefault="00697BF4" w:rsidP="00697BF4">
      <w:pPr>
        <w:pStyle w:val="ListParagraph"/>
        <w:numPr>
          <w:ilvl w:val="1"/>
          <w:numId w:val="3"/>
        </w:numPr>
        <w:rPr>
          <w:rFonts w:cstheme="minorHAnsi"/>
        </w:rPr>
      </w:pPr>
      <w:r w:rsidRPr="00697BF4">
        <w:rPr>
          <w:rFonts w:cstheme="minorHAnsi"/>
        </w:rPr>
        <w:t xml:space="preserve">Black marlin </w:t>
      </w:r>
      <w:proofErr w:type="gramStart"/>
      <w:r w:rsidRPr="00697BF4">
        <w:rPr>
          <w:rFonts w:cstheme="minorHAnsi"/>
        </w:rPr>
        <w:t xml:space="preserve">( </w:t>
      </w:r>
      <w:proofErr w:type="spellStart"/>
      <w:r w:rsidRPr="00697BF4">
        <w:rPr>
          <w:rFonts w:cstheme="minorHAnsi"/>
        </w:rPr>
        <w:t>Istiompax</w:t>
      </w:r>
      <w:proofErr w:type="spellEnd"/>
      <w:proofErr w:type="gramEnd"/>
      <w:r w:rsidRPr="00697BF4">
        <w:rPr>
          <w:rFonts w:cstheme="minorHAnsi"/>
        </w:rPr>
        <w:t xml:space="preserve"> indica) – </w:t>
      </w:r>
      <w:r>
        <w:rPr>
          <w:rFonts w:cstheme="minorHAnsi"/>
        </w:rPr>
        <w:t>Overfishing is occurring</w:t>
      </w:r>
    </w:p>
    <w:p w14:paraId="515D2629" w14:textId="70ABF2D2" w:rsidR="00697BF4" w:rsidRPr="00697BF4" w:rsidRDefault="00697BF4" w:rsidP="00697BF4">
      <w:pPr>
        <w:pStyle w:val="ListParagraph"/>
        <w:numPr>
          <w:ilvl w:val="1"/>
          <w:numId w:val="3"/>
        </w:numPr>
        <w:rPr>
          <w:rFonts w:cstheme="minorHAnsi"/>
        </w:rPr>
      </w:pPr>
      <w:r w:rsidRPr="00697BF4">
        <w:rPr>
          <w:rFonts w:cstheme="minorHAnsi"/>
        </w:rPr>
        <w:t xml:space="preserve">Blue marlin (Makaira nigricans) – </w:t>
      </w:r>
      <w:r>
        <w:rPr>
          <w:rFonts w:cstheme="minorHAnsi"/>
        </w:rPr>
        <w:t>Overfished</w:t>
      </w:r>
    </w:p>
    <w:p w14:paraId="7D8DE59B" w14:textId="4C5DEEF2" w:rsidR="00697BF4" w:rsidRPr="00697BF4" w:rsidRDefault="00697BF4" w:rsidP="00697BF4">
      <w:pPr>
        <w:pStyle w:val="ListParagraph"/>
        <w:numPr>
          <w:ilvl w:val="1"/>
          <w:numId w:val="3"/>
        </w:numPr>
        <w:rPr>
          <w:rFonts w:cstheme="minorHAnsi"/>
        </w:rPr>
      </w:pPr>
      <w:r w:rsidRPr="00697BF4">
        <w:rPr>
          <w:rFonts w:cstheme="minorHAnsi"/>
        </w:rPr>
        <w:t>Striped marlin (</w:t>
      </w:r>
      <w:proofErr w:type="spellStart"/>
      <w:r w:rsidRPr="00697BF4">
        <w:rPr>
          <w:rFonts w:cstheme="minorHAnsi"/>
        </w:rPr>
        <w:t>Kajikia</w:t>
      </w:r>
      <w:proofErr w:type="spellEnd"/>
      <w:r w:rsidRPr="00697BF4">
        <w:rPr>
          <w:rFonts w:cstheme="minorHAnsi"/>
        </w:rPr>
        <w:t xml:space="preserve"> audax) – </w:t>
      </w:r>
      <w:r>
        <w:rPr>
          <w:rFonts w:cstheme="minorHAnsi"/>
        </w:rPr>
        <w:t>Overfished</w:t>
      </w:r>
    </w:p>
    <w:p w14:paraId="03D299D1" w14:textId="24C5FE59" w:rsidR="00697BF4" w:rsidRPr="00697BF4" w:rsidRDefault="00697BF4" w:rsidP="00697BF4">
      <w:pPr>
        <w:pStyle w:val="ListParagraph"/>
        <w:numPr>
          <w:ilvl w:val="1"/>
          <w:numId w:val="3"/>
        </w:numPr>
        <w:rPr>
          <w:rFonts w:cstheme="minorHAnsi"/>
        </w:rPr>
      </w:pPr>
      <w:r w:rsidRPr="00697BF4">
        <w:rPr>
          <w:rFonts w:cstheme="minorHAnsi"/>
        </w:rPr>
        <w:t>Indo-Pacific sailfish (</w:t>
      </w:r>
      <w:proofErr w:type="spellStart"/>
      <w:r w:rsidRPr="00697BF4">
        <w:rPr>
          <w:rFonts w:cstheme="minorHAnsi"/>
        </w:rPr>
        <w:t>Istiophorus</w:t>
      </w:r>
      <w:proofErr w:type="spellEnd"/>
      <w:r w:rsidRPr="00697BF4">
        <w:rPr>
          <w:rFonts w:cstheme="minorHAnsi"/>
        </w:rPr>
        <w:t xml:space="preserve"> </w:t>
      </w:r>
      <w:proofErr w:type="spellStart"/>
      <w:r w:rsidRPr="00697BF4">
        <w:rPr>
          <w:rFonts w:cstheme="minorHAnsi"/>
        </w:rPr>
        <w:t>platypterus</w:t>
      </w:r>
      <w:proofErr w:type="spellEnd"/>
      <w:r w:rsidRPr="00697BF4">
        <w:rPr>
          <w:rFonts w:cstheme="minorHAnsi"/>
        </w:rPr>
        <w:t xml:space="preserve">) – </w:t>
      </w:r>
      <w:r>
        <w:rPr>
          <w:rFonts w:cstheme="minorHAnsi"/>
        </w:rPr>
        <w:t>Not overfished/Overfishing not occurring</w:t>
      </w:r>
    </w:p>
    <w:p w14:paraId="420950FD" w14:textId="361A4D1D" w:rsidR="00697BF4" w:rsidRPr="00697BF4" w:rsidRDefault="00697BF4" w:rsidP="00697BF4">
      <w:pPr>
        <w:pStyle w:val="ListParagraph"/>
        <w:numPr>
          <w:ilvl w:val="0"/>
          <w:numId w:val="3"/>
        </w:numPr>
        <w:rPr>
          <w:sz w:val="20"/>
          <w:szCs w:val="20"/>
        </w:rPr>
      </w:pPr>
      <w:r w:rsidRPr="00697BF4">
        <w:rPr>
          <w:rFonts w:cstheme="minorHAnsi"/>
        </w:rPr>
        <w:t>These findings are timely</w:t>
      </w:r>
      <w:r>
        <w:rPr>
          <w:rFonts w:cstheme="minorHAnsi"/>
        </w:rPr>
        <w:t xml:space="preserve"> and reveal that while swordfish is in good shape, three of five major billfish species are not in good shape. As billfishes, these animals occupy a similar niche in the ecosystem and are often captured together by both longline and purse seine fisheries in the Indian Ocean. </w:t>
      </w:r>
      <w:r>
        <w:rPr>
          <w:rFonts w:cstheme="minorHAnsi"/>
        </w:rPr>
        <w:t>Additionally, t</w:t>
      </w:r>
      <w:r w:rsidRPr="00697BF4">
        <w:rPr>
          <w:rFonts w:cstheme="minorHAnsi"/>
        </w:rPr>
        <w:t xml:space="preserve">he 2020, 2021 and 2022 </w:t>
      </w:r>
      <w:r>
        <w:rPr>
          <w:rFonts w:cstheme="minorHAnsi"/>
        </w:rPr>
        <w:t xml:space="preserve">swordfish </w:t>
      </w:r>
      <w:r w:rsidRPr="00697BF4">
        <w:rPr>
          <w:rFonts w:cstheme="minorHAnsi"/>
        </w:rPr>
        <w:t>catches exceed</w:t>
      </w:r>
      <w:r>
        <w:rPr>
          <w:rFonts w:cstheme="minorHAnsi"/>
        </w:rPr>
        <w:t>ed</w:t>
      </w:r>
      <w:r w:rsidRPr="00697BF4">
        <w:rPr>
          <w:rFonts w:cstheme="minorHAnsi"/>
        </w:rPr>
        <w:t xml:space="preserve"> the catch limit prescribed in Resolution 18/05 (25,000 t)</w:t>
      </w:r>
      <w:r>
        <w:rPr>
          <w:rFonts w:cstheme="minorHAnsi"/>
        </w:rPr>
        <w:t xml:space="preserve">, although the excess mortality is attributed to coastal gillnet fisheries, and noting that swordfish, marlins and sailfish are caught routinely in tuna fisheries as well. </w:t>
      </w:r>
    </w:p>
    <w:p w14:paraId="7F4B02FE" w14:textId="4761FC9F" w:rsidR="00697BF4" w:rsidRPr="00697BF4" w:rsidRDefault="00697BF4" w:rsidP="00697BF4">
      <w:pPr>
        <w:pStyle w:val="ListParagraph"/>
        <w:numPr>
          <w:ilvl w:val="0"/>
          <w:numId w:val="3"/>
        </w:numPr>
        <w:rPr>
          <w:sz w:val="20"/>
          <w:szCs w:val="20"/>
        </w:rPr>
      </w:pPr>
      <w:r>
        <w:rPr>
          <w:rFonts w:cstheme="minorHAnsi"/>
        </w:rPr>
        <w:lastRenderedPageBreak/>
        <w:t>These results show that swordfish fishing is contributing to overfishing on marlin</w:t>
      </w:r>
      <w:r w:rsidR="00990591">
        <w:rPr>
          <w:rFonts w:cstheme="minorHAnsi"/>
        </w:rPr>
        <w:t>s</w:t>
      </w:r>
      <w:r>
        <w:rPr>
          <w:rFonts w:cstheme="minorHAnsi"/>
        </w:rPr>
        <w:t>. This is needed information to complete a FIP action. I</w:t>
      </w:r>
      <w:r w:rsidRPr="00697BF4">
        <w:rPr>
          <w:rFonts w:cstheme="minorHAnsi"/>
        </w:rPr>
        <w:t>n 2024</w:t>
      </w:r>
      <w:r>
        <w:rPr>
          <w:rFonts w:cstheme="minorHAnsi"/>
        </w:rPr>
        <w:t>,</w:t>
      </w:r>
      <w:r w:rsidRPr="00697BF4">
        <w:rPr>
          <w:rFonts w:cstheme="minorHAnsi"/>
        </w:rPr>
        <w:t xml:space="preserve"> the FIP address</w:t>
      </w:r>
      <w:r>
        <w:rPr>
          <w:rFonts w:cstheme="minorHAnsi"/>
        </w:rPr>
        <w:t>ed</w:t>
      </w:r>
      <w:r w:rsidRPr="00697BF4">
        <w:rPr>
          <w:rFonts w:cstheme="minorHAnsi"/>
        </w:rPr>
        <w:t xml:space="preserve"> the Marine Stewardship Council Fisheries Standard indicator 2.3.1 for the ecosystem outcome </w:t>
      </w:r>
      <w:r>
        <w:rPr>
          <w:rFonts w:cstheme="minorHAnsi"/>
        </w:rPr>
        <w:t>in order to</w:t>
      </w:r>
      <w:r w:rsidRPr="00697BF4">
        <w:rPr>
          <w:rFonts w:cstheme="minorHAnsi"/>
        </w:rPr>
        <w:t>, per the FIP workplan</w:t>
      </w:r>
      <w:r>
        <w:rPr>
          <w:rFonts w:cstheme="minorHAnsi"/>
        </w:rPr>
        <w:t>:</w:t>
      </w:r>
      <w:r w:rsidRPr="00697BF4">
        <w:rPr>
          <w:rFonts w:cstheme="minorHAnsi"/>
        </w:rPr>
        <w:t xml:space="preserve"> </w:t>
      </w:r>
    </w:p>
    <w:p w14:paraId="6608EBCD" w14:textId="2AC30375" w:rsidR="00697BF4" w:rsidRPr="00697BF4" w:rsidRDefault="00697BF4" w:rsidP="00697BF4">
      <w:pPr>
        <w:pStyle w:val="ListParagraph"/>
        <w:numPr>
          <w:ilvl w:val="1"/>
          <w:numId w:val="3"/>
        </w:numPr>
        <w:rPr>
          <w:sz w:val="20"/>
          <w:szCs w:val="20"/>
        </w:rPr>
      </w:pPr>
      <w:r w:rsidRPr="00697BF4">
        <w:rPr>
          <w:rFonts w:cstheme="minorHAnsi"/>
        </w:rPr>
        <w:t>“</w:t>
      </w:r>
      <w:r w:rsidRPr="00697BF4">
        <w:rPr>
          <w:sz w:val="20"/>
          <w:szCs w:val="20"/>
        </w:rPr>
        <w:t xml:space="preserve">Give consideration to the ecosystem role of the target species and the wider ecosystem impacts (both direct and indirect) in the setting of fishing opportunities. (2.5.1, </w:t>
      </w:r>
      <w:hyperlink r:id="rId7" w:history="1">
        <w:r w:rsidRPr="00697BF4">
          <w:rPr>
            <w:rStyle w:val="Hyperlink"/>
            <w:sz w:val="20"/>
            <w:szCs w:val="20"/>
          </w:rPr>
          <w:t>MSC 2016</w:t>
        </w:r>
      </w:hyperlink>
      <w:r w:rsidRPr="00697BF4">
        <w:rPr>
          <w:sz w:val="20"/>
          <w:szCs w:val="20"/>
        </w:rPr>
        <w:t>:266)</w:t>
      </w:r>
      <w:r w:rsidRPr="00697BF4">
        <w:rPr>
          <w:rFonts w:cstheme="minorHAnsi"/>
        </w:rPr>
        <w:t>”.</w:t>
      </w:r>
    </w:p>
    <w:p w14:paraId="40A23B0A" w14:textId="77777777" w:rsidR="00697BF4" w:rsidRDefault="00697BF4" w:rsidP="00E84AA4">
      <w:pPr>
        <w:pStyle w:val="ListParagraph"/>
        <w:numPr>
          <w:ilvl w:val="0"/>
          <w:numId w:val="3"/>
        </w:numPr>
        <w:rPr>
          <w:rFonts w:cstheme="minorHAnsi"/>
        </w:rPr>
      </w:pPr>
      <w:r>
        <w:rPr>
          <w:rFonts w:cstheme="minorHAnsi"/>
        </w:rPr>
        <w:t xml:space="preserve">To complete this FIP action, the FIP aligns with the management recommendations </w:t>
      </w:r>
      <w:r w:rsidRPr="00697BF4">
        <w:rPr>
          <w:rFonts w:cstheme="minorHAnsi"/>
        </w:rPr>
        <w:t>set out by the Working Group on Billfishes at their 22</w:t>
      </w:r>
      <w:r w:rsidRPr="00697BF4">
        <w:rPr>
          <w:rFonts w:cstheme="minorHAnsi"/>
          <w:vertAlign w:val="superscript"/>
        </w:rPr>
        <w:t>nd</w:t>
      </w:r>
      <w:r w:rsidRPr="00697BF4">
        <w:rPr>
          <w:rFonts w:cstheme="minorHAnsi"/>
        </w:rPr>
        <w:t xml:space="preserve"> meeting, as well as pertinent recommendations for this fishery made at the </w:t>
      </w:r>
      <w:r w:rsidRPr="00697BF4">
        <w:fldChar w:fldCharType="begin"/>
      </w:r>
      <w:r w:rsidRPr="00697BF4">
        <w:instrText>HYPERLINK "https://iotc.org/meetings/20th-working-party-ecosystems-and-bycatch-data-preparatory-meeting-wpeb20dp"</w:instrText>
      </w:r>
      <w:r w:rsidRPr="00697BF4">
        <w:fldChar w:fldCharType="separate"/>
      </w:r>
      <w:r w:rsidRPr="00697BF4">
        <w:rPr>
          <w:rStyle w:val="Hyperlink"/>
          <w:rFonts w:cstheme="minorHAnsi"/>
        </w:rPr>
        <w:t xml:space="preserve">20th </w:t>
      </w:r>
      <w:r w:rsidRPr="00697BF4">
        <w:rPr>
          <w:rStyle w:val="Hyperlink"/>
          <w:rFonts w:cstheme="minorHAnsi"/>
        </w:rPr>
        <w:t>W</w:t>
      </w:r>
      <w:r w:rsidRPr="00697BF4">
        <w:rPr>
          <w:rStyle w:val="Hyperlink"/>
          <w:rFonts w:cstheme="minorHAnsi"/>
        </w:rPr>
        <w:t>orking Party on Eco</w:t>
      </w:r>
      <w:r w:rsidRPr="00697BF4">
        <w:rPr>
          <w:rStyle w:val="Hyperlink"/>
          <w:rFonts w:cstheme="minorHAnsi"/>
        </w:rPr>
        <w:t>s</w:t>
      </w:r>
      <w:r w:rsidRPr="00697BF4">
        <w:rPr>
          <w:rStyle w:val="Hyperlink"/>
          <w:rFonts w:cstheme="minorHAnsi"/>
        </w:rPr>
        <w:t>ystems and Bycatch Data Preparatory Meeting (WPEB20(DP))</w:t>
      </w:r>
      <w:r w:rsidRPr="00697BF4">
        <w:rPr>
          <w:rStyle w:val="Hyperlink"/>
          <w:rFonts w:cstheme="minorHAnsi"/>
        </w:rPr>
        <w:fldChar w:fldCharType="end"/>
      </w:r>
      <w:r w:rsidRPr="00697BF4">
        <w:rPr>
          <w:rFonts w:cstheme="minorHAnsi"/>
        </w:rPr>
        <w:t xml:space="preserve"> (April 22</w:t>
      </w:r>
      <w:r w:rsidRPr="00697BF4">
        <w:rPr>
          <w:rFonts w:cstheme="minorHAnsi"/>
        </w:rPr>
        <w:t>, 2024</w:t>
      </w:r>
      <w:r w:rsidRPr="00697BF4">
        <w:rPr>
          <w:rFonts w:cstheme="minorHAnsi"/>
        </w:rPr>
        <w:t>)</w:t>
      </w:r>
      <w:r w:rsidRPr="00697BF4">
        <w:rPr>
          <w:rFonts w:cstheme="minorHAnsi"/>
        </w:rPr>
        <w:t xml:space="preserve">. </w:t>
      </w:r>
    </w:p>
    <w:p w14:paraId="473D0B01" w14:textId="166876CC" w:rsidR="00697BF4" w:rsidRDefault="00697BF4" w:rsidP="00E84AA4">
      <w:pPr>
        <w:pStyle w:val="ListParagraph"/>
        <w:numPr>
          <w:ilvl w:val="0"/>
          <w:numId w:val="3"/>
        </w:numPr>
        <w:rPr>
          <w:rFonts w:cstheme="minorHAnsi"/>
        </w:rPr>
      </w:pPr>
      <w:r w:rsidRPr="00697BF4">
        <w:rPr>
          <w:rFonts w:cstheme="minorHAnsi"/>
        </w:rPr>
        <w:t xml:space="preserve">In addition to recommendations for shark handling and release, the Working Party report contains catch and effort data for seven shark species and the most recent stock assessment </w:t>
      </w:r>
      <w:r>
        <w:rPr>
          <w:rFonts w:cstheme="minorHAnsi"/>
        </w:rPr>
        <w:t xml:space="preserve">showing </w:t>
      </w:r>
      <w:r w:rsidRPr="00697BF4">
        <w:rPr>
          <w:rFonts w:cstheme="minorHAnsi"/>
        </w:rPr>
        <w:t>mako shark (</w:t>
      </w:r>
      <w:hyperlink r:id="rId8" w:history="1">
        <w:r w:rsidRPr="00697BF4">
          <w:rPr>
            <w:rStyle w:val="Hyperlink"/>
            <w:rFonts w:cstheme="minorHAnsi"/>
          </w:rPr>
          <w:t>IOTC-20</w:t>
        </w:r>
        <w:r w:rsidRPr="00697BF4">
          <w:rPr>
            <w:rStyle w:val="Hyperlink"/>
            <w:rFonts w:cstheme="minorHAnsi"/>
          </w:rPr>
          <w:t>1</w:t>
        </w:r>
        <w:r w:rsidRPr="00697BF4">
          <w:rPr>
            <w:rStyle w:val="Hyperlink"/>
            <w:rFonts w:cstheme="minorHAnsi"/>
          </w:rPr>
          <w:t>8-WPEB14-37</w:t>
        </w:r>
      </w:hyperlink>
      <w:r w:rsidRPr="00697BF4">
        <w:rPr>
          <w:rFonts w:cstheme="minorHAnsi"/>
        </w:rPr>
        <w:t>) is subject to overfishing but not overfished.</w:t>
      </w:r>
    </w:p>
    <w:p w14:paraId="5573CBB0" w14:textId="77777777" w:rsidR="00697BF4" w:rsidRDefault="00697BF4" w:rsidP="00E84AA4">
      <w:pPr>
        <w:pStyle w:val="ListParagraph"/>
        <w:numPr>
          <w:ilvl w:val="0"/>
          <w:numId w:val="3"/>
        </w:numPr>
        <w:rPr>
          <w:rFonts w:cstheme="minorHAnsi"/>
        </w:rPr>
      </w:pPr>
      <w:r>
        <w:rPr>
          <w:rFonts w:cstheme="minorHAnsi"/>
        </w:rPr>
        <w:t xml:space="preserve">Based then on the best available science, the major targets in the FIP are better status and management for striped marlin, blue marlin, sailfish, mako shark, as priorities, as well as sea birds and sea turtles feeding on baited hooks. </w:t>
      </w:r>
    </w:p>
    <w:p w14:paraId="70165848" w14:textId="77777777" w:rsidR="00697BF4" w:rsidRDefault="00697BF4" w:rsidP="00697BF4">
      <w:pPr>
        <w:pStyle w:val="ListParagraph"/>
        <w:ind w:left="1080"/>
        <w:rPr>
          <w:rFonts w:cstheme="minorHAnsi"/>
        </w:rPr>
      </w:pPr>
    </w:p>
    <w:p w14:paraId="48062C32" w14:textId="518E5EF1" w:rsidR="00697BF4" w:rsidRDefault="00697BF4" w:rsidP="00697BF4">
      <w:pPr>
        <w:rPr>
          <w:rFonts w:cstheme="minorHAnsi"/>
          <w:u w:val="single"/>
        </w:rPr>
      </w:pPr>
      <w:r w:rsidRPr="005436B6">
        <w:rPr>
          <w:rFonts w:cstheme="minorHAnsi"/>
        </w:rPr>
        <w:t>2.  Progress o</w:t>
      </w:r>
      <w:r>
        <w:rPr>
          <w:rFonts w:cstheme="minorHAnsi"/>
        </w:rPr>
        <w:t>n management measures for e</w:t>
      </w:r>
      <w:r w:rsidRPr="00E84AA4">
        <w:rPr>
          <w:rFonts w:cstheme="minorHAnsi"/>
        </w:rPr>
        <w:t>ndangered</w:t>
      </w:r>
      <w:r>
        <w:rPr>
          <w:rFonts w:cstheme="minorHAnsi"/>
        </w:rPr>
        <w:t>, threatened and protected</w:t>
      </w:r>
      <w:r w:rsidRPr="00E84AA4">
        <w:rPr>
          <w:rFonts w:cstheme="minorHAnsi"/>
        </w:rPr>
        <w:t xml:space="preserve"> specie</w:t>
      </w:r>
      <w:r>
        <w:rPr>
          <w:rFonts w:cstheme="minorHAnsi"/>
        </w:rPr>
        <w:t>s</w:t>
      </w:r>
    </w:p>
    <w:p w14:paraId="7738BBE2" w14:textId="2FDA4E63" w:rsidR="00697BF4" w:rsidRPr="00697BF4" w:rsidRDefault="00697BF4" w:rsidP="00697BF4">
      <w:pPr>
        <w:rPr>
          <w:rFonts w:cstheme="minorHAnsi"/>
        </w:rPr>
      </w:pPr>
    </w:p>
    <w:p w14:paraId="40D4E940" w14:textId="01149543" w:rsidR="00697BF4" w:rsidRPr="00697BF4" w:rsidRDefault="00697BF4" w:rsidP="00697BF4">
      <w:pPr>
        <w:pStyle w:val="ListParagraph"/>
        <w:numPr>
          <w:ilvl w:val="0"/>
          <w:numId w:val="3"/>
        </w:numPr>
        <w:rPr>
          <w:rFonts w:cstheme="minorHAnsi"/>
        </w:rPr>
      </w:pPr>
      <w:r>
        <w:rPr>
          <w:rFonts w:cstheme="minorHAnsi"/>
        </w:rPr>
        <w:t>Notably for the FIP actions, among the prioritized recommendations made by the 22</w:t>
      </w:r>
      <w:r w:rsidRPr="00697BF4">
        <w:rPr>
          <w:rFonts w:cstheme="minorHAnsi"/>
          <w:vertAlign w:val="superscript"/>
        </w:rPr>
        <w:t>nd</w:t>
      </w:r>
      <w:r>
        <w:rPr>
          <w:rFonts w:cstheme="minorHAnsi"/>
        </w:rPr>
        <w:t xml:space="preserve"> Working Party on Billfishes this year was a pressing need to improve catch-and-effort data (CPUE) for swordfish, marlins and sailfish from priority fleets (</w:t>
      </w:r>
      <w:hyperlink r:id="rId9" w:history="1">
        <w:r w:rsidRPr="00697BF4">
          <w:rPr>
            <w:rStyle w:val="Hyperlink"/>
            <w:rFonts w:cstheme="minorHAnsi"/>
          </w:rPr>
          <w:t>IOTC-2024-WPB22-R[E]</w:t>
        </w:r>
      </w:hyperlink>
      <w:r>
        <w:rPr>
          <w:rFonts w:cstheme="minorHAnsi"/>
        </w:rPr>
        <w:t xml:space="preserve">, </w:t>
      </w:r>
      <w:r>
        <w:rPr>
          <w:rFonts w:cstheme="minorHAnsi"/>
        </w:rPr>
        <w:t xml:space="preserve">page 61). Taiwan was identified as one of the priority fleets, and a portion of the vessels participating in the FIP are flagged to Taiwan. Collecting mitigation details was also prioritized. </w:t>
      </w:r>
    </w:p>
    <w:p w14:paraId="262BE605" w14:textId="77777777" w:rsidR="00697BF4" w:rsidRPr="00697BF4" w:rsidRDefault="00697BF4" w:rsidP="00697BF4">
      <w:pPr>
        <w:pStyle w:val="ListParagraph"/>
        <w:numPr>
          <w:ilvl w:val="0"/>
          <w:numId w:val="3"/>
        </w:numPr>
        <w:rPr>
          <w:rFonts w:cstheme="minorHAnsi"/>
          <w:u w:val="single"/>
        </w:rPr>
      </w:pPr>
      <w:r w:rsidRPr="00697BF4">
        <w:rPr>
          <w:rFonts w:cstheme="minorHAnsi"/>
        </w:rPr>
        <w:t xml:space="preserve">Notably for the FIP actions, </w:t>
      </w:r>
      <w:r>
        <w:rPr>
          <w:rFonts w:cstheme="minorHAnsi"/>
        </w:rPr>
        <w:t xml:space="preserve">among the </w:t>
      </w:r>
      <w:r w:rsidRPr="00697BF4">
        <w:rPr>
          <w:rFonts w:cstheme="minorHAnsi"/>
        </w:rPr>
        <w:t xml:space="preserve">pertinent recommendations </w:t>
      </w:r>
      <w:r>
        <w:rPr>
          <w:rFonts w:cstheme="minorHAnsi"/>
        </w:rPr>
        <w:t xml:space="preserve">made </w:t>
      </w:r>
      <w:r w:rsidRPr="00697BF4">
        <w:rPr>
          <w:rFonts w:cstheme="minorHAnsi"/>
        </w:rPr>
        <w:t xml:space="preserve">for this fishery </w:t>
      </w:r>
      <w:r w:rsidRPr="00697BF4">
        <w:rPr>
          <w:rFonts w:cstheme="minorHAnsi"/>
        </w:rPr>
        <w:t>by</w:t>
      </w:r>
      <w:r w:rsidRPr="00697BF4">
        <w:rPr>
          <w:rFonts w:cstheme="minorHAnsi"/>
        </w:rPr>
        <w:t xml:space="preserve"> the </w:t>
      </w:r>
      <w:hyperlink r:id="rId10" w:history="1">
        <w:r w:rsidRPr="00697BF4">
          <w:rPr>
            <w:rStyle w:val="Hyperlink"/>
            <w:rFonts w:cstheme="minorHAnsi"/>
          </w:rPr>
          <w:t>20th Working Party on Ecosystems and Bycatch Data Preparatory Meeting (WPEB20(DP))</w:t>
        </w:r>
      </w:hyperlink>
      <w:r w:rsidRPr="00697BF4">
        <w:rPr>
          <w:rFonts w:cstheme="minorHAnsi"/>
        </w:rPr>
        <w:t xml:space="preserve"> (April 22) </w:t>
      </w:r>
      <w:r>
        <w:rPr>
          <w:rFonts w:cstheme="minorHAnsi"/>
        </w:rPr>
        <w:t>were</w:t>
      </w:r>
      <w:r w:rsidRPr="00697BF4">
        <w:rPr>
          <w:rFonts w:cstheme="minorHAnsi"/>
        </w:rPr>
        <w:t xml:space="preserve">: </w:t>
      </w:r>
      <w:hyperlink r:id="rId11" w:history="1">
        <w:r w:rsidRPr="00697BF4">
          <w:rPr>
            <w:rStyle w:val="Hyperlink"/>
          </w:rPr>
          <w:t xml:space="preserve">Fisheries bycatch of Sharks: Options for Mitigation </w:t>
        </w:r>
      </w:hyperlink>
      <w:r w:rsidRPr="00697BF4">
        <w:t>, IOTC-2024-WPEB20(DP)-INF07, and</w:t>
      </w:r>
      <w:r>
        <w:t xml:space="preserve"> switching to nylon from wire leaders in longline fisheries, see</w:t>
      </w:r>
      <w:r w:rsidRPr="00697BF4">
        <w:t xml:space="preserve"> </w:t>
      </w:r>
      <w:hyperlink r:id="rId12" w:history="1">
        <w:r w:rsidRPr="00697BF4">
          <w:rPr>
            <w:rStyle w:val="Hyperlink"/>
          </w:rPr>
          <w:t>Effect</w:t>
        </w:r>
        <w:r w:rsidRPr="00697BF4">
          <w:rPr>
            <w:rStyle w:val="Hyperlink"/>
          </w:rPr>
          <w:t>s</w:t>
        </w:r>
        <w:r w:rsidRPr="00697BF4">
          <w:rPr>
            <w:rStyle w:val="Hyperlink"/>
          </w:rPr>
          <w:t xml:space="preserve"> of leader material on catches of shallow pelagic longline fisheries in the southwest Indian Ocean </w:t>
        </w:r>
      </w:hyperlink>
      <w:r w:rsidRPr="00697BF4">
        <w:t>, IOTC-2024-WPEB20(DP)-INF09.</w:t>
      </w:r>
    </w:p>
    <w:p w14:paraId="4B5D899B" w14:textId="6134158E" w:rsidR="00697BF4" w:rsidRPr="00697BF4" w:rsidRDefault="00697BF4" w:rsidP="00697BF4">
      <w:pPr>
        <w:pStyle w:val="ListParagraph"/>
        <w:numPr>
          <w:ilvl w:val="0"/>
          <w:numId w:val="3"/>
        </w:numPr>
        <w:rPr>
          <w:rFonts w:cstheme="minorHAnsi"/>
          <w:u w:val="single"/>
        </w:rPr>
      </w:pPr>
      <w:r>
        <w:t xml:space="preserve">These recommendations were taken up into the FIP workplan as priorities for the participating vessels. </w:t>
      </w:r>
    </w:p>
    <w:p w14:paraId="24670215" w14:textId="77777777" w:rsidR="00697BF4" w:rsidRPr="00697BF4" w:rsidRDefault="00697BF4" w:rsidP="00697BF4">
      <w:pPr>
        <w:pStyle w:val="ListParagraph"/>
        <w:numPr>
          <w:ilvl w:val="0"/>
          <w:numId w:val="3"/>
        </w:numPr>
        <w:rPr>
          <w:rFonts w:cstheme="minorHAnsi"/>
          <w:u w:val="single"/>
        </w:rPr>
      </w:pPr>
      <w:r w:rsidRPr="00697BF4">
        <w:rPr>
          <w:rFonts w:cstheme="minorHAnsi"/>
          <w:u w:val="single"/>
        </w:rPr>
        <w:t>The FIP contributed in 2024 by avoiding incidental catches with gear modifications, reporting incidental catches when they occur, and continuing to improve techniques for safe handling and release.</w:t>
      </w:r>
    </w:p>
    <w:p w14:paraId="15CE3F81" w14:textId="4928AEB4" w:rsidR="00697BF4" w:rsidRPr="00697BF4" w:rsidRDefault="00697BF4" w:rsidP="00697BF4">
      <w:pPr>
        <w:pStyle w:val="ListParagraph"/>
        <w:numPr>
          <w:ilvl w:val="0"/>
          <w:numId w:val="3"/>
        </w:numPr>
        <w:rPr>
          <w:rFonts w:cstheme="minorHAnsi"/>
        </w:rPr>
      </w:pPr>
      <w:r w:rsidRPr="00697BF4">
        <w:rPr>
          <w:rFonts w:cstheme="minorHAnsi"/>
        </w:rPr>
        <w:t>Participating vessel owners were engaged in safe handling and release, data collection for incidental catches, and reducing plastics disposal at sea.</w:t>
      </w:r>
    </w:p>
    <w:p w14:paraId="5FB539D6" w14:textId="0575CB7A" w:rsidR="00697BF4" w:rsidRPr="00697BF4" w:rsidRDefault="00697BF4" w:rsidP="00697BF4">
      <w:pPr>
        <w:pStyle w:val="ListParagraph"/>
        <w:numPr>
          <w:ilvl w:val="0"/>
          <w:numId w:val="3"/>
        </w:numPr>
        <w:rPr>
          <w:rFonts w:cstheme="minorHAnsi"/>
          <w:u w:val="single"/>
        </w:rPr>
      </w:pPr>
      <w:r>
        <w:t xml:space="preserve">In November 2024, the vessel owners and captains also received instructions to (1) </w:t>
      </w:r>
      <w:r w:rsidRPr="00697BF4">
        <w:t xml:space="preserve">Mark the </w:t>
      </w:r>
      <w:r>
        <w:t xml:space="preserve">longline </w:t>
      </w:r>
      <w:r w:rsidRPr="00697BF4">
        <w:t>gear and dispose of spent gear back at port</w:t>
      </w:r>
      <w:r>
        <w:t>,</w:t>
      </w:r>
      <w:r w:rsidRPr="00697BF4">
        <w:t xml:space="preserve"> not at sea</w:t>
      </w:r>
      <w:r>
        <w:t xml:space="preserve">, (2) Safely de-hook sea birds and avoid sea turtles with circle hooks and finfish bait, and (3) Avoid sharks by using nylon instead of wire leaders. For Taiwanese vessels only, an </w:t>
      </w:r>
      <w:r>
        <w:lastRenderedPageBreak/>
        <w:t xml:space="preserve">additional instruction was provided to record incidental catches for blue marlin, black marlin, and striped marlin. </w:t>
      </w:r>
    </w:p>
    <w:p w14:paraId="0583B046" w14:textId="77777777" w:rsidR="00697BF4" w:rsidRDefault="00697BF4" w:rsidP="005436B6">
      <w:pPr>
        <w:rPr>
          <w:rFonts w:cstheme="minorHAnsi"/>
        </w:rPr>
      </w:pPr>
    </w:p>
    <w:p w14:paraId="256CA36C" w14:textId="3A2A5821" w:rsidR="005436B6" w:rsidRDefault="005436B6" w:rsidP="005436B6">
      <w:pPr>
        <w:rPr>
          <w:rFonts w:cstheme="minorHAnsi"/>
        </w:rPr>
      </w:pPr>
      <w:r>
        <w:rPr>
          <w:rFonts w:cstheme="minorHAnsi"/>
        </w:rPr>
        <w:t xml:space="preserve">The FIP completed a new social risk assessment in October 2024. The report was posted on the project profile and its results were incorporated into the social workplan that has been posted. This risk assessment departs significantly from the former version, which was previously required. Instead, the new risk assessment conforms to the requirements of human rights due diligence for participating vessels, as it has been defined by the UN Human Rights Council and put into practical guidelines by the </w:t>
      </w:r>
      <w:proofErr w:type="spellStart"/>
      <w:r>
        <w:rPr>
          <w:rFonts w:cstheme="minorHAnsi"/>
        </w:rPr>
        <w:t>Organisation</w:t>
      </w:r>
      <w:proofErr w:type="spellEnd"/>
      <w:r>
        <w:rPr>
          <w:rFonts w:cstheme="minorHAnsi"/>
        </w:rPr>
        <w:t xml:space="preserve"> for Cooperation and Economic Development. This new assessment conforms to the </w:t>
      </w:r>
      <w:hyperlink r:id="rId13" w:history="1">
        <w:r w:rsidRPr="00324568">
          <w:rPr>
            <w:rStyle w:val="Hyperlink"/>
            <w:i/>
            <w:iCs/>
          </w:rPr>
          <w:t>UN Guiding Principles on Business and Human Rights 2011</w:t>
        </w:r>
      </w:hyperlink>
      <w:r w:rsidRPr="00324568">
        <w:rPr>
          <w:i/>
          <w:iCs/>
        </w:rPr>
        <w:t xml:space="preserve"> </w:t>
      </w:r>
      <w:r>
        <w:rPr>
          <w:i/>
          <w:iCs/>
        </w:rPr>
        <w:t xml:space="preserve">and in the </w:t>
      </w:r>
      <w:hyperlink r:id="rId14" w:history="1">
        <w:r w:rsidRPr="00324568">
          <w:rPr>
            <w:rStyle w:val="Hyperlink"/>
            <w:i/>
            <w:iCs/>
          </w:rPr>
          <w:t>OECD Due Diligence Guidance for Responsible Business Conduct</w:t>
        </w:r>
      </w:hyperlink>
      <w:r>
        <w:rPr>
          <w:i/>
          <w:iCs/>
        </w:rPr>
        <w:t xml:space="preserve"> 2018.</w:t>
      </w:r>
    </w:p>
    <w:p w14:paraId="1BD24C59" w14:textId="77777777" w:rsidR="005436B6" w:rsidRDefault="005436B6" w:rsidP="00081E62">
      <w:pPr>
        <w:rPr>
          <w:rFonts w:cstheme="minorHAnsi"/>
        </w:rPr>
      </w:pPr>
    </w:p>
    <w:p w14:paraId="21C30A42" w14:textId="77777777" w:rsidR="005436B6" w:rsidRDefault="005436B6" w:rsidP="00081E62">
      <w:pPr>
        <w:rPr>
          <w:rFonts w:cstheme="minorHAnsi"/>
        </w:rPr>
      </w:pPr>
    </w:p>
    <w:p w14:paraId="31364E2F" w14:textId="6DC7B6F7" w:rsidR="00FA368E" w:rsidRPr="005436B6" w:rsidRDefault="00081E62" w:rsidP="00081E62">
      <w:pPr>
        <w:rPr>
          <w:i/>
          <w:iCs/>
        </w:rPr>
      </w:pPr>
      <w:r w:rsidRPr="005436B6">
        <w:rPr>
          <w:rFonts w:cstheme="minorHAnsi"/>
          <w:i/>
          <w:iCs/>
        </w:rPr>
        <w:t xml:space="preserve">Note: This FIP makes progress in parallel to the </w:t>
      </w:r>
      <w:r w:rsidR="0009170A" w:rsidRPr="005436B6">
        <w:rPr>
          <w:rFonts w:cstheme="minorHAnsi"/>
          <w:i/>
          <w:iCs/>
        </w:rPr>
        <w:t xml:space="preserve">Indian </w:t>
      </w:r>
      <w:r w:rsidRPr="005436B6">
        <w:rPr>
          <w:rFonts w:cstheme="minorHAnsi"/>
          <w:i/>
          <w:iCs/>
        </w:rPr>
        <w:t xml:space="preserve">Ocean Swordfish FIP due to having the same </w:t>
      </w:r>
      <w:r w:rsidR="0009170A" w:rsidRPr="005436B6">
        <w:rPr>
          <w:rFonts w:cstheme="minorHAnsi"/>
          <w:i/>
          <w:iCs/>
        </w:rPr>
        <w:t>buyer</w:t>
      </w:r>
      <w:r w:rsidRPr="005436B6">
        <w:rPr>
          <w:rFonts w:cstheme="minorHAnsi"/>
          <w:i/>
          <w:iCs/>
        </w:rPr>
        <w:t xml:space="preserve"> participants: Fong Hsiang Enterprises and SYMPAC International.</w:t>
      </w:r>
      <w:r w:rsidRPr="005436B6">
        <w:rPr>
          <w:i/>
          <w:iCs/>
        </w:rPr>
        <w:t xml:space="preserve"> </w:t>
      </w:r>
    </w:p>
    <w:sectPr w:rsidR="00FA368E" w:rsidRPr="005436B6" w:rsidSect="007D3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F6246"/>
    <w:multiLevelType w:val="multilevel"/>
    <w:tmpl w:val="C406C7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2452F6"/>
    <w:multiLevelType w:val="hybridMultilevel"/>
    <w:tmpl w:val="75D4A6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424C74"/>
    <w:multiLevelType w:val="hybridMultilevel"/>
    <w:tmpl w:val="77A6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66755"/>
    <w:multiLevelType w:val="hybridMultilevel"/>
    <w:tmpl w:val="E110B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315BE3"/>
    <w:multiLevelType w:val="hybridMultilevel"/>
    <w:tmpl w:val="A7E6C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9501930">
    <w:abstractNumId w:val="0"/>
  </w:num>
  <w:num w:numId="2" w16cid:durableId="299919813">
    <w:abstractNumId w:val="4"/>
  </w:num>
  <w:num w:numId="3" w16cid:durableId="2061130195">
    <w:abstractNumId w:val="1"/>
  </w:num>
  <w:num w:numId="4" w16cid:durableId="608397297">
    <w:abstractNumId w:val="3"/>
  </w:num>
  <w:num w:numId="5" w16cid:durableId="1935046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1F"/>
    <w:rsid w:val="00045E82"/>
    <w:rsid w:val="00074AD6"/>
    <w:rsid w:val="00081E62"/>
    <w:rsid w:val="0009170A"/>
    <w:rsid w:val="001224B7"/>
    <w:rsid w:val="001544FD"/>
    <w:rsid w:val="001629DF"/>
    <w:rsid w:val="00166181"/>
    <w:rsid w:val="001D76A1"/>
    <w:rsid w:val="002027D0"/>
    <w:rsid w:val="00211DCB"/>
    <w:rsid w:val="00263A38"/>
    <w:rsid w:val="003C3EA4"/>
    <w:rsid w:val="003E5477"/>
    <w:rsid w:val="0045336A"/>
    <w:rsid w:val="004C3C09"/>
    <w:rsid w:val="004D653E"/>
    <w:rsid w:val="004E0AE7"/>
    <w:rsid w:val="00532F54"/>
    <w:rsid w:val="005436B6"/>
    <w:rsid w:val="00555282"/>
    <w:rsid w:val="00585F2F"/>
    <w:rsid w:val="005E33BA"/>
    <w:rsid w:val="0064757B"/>
    <w:rsid w:val="00697BF4"/>
    <w:rsid w:val="006A08F9"/>
    <w:rsid w:val="006B4273"/>
    <w:rsid w:val="006E2CE4"/>
    <w:rsid w:val="00707A03"/>
    <w:rsid w:val="007D3F2E"/>
    <w:rsid w:val="007E6C9B"/>
    <w:rsid w:val="00822BB3"/>
    <w:rsid w:val="008B77A8"/>
    <w:rsid w:val="008D12ED"/>
    <w:rsid w:val="008F521B"/>
    <w:rsid w:val="00903830"/>
    <w:rsid w:val="00906C60"/>
    <w:rsid w:val="00911DAE"/>
    <w:rsid w:val="00990591"/>
    <w:rsid w:val="009B06E2"/>
    <w:rsid w:val="009C2FDE"/>
    <w:rsid w:val="009D7092"/>
    <w:rsid w:val="00A47217"/>
    <w:rsid w:val="00AA6B2F"/>
    <w:rsid w:val="00B81E64"/>
    <w:rsid w:val="00B93ADC"/>
    <w:rsid w:val="00CC2709"/>
    <w:rsid w:val="00CC4FBC"/>
    <w:rsid w:val="00CD4592"/>
    <w:rsid w:val="00D9379E"/>
    <w:rsid w:val="00E26814"/>
    <w:rsid w:val="00E84AA4"/>
    <w:rsid w:val="00EB68B9"/>
    <w:rsid w:val="00ED2B1F"/>
    <w:rsid w:val="00F639E5"/>
    <w:rsid w:val="00FA368E"/>
    <w:rsid w:val="00FB0DEB"/>
    <w:rsid w:val="00FB235B"/>
    <w:rsid w:val="00FF1D14"/>
    <w:rsid w:val="00FF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4C19"/>
  <w15:chartTrackingRefBased/>
  <w15:docId w15:val="{8655244B-87D1-0745-BDB3-EF09F9D9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89263619286536364msolistparagraph">
    <w:name w:val="m_-189263619286536364msolistparagraph"/>
    <w:basedOn w:val="Normal"/>
    <w:rsid w:val="00ED2B1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2B1F"/>
    <w:rPr>
      <w:color w:val="0000FF"/>
      <w:u w:val="single"/>
    </w:rPr>
  </w:style>
  <w:style w:type="character" w:customStyle="1" w:styleId="file">
    <w:name w:val="file"/>
    <w:basedOn w:val="DefaultParagraphFont"/>
    <w:rsid w:val="00FA368E"/>
  </w:style>
  <w:style w:type="paragraph" w:styleId="ListParagraph">
    <w:name w:val="List Paragraph"/>
    <w:basedOn w:val="Normal"/>
    <w:uiPriority w:val="34"/>
    <w:qFormat/>
    <w:rsid w:val="004D653E"/>
    <w:pPr>
      <w:ind w:left="720"/>
      <w:contextualSpacing/>
    </w:pPr>
  </w:style>
  <w:style w:type="character" w:styleId="UnresolvedMention">
    <w:name w:val="Unresolved Mention"/>
    <w:basedOn w:val="DefaultParagraphFont"/>
    <w:uiPriority w:val="99"/>
    <w:semiHidden/>
    <w:unhideWhenUsed/>
    <w:rsid w:val="004C3C09"/>
    <w:rPr>
      <w:color w:val="605E5C"/>
      <w:shd w:val="clear" w:color="auto" w:fill="E1DFDD"/>
    </w:rPr>
  </w:style>
  <w:style w:type="character" w:styleId="FollowedHyperlink">
    <w:name w:val="FollowedHyperlink"/>
    <w:basedOn w:val="DefaultParagraphFont"/>
    <w:uiPriority w:val="99"/>
    <w:semiHidden/>
    <w:unhideWhenUsed/>
    <w:rsid w:val="00166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89116">
      <w:bodyDiv w:val="1"/>
      <w:marLeft w:val="0"/>
      <w:marRight w:val="0"/>
      <w:marTop w:val="0"/>
      <w:marBottom w:val="0"/>
      <w:divBdr>
        <w:top w:val="none" w:sz="0" w:space="0" w:color="auto"/>
        <w:left w:val="none" w:sz="0" w:space="0" w:color="auto"/>
        <w:bottom w:val="none" w:sz="0" w:space="0" w:color="auto"/>
        <w:right w:val="none" w:sz="0" w:space="0" w:color="auto"/>
      </w:divBdr>
    </w:div>
    <w:div w:id="1088696186">
      <w:bodyDiv w:val="1"/>
      <w:marLeft w:val="0"/>
      <w:marRight w:val="0"/>
      <w:marTop w:val="0"/>
      <w:marBottom w:val="0"/>
      <w:divBdr>
        <w:top w:val="none" w:sz="0" w:space="0" w:color="auto"/>
        <w:left w:val="none" w:sz="0" w:space="0" w:color="auto"/>
        <w:bottom w:val="none" w:sz="0" w:space="0" w:color="auto"/>
        <w:right w:val="none" w:sz="0" w:space="0" w:color="auto"/>
      </w:divBdr>
    </w:div>
    <w:div w:id="13576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OTC-2018-WPEB14-37_-_A_preliminary_stock_assessment_SMA.pdf" TargetMode="External"/><Relationship Id="rId13" Type="http://schemas.openxmlformats.org/officeDocument/2006/relationships/hyperlink" Target="https://www.ohchr.org/documents/publications/guidingprinciplesbusinesshr_en.pdf" TargetMode="External"/><Relationship Id="rId3" Type="http://schemas.openxmlformats.org/officeDocument/2006/relationships/settings" Target="settings.xml"/><Relationship Id="rId7" Type="http://schemas.openxmlformats.org/officeDocument/2006/relationships/hyperlink" Target="https://www.msc.org/docs/default-source/default-document-library/for-business/msc_capacity_building_toolkit.pdf?sfvrsn=3c080f7a_4" TargetMode="External"/><Relationship Id="rId12" Type="http://schemas.openxmlformats.org/officeDocument/2006/relationships/hyperlink" Target="https://iotc.org/documents/effects-leader-material-catches-shallow-pelagic-longline-fisheries-southwest-indian-oce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otc.org/sites/default/files/documents/2024/11/IOTC-2024-WPB22-RE.pdf" TargetMode="External"/><Relationship Id="rId11" Type="http://schemas.openxmlformats.org/officeDocument/2006/relationships/hyperlink" Target="https://iotc.org/documents/fisheries-bycatch-sharks-options-mitigation"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iotc.org/meetings/20th-working-party-ecosystems-and-bycatch-data-preparatory-meeting-wpeb20dp" TargetMode="External"/><Relationship Id="rId4" Type="http://schemas.openxmlformats.org/officeDocument/2006/relationships/webSettings" Target="webSettings.xml"/><Relationship Id="rId9" Type="http://schemas.openxmlformats.org/officeDocument/2006/relationships/hyperlink" Target="https://iotc.org/sites/default/files/documents/2024/11/IOTC-2024-WPB22-RE.pdf" TargetMode="External"/><Relationship Id="rId14" Type="http://schemas.openxmlformats.org/officeDocument/2006/relationships/hyperlink" Target="https://mneguidelines.oecd.org/due-diligence-guidance-for-responsible-business-condu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Nakamura</dc:creator>
  <cp:keywords/>
  <dc:description/>
  <cp:lastModifiedBy>Katrina Nakamura</cp:lastModifiedBy>
  <cp:revision>3</cp:revision>
  <dcterms:created xsi:type="dcterms:W3CDTF">2024-11-21T21:47:00Z</dcterms:created>
  <dcterms:modified xsi:type="dcterms:W3CDTF">2024-11-21T23:52:00Z</dcterms:modified>
</cp:coreProperties>
</file>