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A" w:rsidRDefault="003D063A" w:rsidP="003D063A">
      <w:pPr>
        <w:jc w:val="right"/>
        <w:rPr>
          <w:b/>
          <w:u w:val="single"/>
        </w:rPr>
      </w:pPr>
      <w:r>
        <w:rPr>
          <w:rFonts w:cstheme="minorHAnsi"/>
          <w:i/>
          <w:color w:val="0070C0"/>
        </w:rPr>
        <w:t>[</w:t>
      </w:r>
      <w:r w:rsidRPr="00974173">
        <w:rPr>
          <w:rFonts w:cstheme="minorHAnsi"/>
          <w:i/>
          <w:color w:val="0070C0"/>
        </w:rPr>
        <w:t>Suggested structure</w:t>
      </w:r>
      <w:r>
        <w:rPr>
          <w:rFonts w:cstheme="minorHAnsi"/>
          <w:i/>
          <w:color w:val="0070C0"/>
        </w:rPr>
        <w:t>]</w:t>
      </w:r>
      <w:r>
        <w:rPr>
          <w:rFonts w:cstheme="minorHAnsi"/>
          <w:i/>
          <w:color w:val="0070C0"/>
        </w:rPr>
        <w:tab/>
        <w:t xml:space="preserve">                                                                                                              </w:t>
      </w:r>
      <w:r>
        <w:rPr>
          <w:i/>
          <w:color w:val="5B9BD5" w:themeColor="accent1"/>
        </w:rPr>
        <w:t>S</w:t>
      </w:r>
      <w:r w:rsidRPr="006E62D9">
        <w:rPr>
          <w:i/>
          <w:color w:val="5B9BD5" w:themeColor="accent1"/>
        </w:rPr>
        <w:t>election process #</w:t>
      </w:r>
    </w:p>
    <w:p w:rsidR="003D063A" w:rsidRPr="00181D87" w:rsidRDefault="003D063A" w:rsidP="003D063A">
      <w:pPr>
        <w:pStyle w:val="Heading1"/>
        <w:jc w:val="center"/>
        <w:rPr>
          <w:rFonts w:asciiTheme="minorHAnsi" w:hAnsiTheme="minorHAnsi"/>
          <w:b/>
          <w:sz w:val="22"/>
          <w:szCs w:val="22"/>
          <w:u w:val="single"/>
        </w:rPr>
      </w:pPr>
      <w:r w:rsidRPr="003277B0">
        <w:rPr>
          <w:rFonts w:asciiTheme="minorHAnsi" w:hAnsiTheme="minorHAnsi"/>
          <w:b/>
          <w:sz w:val="22"/>
          <w:szCs w:val="22"/>
          <w:highlight w:val="yellow"/>
          <w:u w:val="single"/>
        </w:rPr>
        <w:t>TERMS OF REFERENCE</w:t>
      </w:r>
    </w:p>
    <w:p w:rsidR="003D063A" w:rsidRDefault="003D063A" w:rsidP="003D063A">
      <w:pPr>
        <w:jc w:val="center"/>
        <w:rPr>
          <w:rFonts w:cstheme="minorHAnsi"/>
          <w:i/>
          <w:color w:val="0070C0"/>
        </w:rPr>
      </w:pPr>
    </w:p>
    <w:p w:rsidR="008E3513" w:rsidRDefault="008E3513" w:rsidP="008E3513">
      <w:pPr>
        <w:jc w:val="center"/>
        <w:rPr>
          <w:i/>
          <w:iCs/>
          <w:color w:val="0070C0"/>
        </w:rPr>
      </w:pPr>
      <w:r w:rsidRPr="15B7999D">
        <w:rPr>
          <w:i/>
          <w:iCs/>
          <w:color w:val="0070C0"/>
        </w:rPr>
        <w:t>Ecological Management</w:t>
      </w:r>
    </w:p>
    <w:p w:rsidR="008E3513" w:rsidRPr="00F7748F" w:rsidRDefault="008E3513" w:rsidP="008E3513">
      <w:pPr>
        <w:jc w:val="center"/>
        <w:rPr>
          <w:rFonts w:cstheme="minorHAnsi"/>
          <w:i/>
          <w:color w:val="0070C0"/>
        </w:rPr>
      </w:pPr>
      <w:r>
        <w:rPr>
          <w:rFonts w:cstheme="minorHAnsi"/>
          <w:i/>
          <w:color w:val="0070C0"/>
        </w:rPr>
        <w:t xml:space="preserve">Belize </w:t>
      </w:r>
    </w:p>
    <w:p w:rsidR="008E3513" w:rsidRPr="007E11DA" w:rsidRDefault="008E3513" w:rsidP="008E3513">
      <w:pPr>
        <w:tabs>
          <w:tab w:val="left" w:pos="7080"/>
        </w:tabs>
        <w:jc w:val="both"/>
        <w:rPr>
          <w:rFonts w:ascii="Times New Roman" w:hAnsi="Times New Roman"/>
          <w:sz w:val="24"/>
          <w:szCs w:val="24"/>
          <w:lang w:val="pt-BR"/>
        </w:rPr>
      </w:pPr>
      <w:r w:rsidRPr="007E11DA">
        <w:rPr>
          <w:rFonts w:ascii="Times New Roman" w:hAnsi="Times New Roman"/>
          <w:sz w:val="24"/>
          <w:szCs w:val="24"/>
          <w:lang w:val="pt-BR"/>
        </w:rPr>
        <w:tab/>
      </w:r>
    </w:p>
    <w:p w:rsidR="008E3513" w:rsidRPr="008635D1" w:rsidRDefault="008E3513" w:rsidP="008E3513">
      <w:pPr>
        <w:widowControl w:val="0"/>
        <w:numPr>
          <w:ilvl w:val="0"/>
          <w:numId w:val="1"/>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Background and Justification</w:t>
      </w:r>
    </w:p>
    <w:p w:rsidR="008E3513" w:rsidRDefault="008E3513" w:rsidP="008E3513">
      <w:pPr>
        <w:spacing w:line="276" w:lineRule="auto"/>
        <w:ind w:left="792"/>
        <w:contextualSpacing/>
        <w:jc w:val="both"/>
        <w:rPr>
          <w:rFonts w:ascii="Times New Roman" w:hAnsi="Times New Roman"/>
          <w:sz w:val="24"/>
          <w:szCs w:val="24"/>
        </w:rPr>
      </w:pPr>
    </w:p>
    <w:p w:rsidR="008E3513" w:rsidRPr="008E3513" w:rsidRDefault="008E3513" w:rsidP="008E3513">
      <w:pPr>
        <w:pStyle w:val="ListParagraph"/>
        <w:numPr>
          <w:ilvl w:val="1"/>
          <w:numId w:val="1"/>
        </w:numPr>
        <w:spacing w:after="200" w:line="276" w:lineRule="auto"/>
        <w:jc w:val="both"/>
        <w:rPr>
          <w:rFonts w:eastAsiaTheme="minorHAnsi"/>
          <w:b/>
          <w:i/>
          <w:sz w:val="24"/>
          <w:szCs w:val="24"/>
        </w:rPr>
      </w:pPr>
      <w:r w:rsidRPr="00F7748F">
        <w:rPr>
          <w:rFonts w:eastAsiaTheme="minorHAnsi"/>
          <w:sz w:val="24"/>
          <w:szCs w:val="24"/>
          <w:lang w:val="en-GB"/>
        </w:rPr>
        <w:t>Established in 1959, the Inter-American Development Bank (“IDB” or “Bank”) is the main source of financing for economic, social and institutional development in Latin America and the Caribbean. It provides loans, grants, guarantees, policy advice and technical assistance to the public and private sectors of its borrowing countries. In 2016, IDB, the UK’s Department for International Development (DFID), the Government of Canada, the Caribbean Development Bank (CDB) and the Government of Canada have established a co-financing facility called “The Compete Caribbean Partnership Facility” (GN-2851), which is a continuation of the Compete Caribbean Program that funded over 100 private sector development projects over the period 2010-2016 in the Caribbean. These projects generated nearly 12,000 jobs, a 23% increase in exports (USD$37M) and a 41% increase in the revenue of participating firms and clusters (USD$153M), as well as an improvement in the business climate for some countries through policy or regulatory reforms. The purpose of the Compete Caribbean Partnership Facility (CCPF) is to drive inclusive and sustainable economic growth through greater competitiveness and innovation in the private sector of 13 Caribbean countries[1].</w:t>
      </w:r>
    </w:p>
    <w:p w:rsidR="008E3513" w:rsidRPr="00F7748F" w:rsidRDefault="008E3513" w:rsidP="008E3513">
      <w:pPr>
        <w:pStyle w:val="ListParagraph"/>
        <w:spacing w:after="200" w:line="276" w:lineRule="auto"/>
        <w:ind w:left="792"/>
        <w:jc w:val="both"/>
        <w:rPr>
          <w:rFonts w:eastAsiaTheme="minorHAnsi"/>
          <w:b/>
          <w:i/>
          <w:sz w:val="24"/>
          <w:szCs w:val="24"/>
        </w:rPr>
      </w:pPr>
    </w:p>
    <w:p w:rsidR="003D063A" w:rsidRDefault="003D063A" w:rsidP="003D063A">
      <w:pPr>
        <w:pStyle w:val="ListParagraph"/>
        <w:numPr>
          <w:ilvl w:val="1"/>
          <w:numId w:val="1"/>
        </w:numPr>
        <w:spacing w:after="200" w:line="276" w:lineRule="auto"/>
        <w:jc w:val="both"/>
        <w:rPr>
          <w:rFonts w:eastAsiaTheme="minorHAnsi"/>
          <w:sz w:val="24"/>
          <w:szCs w:val="24"/>
        </w:rPr>
      </w:pPr>
      <w:r w:rsidRPr="008635D1">
        <w:rPr>
          <w:rFonts w:eastAsiaTheme="minorHAnsi"/>
          <w:sz w:val="24"/>
          <w:szCs w:val="24"/>
          <w:lang w:val="en-GB"/>
        </w:rPr>
        <w:t xml:space="preserve">In January 2020, the CCPF launched a call for proposals for clusters focused on the tourism and agri/agro-tourism sectors. To support this process, with the aim of providing tools to build a pipeline of strong projects, and to maximise the impact and benefits on the most vulnerable groups, </w:t>
      </w:r>
      <w:r w:rsidRPr="008635D1">
        <w:rPr>
          <w:rFonts w:eastAsiaTheme="minorHAnsi"/>
          <w:sz w:val="24"/>
          <w:szCs w:val="24"/>
        </w:rPr>
        <w:t>a community-based tourism (CBT) toolkit</w:t>
      </w:r>
      <w:r w:rsidRPr="008635D1">
        <w:rPr>
          <w:rFonts w:eastAsiaTheme="minorHAnsi"/>
          <w:sz w:val="24"/>
          <w:szCs w:val="24"/>
          <w:vertAlign w:val="superscript"/>
        </w:rPr>
        <w:footnoteReference w:id="1"/>
      </w:r>
      <w:r w:rsidRPr="008635D1">
        <w:rPr>
          <w:rFonts w:eastAsiaTheme="minorHAnsi"/>
          <w:sz w:val="24"/>
          <w:szCs w:val="24"/>
        </w:rPr>
        <w:t xml:space="preserve"> was developed in collaboration with the Caribbean Tourism Organisation (CTO)</w:t>
      </w:r>
      <w:r>
        <w:rPr>
          <w:rFonts w:eastAsiaTheme="minorHAnsi"/>
          <w:sz w:val="24"/>
          <w:szCs w:val="24"/>
        </w:rPr>
        <w:t>. It was</w:t>
      </w:r>
      <w:r w:rsidRPr="008635D1">
        <w:rPr>
          <w:rFonts w:eastAsiaTheme="minorHAnsi"/>
          <w:sz w:val="24"/>
          <w:szCs w:val="24"/>
        </w:rPr>
        <w:t xml:space="preserve"> disseminated through various channels including the Ministry of Tourism in each country and the Caribbean Hotel and Tourism Association (CHTA). The toolkit includes a primary market research of </w:t>
      </w:r>
      <w:r>
        <w:rPr>
          <w:rFonts w:eastAsiaTheme="minorHAnsi"/>
          <w:sz w:val="24"/>
          <w:szCs w:val="24"/>
        </w:rPr>
        <w:t>American</w:t>
      </w:r>
      <w:r w:rsidRPr="008635D1">
        <w:rPr>
          <w:rFonts w:eastAsiaTheme="minorHAnsi"/>
          <w:sz w:val="24"/>
          <w:szCs w:val="24"/>
        </w:rPr>
        <w:t xml:space="preserve"> consumer</w:t>
      </w:r>
      <w:r>
        <w:rPr>
          <w:rFonts w:eastAsiaTheme="minorHAnsi"/>
          <w:sz w:val="24"/>
          <w:szCs w:val="24"/>
        </w:rPr>
        <w:t>s</w:t>
      </w:r>
      <w:r w:rsidRPr="008635D1">
        <w:rPr>
          <w:rFonts w:eastAsiaTheme="minorHAnsi"/>
          <w:sz w:val="24"/>
          <w:szCs w:val="24"/>
        </w:rPr>
        <w:t xml:space="preserve"> to assess the</w:t>
      </w:r>
      <w:r>
        <w:rPr>
          <w:rFonts w:eastAsiaTheme="minorHAnsi"/>
          <w:sz w:val="24"/>
          <w:szCs w:val="24"/>
        </w:rPr>
        <w:t>ir</w:t>
      </w:r>
      <w:r w:rsidRPr="008635D1">
        <w:rPr>
          <w:rFonts w:eastAsiaTheme="minorHAnsi"/>
          <w:sz w:val="24"/>
          <w:szCs w:val="24"/>
        </w:rPr>
        <w:t xml:space="preserve"> willingness</w:t>
      </w:r>
      <w:r>
        <w:rPr>
          <w:rFonts w:eastAsiaTheme="minorHAnsi"/>
          <w:sz w:val="24"/>
          <w:szCs w:val="24"/>
        </w:rPr>
        <w:t>-</w:t>
      </w:r>
      <w:r w:rsidRPr="008635D1">
        <w:rPr>
          <w:rFonts w:eastAsiaTheme="minorHAnsi"/>
          <w:sz w:val="24"/>
          <w:szCs w:val="24"/>
        </w:rPr>
        <w:t>to</w:t>
      </w:r>
      <w:r>
        <w:rPr>
          <w:rFonts w:eastAsiaTheme="minorHAnsi"/>
          <w:sz w:val="24"/>
          <w:szCs w:val="24"/>
        </w:rPr>
        <w:t>-</w:t>
      </w:r>
      <w:r w:rsidRPr="008635D1">
        <w:rPr>
          <w:rFonts w:eastAsiaTheme="minorHAnsi"/>
          <w:sz w:val="24"/>
          <w:szCs w:val="24"/>
        </w:rPr>
        <w:t>pay for innovative products and services that can be offered in the Caribbean, and visitor for these experiences. Additionally, it includes a Community-Based Tourism Enterprise Handbook, Cluster Diagnostic Tool and a Tourism Assets Inventory and Profile Template</w:t>
      </w:r>
      <w:r>
        <w:rPr>
          <w:rFonts w:eastAsiaTheme="minorHAnsi"/>
          <w:sz w:val="24"/>
          <w:szCs w:val="24"/>
        </w:rPr>
        <w:t xml:space="preserve">. </w:t>
      </w:r>
      <w:r w:rsidRPr="008635D1">
        <w:rPr>
          <w:rFonts w:eastAsiaTheme="minorHAnsi"/>
          <w:sz w:val="24"/>
          <w:szCs w:val="24"/>
        </w:rPr>
        <w:t xml:space="preserve"> </w:t>
      </w:r>
      <w:r>
        <w:rPr>
          <w:rFonts w:eastAsiaTheme="minorHAnsi"/>
          <w:sz w:val="24"/>
          <w:szCs w:val="24"/>
        </w:rPr>
        <w:t>C</w:t>
      </w:r>
      <w:r w:rsidRPr="008635D1">
        <w:rPr>
          <w:rFonts w:eastAsiaTheme="minorHAnsi"/>
          <w:sz w:val="24"/>
          <w:szCs w:val="24"/>
        </w:rPr>
        <w:t xml:space="preserve">luster </w:t>
      </w:r>
      <w:r w:rsidRPr="008635D1">
        <w:rPr>
          <w:rFonts w:eastAsiaTheme="minorHAnsi"/>
          <w:sz w:val="24"/>
          <w:szCs w:val="24"/>
        </w:rPr>
        <w:lastRenderedPageBreak/>
        <w:t xml:space="preserve">stakeholders can use </w:t>
      </w:r>
      <w:r>
        <w:rPr>
          <w:rFonts w:eastAsiaTheme="minorHAnsi"/>
          <w:sz w:val="24"/>
          <w:szCs w:val="24"/>
        </w:rPr>
        <w:t>these tools to</w:t>
      </w:r>
      <w:r w:rsidRPr="008635D1">
        <w:rPr>
          <w:rFonts w:eastAsiaTheme="minorHAnsi"/>
          <w:sz w:val="24"/>
          <w:szCs w:val="24"/>
        </w:rPr>
        <w:t xml:space="preserve"> develop and/or enhance their tourism product</w:t>
      </w:r>
      <w:r>
        <w:rPr>
          <w:rFonts w:eastAsiaTheme="minorHAnsi"/>
          <w:sz w:val="24"/>
          <w:szCs w:val="24"/>
        </w:rPr>
        <w:t>s</w:t>
      </w:r>
      <w:r w:rsidRPr="008635D1">
        <w:rPr>
          <w:rFonts w:eastAsiaTheme="minorHAnsi"/>
          <w:sz w:val="24"/>
          <w:szCs w:val="24"/>
        </w:rPr>
        <w:t xml:space="preserve"> and experience</w:t>
      </w:r>
      <w:r>
        <w:rPr>
          <w:rFonts w:eastAsiaTheme="minorHAnsi"/>
          <w:sz w:val="24"/>
          <w:szCs w:val="24"/>
        </w:rPr>
        <w:t>s.</w:t>
      </w:r>
    </w:p>
    <w:p w:rsidR="008E3513" w:rsidRPr="008E3513" w:rsidRDefault="008E3513" w:rsidP="008E3513">
      <w:pPr>
        <w:pStyle w:val="ListParagraph"/>
        <w:rPr>
          <w:rFonts w:eastAsiaTheme="minorHAnsi"/>
          <w:sz w:val="24"/>
          <w:szCs w:val="24"/>
        </w:rPr>
      </w:pPr>
    </w:p>
    <w:p w:rsidR="008E3513" w:rsidRPr="009A2A19" w:rsidRDefault="008E3513" w:rsidP="008E3513">
      <w:pPr>
        <w:spacing w:after="200" w:line="276" w:lineRule="auto"/>
        <w:ind w:left="720"/>
        <w:jc w:val="both"/>
        <w:rPr>
          <w:rFonts w:ascii="Times New Roman" w:hAnsi="Times New Roman"/>
          <w:sz w:val="24"/>
          <w:szCs w:val="24"/>
        </w:rPr>
      </w:pPr>
      <w:r w:rsidRPr="009A2A19">
        <w:rPr>
          <w:rFonts w:ascii="Times New Roman" w:hAnsi="Times New Roman"/>
          <w:sz w:val="24"/>
          <w:szCs w:val="24"/>
        </w:rPr>
        <w:t>The application process for the call for proposals required the submission of a Project Concept Note (PCN) and completion of two of the tools to obtain an assessment of the local context. Following the call for proposals, seven PCNs were short-listed to move forward to the next step in the selection process which is the preparation of a Cluster Development Plan (CDP). These CDPs will be submitted to an Investment Panel (IP) of independent judges who will recommend which projects are most likely to succeed in achieving the following objectives:</w:t>
      </w:r>
    </w:p>
    <w:p w:rsidR="008E3513" w:rsidRPr="009A2A19" w:rsidRDefault="008E3513" w:rsidP="008E3513">
      <w:pPr>
        <w:numPr>
          <w:ilvl w:val="0"/>
          <w:numId w:val="4"/>
        </w:numPr>
        <w:spacing w:after="0" w:line="240" w:lineRule="auto"/>
        <w:jc w:val="both"/>
        <w:rPr>
          <w:rFonts w:ascii="Times New Roman" w:hAnsi="Times New Roman"/>
          <w:sz w:val="24"/>
          <w:szCs w:val="24"/>
          <w:lang w:val="en-GB"/>
        </w:rPr>
      </w:pPr>
      <w:r w:rsidRPr="009A2A19">
        <w:rPr>
          <w:rFonts w:ascii="Times New Roman" w:hAnsi="Times New Roman"/>
          <w:b/>
          <w:bCs/>
          <w:sz w:val="24"/>
          <w:szCs w:val="24"/>
          <w:u w:val="single"/>
          <w:lang w:val="en-GB"/>
        </w:rPr>
        <w:t>Job creation</w:t>
      </w:r>
      <w:r w:rsidRPr="009A2A19">
        <w:rPr>
          <w:rFonts w:ascii="Times New Roman" w:hAnsi="Times New Roman"/>
          <w:sz w:val="24"/>
          <w:szCs w:val="24"/>
          <w:lang w:val="en-GB"/>
        </w:rPr>
        <w:t xml:space="preserve"> in the short and long term – the extent to which the cluster project will create new jobs, including for women and other vulnerable or marginalised groups. </w:t>
      </w:r>
    </w:p>
    <w:p w:rsidR="008E3513" w:rsidRPr="009A2A19" w:rsidRDefault="008E3513" w:rsidP="008E3513">
      <w:pPr>
        <w:numPr>
          <w:ilvl w:val="0"/>
          <w:numId w:val="4"/>
        </w:numPr>
        <w:spacing w:after="0" w:line="240" w:lineRule="auto"/>
        <w:jc w:val="both"/>
        <w:rPr>
          <w:rFonts w:ascii="Times New Roman" w:hAnsi="Times New Roman"/>
          <w:sz w:val="24"/>
          <w:szCs w:val="24"/>
          <w:lang w:val="en-GB"/>
        </w:rPr>
      </w:pPr>
      <w:r w:rsidRPr="009A2A19">
        <w:rPr>
          <w:rFonts w:ascii="Times New Roman" w:hAnsi="Times New Roman"/>
          <w:b/>
          <w:bCs/>
          <w:sz w:val="24"/>
          <w:szCs w:val="24"/>
          <w:u w:val="single"/>
          <w:lang w:val="en-GB"/>
        </w:rPr>
        <w:t>Revenue generation</w:t>
      </w:r>
      <w:r w:rsidRPr="009A2A19">
        <w:rPr>
          <w:rFonts w:ascii="Times New Roman" w:hAnsi="Times New Roman"/>
          <w:sz w:val="24"/>
          <w:szCs w:val="24"/>
          <w:lang w:val="en-GB"/>
        </w:rPr>
        <w:t xml:space="preserve"> especially for businesses or farms in remote areas – the extent to which the cluster project will affect the revenues of stakeholders in underprivileged or remote areas.</w:t>
      </w:r>
    </w:p>
    <w:p w:rsidR="008E3513" w:rsidRPr="009A2A19" w:rsidRDefault="008E3513" w:rsidP="008E3513">
      <w:pPr>
        <w:numPr>
          <w:ilvl w:val="0"/>
          <w:numId w:val="4"/>
        </w:numPr>
        <w:spacing w:after="0" w:line="240" w:lineRule="auto"/>
        <w:jc w:val="both"/>
        <w:rPr>
          <w:rFonts w:ascii="Times New Roman" w:hAnsi="Times New Roman"/>
          <w:b/>
          <w:bCs/>
          <w:sz w:val="24"/>
          <w:szCs w:val="24"/>
          <w:u w:val="single"/>
          <w:lang w:val="en-GB"/>
        </w:rPr>
      </w:pPr>
      <w:r w:rsidRPr="009A2A19">
        <w:rPr>
          <w:rFonts w:ascii="Times New Roman" w:hAnsi="Times New Roman"/>
          <w:b/>
          <w:bCs/>
          <w:sz w:val="24"/>
          <w:szCs w:val="24"/>
          <w:u w:val="single"/>
          <w:lang w:val="en-GB"/>
        </w:rPr>
        <w:t>Increased foreign exchange</w:t>
      </w:r>
      <w:r w:rsidRPr="009A2A19">
        <w:rPr>
          <w:rFonts w:ascii="Times New Roman" w:hAnsi="Times New Roman"/>
          <w:sz w:val="24"/>
          <w:szCs w:val="24"/>
          <w:lang w:val="en-GB"/>
        </w:rPr>
        <w:t xml:space="preserve"> the extent to which this project will generate additional spending from foreign visitors (new or current). </w:t>
      </w:r>
    </w:p>
    <w:p w:rsidR="008E3513" w:rsidRDefault="008E3513" w:rsidP="008E3513">
      <w:pPr>
        <w:numPr>
          <w:ilvl w:val="0"/>
          <w:numId w:val="4"/>
        </w:numPr>
        <w:spacing w:after="0" w:line="240" w:lineRule="auto"/>
        <w:jc w:val="both"/>
        <w:rPr>
          <w:rFonts w:ascii="Times New Roman" w:hAnsi="Times New Roman"/>
          <w:sz w:val="24"/>
          <w:szCs w:val="24"/>
          <w:lang w:val="en-GB"/>
        </w:rPr>
      </w:pPr>
      <w:r w:rsidRPr="009A2A19">
        <w:rPr>
          <w:rFonts w:ascii="Times New Roman" w:hAnsi="Times New Roman"/>
          <w:b/>
          <w:bCs/>
          <w:sz w:val="24"/>
          <w:szCs w:val="24"/>
          <w:u w:val="single"/>
          <w:lang w:val="en-GB"/>
        </w:rPr>
        <w:t>Catalytic and sustainable impact</w:t>
      </w:r>
      <w:r w:rsidRPr="009A2A19">
        <w:rPr>
          <w:rFonts w:ascii="Times New Roman" w:hAnsi="Times New Roman"/>
          <w:sz w:val="24"/>
          <w:szCs w:val="24"/>
          <w:lang w:val="en-GB"/>
        </w:rPr>
        <w:t xml:space="preserve"> – the extent to which the project will support inclusive and sustainable economic growth over time, and impact on climate change.</w:t>
      </w:r>
    </w:p>
    <w:p w:rsidR="008E3513" w:rsidRDefault="008E3513" w:rsidP="008E3513">
      <w:pPr>
        <w:jc w:val="both"/>
        <w:rPr>
          <w:rFonts w:ascii="Times New Roman" w:hAnsi="Times New Roman"/>
          <w:sz w:val="24"/>
          <w:szCs w:val="24"/>
        </w:rPr>
      </w:pPr>
    </w:p>
    <w:p w:rsidR="008E3513" w:rsidRPr="009A2A19" w:rsidRDefault="008E3513" w:rsidP="008E3513">
      <w:pPr>
        <w:jc w:val="both"/>
        <w:rPr>
          <w:rFonts w:ascii="Times New Roman" w:hAnsi="Times New Roman"/>
          <w:sz w:val="24"/>
          <w:szCs w:val="24"/>
          <w:lang w:val="en-GB"/>
        </w:rPr>
      </w:pPr>
    </w:p>
    <w:p w:rsidR="008E3513" w:rsidRPr="008635D1" w:rsidRDefault="008E3513" w:rsidP="008E3513">
      <w:pPr>
        <w:widowControl w:val="0"/>
        <w:numPr>
          <w:ilvl w:val="0"/>
          <w:numId w:val="1"/>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Objectives</w:t>
      </w:r>
    </w:p>
    <w:p w:rsidR="008E3513" w:rsidRPr="008635D1" w:rsidRDefault="008E3513" w:rsidP="008E3513">
      <w:pPr>
        <w:spacing w:line="276" w:lineRule="auto"/>
        <w:ind w:left="360"/>
        <w:contextualSpacing/>
        <w:jc w:val="both"/>
        <w:rPr>
          <w:rFonts w:ascii="Times New Roman" w:hAnsi="Times New Roman"/>
          <w:b/>
          <w:sz w:val="24"/>
          <w:szCs w:val="24"/>
          <w:u w:val="single"/>
        </w:rPr>
      </w:pPr>
      <w:r w:rsidRPr="008635D1">
        <w:rPr>
          <w:rFonts w:ascii="Times New Roman" w:hAnsi="Times New Roman"/>
          <w:b/>
          <w:sz w:val="24"/>
          <w:szCs w:val="24"/>
          <w:u w:val="single"/>
        </w:rPr>
        <w:t xml:space="preserve"> </w:t>
      </w:r>
    </w:p>
    <w:p w:rsidR="008E3513" w:rsidRPr="008635D1" w:rsidRDefault="008E3513" w:rsidP="008E3513">
      <w:pPr>
        <w:widowControl w:val="0"/>
        <w:numPr>
          <w:ilvl w:val="1"/>
          <w:numId w:val="1"/>
        </w:numPr>
        <w:spacing w:after="200" w:line="276" w:lineRule="auto"/>
        <w:contextualSpacing/>
        <w:jc w:val="both"/>
        <w:rPr>
          <w:rFonts w:ascii="Times New Roman" w:eastAsiaTheme="minorEastAsia" w:hAnsi="Times New Roman"/>
          <w:sz w:val="24"/>
          <w:szCs w:val="24"/>
        </w:rPr>
      </w:pPr>
      <w:r w:rsidRPr="15B7999D">
        <w:rPr>
          <w:rFonts w:ascii="Times New Roman" w:eastAsiaTheme="minorEastAsia" w:hAnsi="Times New Roman"/>
          <w:sz w:val="24"/>
          <w:szCs w:val="24"/>
        </w:rPr>
        <w:t xml:space="preserve">The objective of this consultancy is to establish baseline and monitoring framework to inform ongoing ecological sustainability of the fishery. </w:t>
      </w:r>
    </w:p>
    <w:p w:rsidR="008E3513" w:rsidRPr="008635D1" w:rsidRDefault="008E3513" w:rsidP="008E3513">
      <w:pPr>
        <w:spacing w:line="276" w:lineRule="auto"/>
        <w:ind w:left="360"/>
        <w:contextualSpacing/>
        <w:jc w:val="both"/>
        <w:rPr>
          <w:rFonts w:ascii="Times New Roman" w:hAnsi="Times New Roman"/>
          <w:b/>
          <w:sz w:val="24"/>
          <w:szCs w:val="24"/>
          <w:u w:val="single"/>
        </w:rPr>
      </w:pPr>
    </w:p>
    <w:p w:rsidR="008E3513" w:rsidRPr="008635D1" w:rsidRDefault="008E3513" w:rsidP="008E3513">
      <w:pPr>
        <w:widowControl w:val="0"/>
        <w:numPr>
          <w:ilvl w:val="0"/>
          <w:numId w:val="1"/>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Scope of Services</w:t>
      </w:r>
    </w:p>
    <w:p w:rsidR="008E3513" w:rsidRPr="008635D1" w:rsidRDefault="008E3513" w:rsidP="008E3513">
      <w:pPr>
        <w:spacing w:line="276" w:lineRule="auto"/>
        <w:ind w:left="792"/>
        <w:contextualSpacing/>
        <w:jc w:val="both"/>
        <w:rPr>
          <w:rFonts w:ascii="Times New Roman" w:hAnsi="Times New Roman"/>
          <w:b/>
          <w:i/>
          <w:color w:val="006600"/>
          <w:sz w:val="24"/>
          <w:szCs w:val="24"/>
        </w:rPr>
      </w:pPr>
    </w:p>
    <w:p w:rsidR="008E3513" w:rsidRPr="006321BC" w:rsidRDefault="008E3513" w:rsidP="008E3513">
      <w:pPr>
        <w:widowControl w:val="0"/>
        <w:numPr>
          <w:ilvl w:val="1"/>
          <w:numId w:val="1"/>
        </w:numPr>
        <w:spacing w:after="200" w:line="276" w:lineRule="auto"/>
        <w:contextualSpacing/>
        <w:jc w:val="both"/>
        <w:rPr>
          <w:rFonts w:ascii="Times New Roman" w:eastAsiaTheme="minorEastAsia" w:hAnsi="Times New Roman"/>
          <w:sz w:val="24"/>
          <w:szCs w:val="24"/>
        </w:rPr>
      </w:pPr>
      <w:r w:rsidRPr="15B7999D">
        <w:rPr>
          <w:rFonts w:ascii="Times New Roman" w:eastAsiaTheme="minorEastAsia" w:hAnsi="Times New Roman"/>
          <w:sz w:val="24"/>
          <w:szCs w:val="24"/>
        </w:rPr>
        <w:t>The scope of the services of this consultancy include providing technical assistance toward:</w:t>
      </w:r>
    </w:p>
    <w:p w:rsidR="008E3513" w:rsidRDefault="008E3513" w:rsidP="008E3513">
      <w:pPr>
        <w:widowControl w:val="0"/>
        <w:numPr>
          <w:ilvl w:val="2"/>
          <w:numId w:val="1"/>
        </w:numPr>
        <w:spacing w:after="200" w:line="276" w:lineRule="auto"/>
        <w:jc w:val="both"/>
        <w:rPr>
          <w:rFonts w:eastAsiaTheme="minorEastAsia"/>
        </w:rPr>
      </w:pPr>
      <w:r w:rsidRPr="15B7999D">
        <w:rPr>
          <w:rFonts w:ascii="Calibri" w:eastAsia="Calibri" w:hAnsi="Calibri" w:cs="Calibri"/>
          <w:lang w:val="en-US"/>
        </w:rPr>
        <w:t>Conduct in-water baseline and bi-annual stock assessments for Caribbean Spiny lobster at Turneffe Atoll Marine Reserve.</w:t>
      </w:r>
    </w:p>
    <w:p w:rsidR="008E3513" w:rsidRPr="008635D1" w:rsidRDefault="008E3513" w:rsidP="008E3513">
      <w:pPr>
        <w:spacing w:line="276" w:lineRule="auto"/>
        <w:ind w:left="1224"/>
        <w:contextualSpacing/>
        <w:jc w:val="both"/>
        <w:rPr>
          <w:rFonts w:ascii="Times New Roman" w:hAnsi="Times New Roman"/>
          <w:sz w:val="24"/>
          <w:szCs w:val="24"/>
        </w:rPr>
      </w:pPr>
    </w:p>
    <w:p w:rsidR="008E3513" w:rsidRPr="008635D1" w:rsidRDefault="008E3513" w:rsidP="008E3513">
      <w:pPr>
        <w:widowControl w:val="0"/>
        <w:numPr>
          <w:ilvl w:val="0"/>
          <w:numId w:val="1"/>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Key Activities</w:t>
      </w:r>
    </w:p>
    <w:p w:rsidR="008E3513" w:rsidRPr="008635D1" w:rsidRDefault="008E3513" w:rsidP="008E3513">
      <w:pPr>
        <w:spacing w:line="276" w:lineRule="auto"/>
        <w:ind w:left="360"/>
        <w:contextualSpacing/>
        <w:jc w:val="both"/>
        <w:rPr>
          <w:rFonts w:ascii="Times New Roman" w:hAnsi="Times New Roman"/>
          <w:b/>
          <w:sz w:val="24"/>
          <w:szCs w:val="24"/>
          <w:u w:val="single"/>
        </w:rPr>
      </w:pPr>
    </w:p>
    <w:p w:rsidR="008E3513" w:rsidRPr="008635D1" w:rsidRDefault="008E3513" w:rsidP="008E3513">
      <w:pPr>
        <w:widowControl w:val="0"/>
        <w:spacing w:after="200" w:line="276" w:lineRule="auto"/>
        <w:contextualSpacing/>
        <w:jc w:val="both"/>
        <w:rPr>
          <w:rFonts w:ascii="Times New Roman" w:hAnsi="Times New Roman"/>
          <w:bCs/>
          <w:sz w:val="24"/>
          <w:szCs w:val="24"/>
        </w:rPr>
      </w:pPr>
      <w:r w:rsidRPr="008635D1">
        <w:rPr>
          <w:rFonts w:ascii="Times New Roman" w:hAnsi="Times New Roman"/>
          <w:bCs/>
          <w:sz w:val="24"/>
          <w:szCs w:val="24"/>
        </w:rPr>
        <w:t xml:space="preserve">The key activities of this consultancy include: </w:t>
      </w:r>
    </w:p>
    <w:p w:rsidR="008E3513" w:rsidRDefault="008E3513" w:rsidP="008E3513">
      <w:pPr>
        <w:widowControl w:val="0"/>
        <w:numPr>
          <w:ilvl w:val="1"/>
          <w:numId w:val="1"/>
        </w:numPr>
        <w:spacing w:after="200" w:line="276" w:lineRule="auto"/>
        <w:contextualSpacing/>
        <w:jc w:val="both"/>
        <w:rPr>
          <w:rFonts w:ascii="Times New Roman" w:eastAsiaTheme="minorEastAsia" w:hAnsi="Times New Roman"/>
          <w:sz w:val="24"/>
          <w:szCs w:val="24"/>
        </w:rPr>
      </w:pPr>
      <w:r w:rsidRPr="15B7999D">
        <w:rPr>
          <w:rFonts w:ascii="Times New Roman" w:eastAsiaTheme="minorEastAsia" w:hAnsi="Times New Roman"/>
          <w:sz w:val="24"/>
          <w:szCs w:val="24"/>
        </w:rPr>
        <w:t>Engage TASA and the Research and Monitoring Task Force of FIP to develop protocol for in-water baseline and bi-annual stock assessments for Caribbean Spiny lobster at Turneffe Atoll Marine Reserve (5.1.1)</w:t>
      </w:r>
    </w:p>
    <w:p w:rsidR="008E3513" w:rsidRDefault="008E3513" w:rsidP="008E3513">
      <w:pPr>
        <w:widowControl w:val="0"/>
        <w:numPr>
          <w:ilvl w:val="1"/>
          <w:numId w:val="1"/>
        </w:numPr>
        <w:spacing w:after="200" w:line="276" w:lineRule="auto"/>
        <w:contextualSpacing/>
        <w:jc w:val="both"/>
        <w:rPr>
          <w:sz w:val="24"/>
          <w:szCs w:val="24"/>
        </w:rPr>
      </w:pPr>
      <w:r w:rsidRPr="15B7999D">
        <w:rPr>
          <w:rFonts w:ascii="Times New Roman" w:eastAsiaTheme="minorEastAsia" w:hAnsi="Times New Roman"/>
          <w:sz w:val="24"/>
          <w:szCs w:val="24"/>
        </w:rPr>
        <w:t xml:space="preserve">Engage TASA to conduct in-water baseline and bi-annual stock assessments for Caribbean </w:t>
      </w:r>
      <w:r w:rsidRPr="15B7999D">
        <w:rPr>
          <w:rFonts w:ascii="Times New Roman" w:eastAsiaTheme="minorEastAsia" w:hAnsi="Times New Roman"/>
          <w:sz w:val="24"/>
          <w:szCs w:val="24"/>
        </w:rPr>
        <w:lastRenderedPageBreak/>
        <w:t>Spiny lobster at Turneffe Atoll Marine Reserve (5.1.2)</w:t>
      </w:r>
    </w:p>
    <w:p w:rsidR="008E3513" w:rsidRDefault="008E3513" w:rsidP="008E3513">
      <w:pPr>
        <w:widowControl w:val="0"/>
        <w:numPr>
          <w:ilvl w:val="1"/>
          <w:numId w:val="1"/>
        </w:numPr>
        <w:spacing w:after="200" w:line="276" w:lineRule="auto"/>
        <w:contextualSpacing/>
        <w:jc w:val="both"/>
        <w:rPr>
          <w:sz w:val="24"/>
          <w:szCs w:val="24"/>
        </w:rPr>
      </w:pPr>
      <w:r w:rsidRPr="15B7999D">
        <w:rPr>
          <w:rFonts w:ascii="Times New Roman" w:eastAsiaTheme="minorEastAsia" w:hAnsi="Times New Roman"/>
          <w:sz w:val="24"/>
          <w:szCs w:val="24"/>
        </w:rPr>
        <w:t>Annual reporting on outputs of stock assessments for Caribbean Spiny lobster at Turneffe Atoll Marine Reserve (5.1.3)</w:t>
      </w:r>
    </w:p>
    <w:p w:rsidR="008E3513" w:rsidRPr="008635D1" w:rsidRDefault="008E3513" w:rsidP="008E3513">
      <w:pPr>
        <w:widowControl w:val="0"/>
        <w:spacing w:after="200" w:line="276" w:lineRule="auto"/>
        <w:ind w:left="792"/>
        <w:contextualSpacing/>
        <w:jc w:val="both"/>
        <w:rPr>
          <w:rFonts w:ascii="Times New Roman" w:hAnsi="Times New Roman"/>
          <w:b/>
          <w:sz w:val="24"/>
          <w:szCs w:val="24"/>
        </w:rPr>
      </w:pPr>
    </w:p>
    <w:p w:rsidR="008E3513" w:rsidRDefault="008E3513" w:rsidP="008E3513">
      <w:pPr>
        <w:widowControl w:val="0"/>
        <w:numPr>
          <w:ilvl w:val="0"/>
          <w:numId w:val="1"/>
        </w:numPr>
        <w:spacing w:after="200" w:line="276" w:lineRule="auto"/>
        <w:contextualSpacing/>
        <w:jc w:val="both"/>
        <w:rPr>
          <w:rFonts w:ascii="Times New Roman" w:eastAsiaTheme="minorEastAsia" w:hAnsi="Times New Roman"/>
          <w:b/>
          <w:bCs/>
          <w:sz w:val="24"/>
          <w:szCs w:val="24"/>
          <w:u w:val="single"/>
        </w:rPr>
      </w:pPr>
      <w:r w:rsidRPr="15B7999D">
        <w:rPr>
          <w:rFonts w:ascii="Times New Roman" w:eastAsiaTheme="minorEastAsia" w:hAnsi="Times New Roman"/>
          <w:b/>
          <w:bCs/>
          <w:sz w:val="24"/>
          <w:szCs w:val="24"/>
          <w:u w:val="single"/>
        </w:rPr>
        <w:t>Expected Outcome and Deliverables</w:t>
      </w:r>
    </w:p>
    <w:tbl>
      <w:tblPr>
        <w:tblStyle w:val="TableGrid"/>
        <w:tblW w:w="0" w:type="auto"/>
        <w:tblLayout w:type="fixed"/>
        <w:tblLook w:val="06A0" w:firstRow="1" w:lastRow="0" w:firstColumn="1" w:lastColumn="0" w:noHBand="1" w:noVBand="1"/>
      </w:tblPr>
      <w:tblGrid>
        <w:gridCol w:w="3120"/>
        <w:gridCol w:w="3120"/>
        <w:gridCol w:w="3120"/>
      </w:tblGrid>
      <w:tr w:rsidR="008E3513" w:rsidTr="00893A0D">
        <w:tc>
          <w:tcPr>
            <w:tcW w:w="3120" w:type="dxa"/>
          </w:tcPr>
          <w:p w:rsidR="008E3513" w:rsidRDefault="008E3513" w:rsidP="00893A0D">
            <w:pPr>
              <w:rPr>
                <w:b/>
                <w:bCs/>
                <w:u w:val="single"/>
              </w:rPr>
            </w:pPr>
            <w:r w:rsidRPr="15B7999D">
              <w:rPr>
                <w:rFonts w:ascii="Arial" w:hAnsi="Arial"/>
                <w:b/>
                <w:bCs/>
                <w:u w:val="single"/>
              </w:rPr>
              <w:t>Activities</w:t>
            </w:r>
          </w:p>
        </w:tc>
        <w:tc>
          <w:tcPr>
            <w:tcW w:w="3120" w:type="dxa"/>
          </w:tcPr>
          <w:p w:rsidR="008E3513" w:rsidRDefault="008E3513" w:rsidP="00893A0D">
            <w:pPr>
              <w:rPr>
                <w:b/>
                <w:bCs/>
                <w:u w:val="single"/>
              </w:rPr>
            </w:pPr>
            <w:r w:rsidRPr="15B7999D">
              <w:rPr>
                <w:rFonts w:ascii="Arial" w:hAnsi="Arial"/>
                <w:b/>
                <w:bCs/>
                <w:u w:val="single"/>
              </w:rPr>
              <w:t>Outcomes</w:t>
            </w:r>
          </w:p>
        </w:tc>
        <w:tc>
          <w:tcPr>
            <w:tcW w:w="3120" w:type="dxa"/>
          </w:tcPr>
          <w:p w:rsidR="008E3513" w:rsidRDefault="008E3513" w:rsidP="00893A0D">
            <w:pPr>
              <w:rPr>
                <w:b/>
                <w:bCs/>
                <w:u w:val="single"/>
              </w:rPr>
            </w:pPr>
            <w:r w:rsidRPr="15B7999D">
              <w:rPr>
                <w:rFonts w:ascii="Arial" w:hAnsi="Arial"/>
                <w:b/>
                <w:bCs/>
                <w:u w:val="single"/>
              </w:rPr>
              <w:t>Deliverables</w:t>
            </w:r>
          </w:p>
        </w:tc>
      </w:tr>
      <w:tr w:rsidR="008E3513" w:rsidTr="00893A0D">
        <w:tc>
          <w:tcPr>
            <w:tcW w:w="3120" w:type="dxa"/>
          </w:tcPr>
          <w:p w:rsidR="008E3513" w:rsidRDefault="008E3513" w:rsidP="00893A0D">
            <w:pPr>
              <w:rPr>
                <w:b/>
                <w:bCs/>
                <w:u w:val="single"/>
              </w:rPr>
            </w:pPr>
            <w:r w:rsidRPr="15B7999D">
              <w:rPr>
                <w:rFonts w:ascii="Arial" w:hAnsi="Arial"/>
                <w:b/>
                <w:bCs/>
                <w:u w:val="single"/>
              </w:rPr>
              <w:t>5.1.1</w:t>
            </w:r>
          </w:p>
        </w:tc>
        <w:tc>
          <w:tcPr>
            <w:tcW w:w="3120" w:type="dxa"/>
          </w:tcPr>
          <w:p w:rsidR="008E3513" w:rsidRPr="00717732" w:rsidRDefault="008E3513" w:rsidP="00893A0D">
            <w:pPr>
              <w:rPr>
                <w:lang w:val="en-BZ"/>
              </w:rPr>
            </w:pPr>
            <w:r w:rsidRPr="00717732">
              <w:rPr>
                <w:rFonts w:ascii="Calibri" w:eastAsia="Calibri" w:hAnsi="Calibri" w:cs="Calibri"/>
                <w:sz w:val="22"/>
                <w:szCs w:val="22"/>
                <w:lang w:val="en-BZ"/>
              </w:rPr>
              <w:t>Standardized survey protocols are being implemented to demonstrate increased health of lobster population as a result of the interventions of the project</w:t>
            </w:r>
          </w:p>
        </w:tc>
        <w:tc>
          <w:tcPr>
            <w:tcW w:w="3120" w:type="dxa"/>
          </w:tcPr>
          <w:p w:rsidR="008E3513" w:rsidRPr="00717732" w:rsidRDefault="008E3513" w:rsidP="00893A0D">
            <w:pPr>
              <w:rPr>
                <w:lang w:val="en-BZ"/>
              </w:rPr>
            </w:pPr>
            <w:r w:rsidRPr="00717732">
              <w:rPr>
                <w:rFonts w:ascii="Arial" w:eastAsia="Arial" w:hAnsi="Arial" w:cs="Arial"/>
                <w:lang w:val="en-BZ"/>
              </w:rPr>
              <w:t>Protocol for baseline and biannual stock assessments</w:t>
            </w:r>
            <w:r w:rsidRPr="00717732">
              <w:rPr>
                <w:lang w:val="en-BZ"/>
              </w:rPr>
              <w:br/>
            </w:r>
            <w:r w:rsidRPr="00717732">
              <w:rPr>
                <w:rFonts w:ascii="Arial" w:eastAsia="Arial" w:hAnsi="Arial" w:cs="Arial"/>
                <w:lang w:val="en-BZ"/>
              </w:rPr>
              <w:t>Two surveys per year</w:t>
            </w:r>
          </w:p>
        </w:tc>
      </w:tr>
      <w:tr w:rsidR="008E3513" w:rsidTr="00893A0D">
        <w:tc>
          <w:tcPr>
            <w:tcW w:w="3120" w:type="dxa"/>
          </w:tcPr>
          <w:p w:rsidR="008E3513" w:rsidRDefault="008E3513" w:rsidP="00893A0D">
            <w:pPr>
              <w:rPr>
                <w:b/>
                <w:bCs/>
                <w:u w:val="single"/>
              </w:rPr>
            </w:pPr>
            <w:r w:rsidRPr="15B7999D">
              <w:rPr>
                <w:rFonts w:ascii="Arial" w:hAnsi="Arial"/>
                <w:b/>
                <w:bCs/>
                <w:u w:val="single"/>
              </w:rPr>
              <w:t>5.1.2</w:t>
            </w:r>
          </w:p>
        </w:tc>
        <w:tc>
          <w:tcPr>
            <w:tcW w:w="3120" w:type="dxa"/>
          </w:tcPr>
          <w:p w:rsidR="008E3513" w:rsidRPr="00717732" w:rsidRDefault="008E3513" w:rsidP="00893A0D">
            <w:pPr>
              <w:rPr>
                <w:lang w:val="en-BZ"/>
              </w:rPr>
            </w:pPr>
            <w:r w:rsidRPr="00717732">
              <w:rPr>
                <w:rFonts w:ascii="Calibri" w:eastAsia="Calibri" w:hAnsi="Calibri" w:cs="Calibri"/>
                <w:sz w:val="22"/>
                <w:szCs w:val="22"/>
                <w:lang w:val="en-BZ"/>
              </w:rPr>
              <w:t>Data for analysis for integration into annual survey reports</w:t>
            </w:r>
          </w:p>
        </w:tc>
        <w:tc>
          <w:tcPr>
            <w:tcW w:w="3120" w:type="dxa"/>
          </w:tcPr>
          <w:p w:rsidR="008E3513" w:rsidRPr="00717732" w:rsidRDefault="008E3513" w:rsidP="00893A0D">
            <w:pPr>
              <w:rPr>
                <w:color w:val="000000" w:themeColor="text1"/>
                <w:lang w:val="en-BZ"/>
              </w:rPr>
            </w:pPr>
            <w:r w:rsidRPr="00717732">
              <w:rPr>
                <w:rFonts w:ascii="Calibri" w:eastAsia="Calibri" w:hAnsi="Calibri" w:cs="Calibri"/>
                <w:color w:val="000000" w:themeColor="text1"/>
                <w:sz w:val="22"/>
                <w:szCs w:val="22"/>
                <w:lang w:val="en-BZ"/>
              </w:rPr>
              <w:t>Data from in-water surveys</w:t>
            </w:r>
          </w:p>
        </w:tc>
      </w:tr>
      <w:tr w:rsidR="008E3513" w:rsidTr="00893A0D">
        <w:tc>
          <w:tcPr>
            <w:tcW w:w="3120" w:type="dxa"/>
          </w:tcPr>
          <w:p w:rsidR="008E3513" w:rsidRDefault="008E3513" w:rsidP="00893A0D">
            <w:pPr>
              <w:rPr>
                <w:b/>
                <w:bCs/>
                <w:u w:val="single"/>
              </w:rPr>
            </w:pPr>
            <w:r w:rsidRPr="15B7999D">
              <w:rPr>
                <w:rFonts w:ascii="Arial" w:hAnsi="Arial"/>
                <w:b/>
                <w:bCs/>
                <w:u w:val="single"/>
              </w:rPr>
              <w:t>5.1.3</w:t>
            </w:r>
          </w:p>
        </w:tc>
        <w:tc>
          <w:tcPr>
            <w:tcW w:w="3120" w:type="dxa"/>
          </w:tcPr>
          <w:p w:rsidR="008E3513" w:rsidRPr="00717732" w:rsidRDefault="008E3513" w:rsidP="00893A0D">
            <w:pPr>
              <w:rPr>
                <w:lang w:val="en-BZ"/>
              </w:rPr>
            </w:pPr>
            <w:r w:rsidRPr="00717732">
              <w:rPr>
                <w:rFonts w:ascii="Calibri" w:eastAsia="Calibri" w:hAnsi="Calibri" w:cs="Calibri"/>
                <w:sz w:val="22"/>
                <w:szCs w:val="22"/>
                <w:lang w:val="en-BZ"/>
              </w:rPr>
              <w:t>Survey reports provide access to survey data to demonstrate increased health of lobster population as a result of the interventions of the project</w:t>
            </w:r>
          </w:p>
        </w:tc>
        <w:tc>
          <w:tcPr>
            <w:tcW w:w="3120" w:type="dxa"/>
          </w:tcPr>
          <w:p w:rsidR="008E3513" w:rsidRPr="00717732" w:rsidRDefault="008E3513" w:rsidP="00893A0D">
            <w:pPr>
              <w:rPr>
                <w:color w:val="000000" w:themeColor="text1"/>
                <w:lang w:val="en-BZ"/>
              </w:rPr>
            </w:pPr>
            <w:r w:rsidRPr="00717732">
              <w:rPr>
                <w:rFonts w:ascii="Calibri" w:eastAsia="Calibri" w:hAnsi="Calibri" w:cs="Calibri"/>
                <w:color w:val="000000" w:themeColor="text1"/>
                <w:sz w:val="22"/>
                <w:szCs w:val="22"/>
                <w:lang w:val="en-BZ"/>
              </w:rPr>
              <w:t>Report on baseline monitoirng surveys</w:t>
            </w:r>
            <w:r w:rsidRPr="00717732">
              <w:rPr>
                <w:lang w:val="en-BZ"/>
              </w:rPr>
              <w:br/>
            </w:r>
            <w:r w:rsidRPr="00717732">
              <w:rPr>
                <w:rFonts w:ascii="Calibri" w:eastAsia="Calibri" w:hAnsi="Calibri" w:cs="Calibri"/>
                <w:color w:val="000000" w:themeColor="text1"/>
                <w:sz w:val="22"/>
                <w:szCs w:val="22"/>
                <w:lang w:val="en-BZ"/>
              </w:rPr>
              <w:t>Two annual reports on baseline and biannual assessment outputs</w:t>
            </w:r>
          </w:p>
        </w:tc>
      </w:tr>
    </w:tbl>
    <w:p w:rsidR="008E3513" w:rsidRPr="008635D1" w:rsidRDefault="008E3513" w:rsidP="008E3513">
      <w:pPr>
        <w:widowControl w:val="0"/>
        <w:numPr>
          <w:ilvl w:val="0"/>
          <w:numId w:val="1"/>
        </w:numPr>
        <w:spacing w:after="200" w:line="276" w:lineRule="auto"/>
        <w:contextualSpacing/>
        <w:jc w:val="both"/>
        <w:rPr>
          <w:rFonts w:ascii="Times New Roman" w:eastAsiaTheme="minorEastAsia" w:hAnsi="Times New Roman"/>
          <w:b/>
          <w:bCs/>
          <w:sz w:val="24"/>
          <w:szCs w:val="24"/>
          <w:u w:val="single"/>
        </w:rPr>
      </w:pPr>
      <w:r w:rsidRPr="15B7999D">
        <w:rPr>
          <w:rFonts w:ascii="Times New Roman" w:eastAsiaTheme="minorEastAsia" w:hAnsi="Times New Roman"/>
          <w:b/>
          <w:bCs/>
          <w:sz w:val="24"/>
          <w:szCs w:val="24"/>
          <w:u w:val="single"/>
        </w:rPr>
        <w:t>Project Schedule and Milestones</w:t>
      </w:r>
    </w:p>
    <w:p w:rsidR="008E3513" w:rsidRPr="00DC5F8D" w:rsidRDefault="008E3513" w:rsidP="008E3513">
      <w:pPr>
        <w:widowControl w:val="0"/>
        <w:spacing w:line="276" w:lineRule="auto"/>
        <w:contextualSpacing/>
        <w:jc w:val="both"/>
        <w:rPr>
          <w:rFonts w:ascii="Times New Roman" w:hAnsi="Times New Roman"/>
          <w:color w:val="000000" w:themeColor="text1"/>
          <w:sz w:val="24"/>
          <w:szCs w:val="24"/>
        </w:rPr>
      </w:pPr>
      <w:r w:rsidRPr="15B7999D">
        <w:rPr>
          <w:rFonts w:ascii="Times New Roman" w:eastAsia="Times New Roman" w:hAnsi="Times New Roman" w:cs="Times New Roman"/>
          <w:color w:val="000000" w:themeColor="text1"/>
          <w:sz w:val="24"/>
          <w:szCs w:val="24"/>
          <w:lang w:val="en-US"/>
        </w:rPr>
        <w:t>This contract is expected to be run over 22 months. Signing expected to be 2 months post launch and run until end of project.</w:t>
      </w:r>
    </w:p>
    <w:p w:rsidR="008E3513" w:rsidRPr="00DC5F8D" w:rsidRDefault="008E3513" w:rsidP="008E3513">
      <w:pPr>
        <w:widowControl w:val="0"/>
        <w:tabs>
          <w:tab w:val="left" w:pos="900"/>
        </w:tabs>
        <w:spacing w:after="200" w:line="276" w:lineRule="auto"/>
        <w:contextualSpacing/>
        <w:jc w:val="both"/>
        <w:rPr>
          <w:b/>
          <w:bCs/>
          <w:u w:val="single"/>
        </w:rPr>
      </w:pPr>
    </w:p>
    <w:tbl>
      <w:tblPr>
        <w:tblStyle w:val="TableGrid"/>
        <w:tblW w:w="9990" w:type="dxa"/>
        <w:tblInd w:w="-5" w:type="dxa"/>
        <w:tblLook w:val="04A0" w:firstRow="1" w:lastRow="0" w:firstColumn="1" w:lastColumn="0" w:noHBand="0" w:noVBand="1"/>
      </w:tblPr>
      <w:tblGrid>
        <w:gridCol w:w="4710"/>
        <w:gridCol w:w="5280"/>
      </w:tblGrid>
      <w:tr w:rsidR="008E3513" w:rsidTr="00893A0D">
        <w:tc>
          <w:tcPr>
            <w:tcW w:w="4710" w:type="dxa"/>
            <w:tcBorders>
              <w:top w:val="single" w:sz="4" w:space="0" w:color="auto"/>
              <w:left w:val="single" w:sz="4" w:space="0" w:color="auto"/>
              <w:bottom w:val="single" w:sz="4" w:space="0" w:color="auto"/>
              <w:right w:val="single" w:sz="4" w:space="0" w:color="auto"/>
            </w:tcBorders>
          </w:tcPr>
          <w:p w:rsidR="008E3513" w:rsidRDefault="008E3513" w:rsidP="00893A0D">
            <w:pPr>
              <w:widowControl w:val="0"/>
              <w:tabs>
                <w:tab w:val="left" w:pos="900"/>
              </w:tabs>
              <w:spacing w:after="200" w:line="276" w:lineRule="auto"/>
              <w:contextualSpacing/>
              <w:jc w:val="both"/>
              <w:rPr>
                <w:rFonts w:eastAsiaTheme="minorHAnsi"/>
                <w:b/>
                <w:sz w:val="24"/>
                <w:szCs w:val="24"/>
                <w:u w:val="single"/>
              </w:rPr>
            </w:pPr>
            <w:r>
              <w:rPr>
                <w:rFonts w:eastAsiaTheme="minorHAnsi"/>
                <w:b/>
                <w:iCs/>
                <w:sz w:val="24"/>
                <w:szCs w:val="24"/>
              </w:rPr>
              <w:t xml:space="preserve">Deliverables </w:t>
            </w:r>
          </w:p>
        </w:tc>
        <w:tc>
          <w:tcPr>
            <w:tcW w:w="5280" w:type="dxa"/>
            <w:tcBorders>
              <w:top w:val="single" w:sz="4" w:space="0" w:color="auto"/>
              <w:left w:val="single" w:sz="4" w:space="0" w:color="auto"/>
              <w:bottom w:val="single" w:sz="4" w:space="0" w:color="auto"/>
              <w:right w:val="single" w:sz="4" w:space="0" w:color="auto"/>
            </w:tcBorders>
          </w:tcPr>
          <w:p w:rsidR="008E3513" w:rsidRPr="00690C14" w:rsidRDefault="008E3513" w:rsidP="00893A0D">
            <w:pPr>
              <w:widowControl w:val="0"/>
              <w:tabs>
                <w:tab w:val="left" w:pos="900"/>
              </w:tabs>
              <w:spacing w:after="200" w:line="276" w:lineRule="auto"/>
              <w:contextualSpacing/>
              <w:jc w:val="both"/>
              <w:rPr>
                <w:rFonts w:eastAsiaTheme="minorHAnsi"/>
                <w:b/>
                <w:sz w:val="24"/>
                <w:szCs w:val="24"/>
                <w:u w:val="single"/>
                <w:lang w:val="en-US"/>
              </w:rPr>
            </w:pPr>
            <w:r w:rsidRPr="00690C14">
              <w:rPr>
                <w:rFonts w:eastAsiaTheme="minorHAnsi"/>
                <w:b/>
                <w:iCs/>
                <w:sz w:val="24"/>
                <w:szCs w:val="24"/>
                <w:lang w:val="en-US"/>
              </w:rPr>
              <w:t>Schedule – Deadline from signing of contract (Payment is conditional upon the acceptance of deliverables as meeting the required standards)</w:t>
            </w:r>
          </w:p>
        </w:tc>
      </w:tr>
      <w:tr w:rsidR="008E3513" w:rsidTr="00893A0D">
        <w:tc>
          <w:tcPr>
            <w:tcW w:w="4710" w:type="dxa"/>
          </w:tcPr>
          <w:p w:rsidR="008E3513" w:rsidRPr="000B0653" w:rsidRDefault="008E3513" w:rsidP="00893A0D">
            <w:pPr>
              <w:widowControl w:val="0"/>
              <w:spacing w:after="200" w:line="276" w:lineRule="auto"/>
            </w:pPr>
            <w:r w:rsidRPr="15B7999D">
              <w:rPr>
                <w:rFonts w:eastAsiaTheme="minorEastAsia"/>
                <w:sz w:val="24"/>
                <w:szCs w:val="24"/>
                <w:lang w:val="en-US"/>
              </w:rPr>
              <w:t xml:space="preserve">D1. </w:t>
            </w:r>
            <w:r w:rsidRPr="00717732">
              <w:rPr>
                <w:rFonts w:ascii="Arial" w:eastAsia="Arial" w:hAnsi="Arial" w:cs="Arial"/>
                <w:lang w:val="en-BZ"/>
              </w:rPr>
              <w:t xml:space="preserve">Protocol for baseline and biannual stock assessments. </w:t>
            </w:r>
            <w:r w:rsidRPr="15B7999D">
              <w:rPr>
                <w:rFonts w:ascii="Arial" w:eastAsia="Arial" w:hAnsi="Arial" w:cs="Arial"/>
              </w:rPr>
              <w:t>Two surveys per year</w:t>
            </w:r>
          </w:p>
        </w:tc>
        <w:tc>
          <w:tcPr>
            <w:tcW w:w="5280" w:type="dxa"/>
          </w:tcPr>
          <w:p w:rsidR="008E3513" w:rsidRPr="00181D43" w:rsidRDefault="008E3513" w:rsidP="00893A0D">
            <w:pPr>
              <w:tabs>
                <w:tab w:val="left" w:pos="900"/>
              </w:tabs>
              <w:spacing w:line="276" w:lineRule="auto"/>
              <w:rPr>
                <w:lang w:val="en-US"/>
              </w:rPr>
            </w:pPr>
            <w:r w:rsidRPr="15B7999D">
              <w:rPr>
                <w:rFonts w:eastAsiaTheme="minorEastAsia"/>
                <w:sz w:val="24"/>
                <w:szCs w:val="24"/>
                <w:lang w:val="en-US"/>
              </w:rPr>
              <w:t>Signing +1 month</w:t>
            </w:r>
          </w:p>
        </w:tc>
      </w:tr>
      <w:tr w:rsidR="008E3513" w:rsidTr="00893A0D">
        <w:tc>
          <w:tcPr>
            <w:tcW w:w="4710" w:type="dxa"/>
          </w:tcPr>
          <w:p w:rsidR="008E3513" w:rsidRPr="00717732" w:rsidRDefault="008E3513" w:rsidP="00893A0D">
            <w:pPr>
              <w:widowControl w:val="0"/>
              <w:spacing w:after="200" w:line="276" w:lineRule="auto"/>
              <w:rPr>
                <w:color w:val="000000" w:themeColor="text1"/>
                <w:lang w:val="en-BZ"/>
              </w:rPr>
            </w:pPr>
            <w:r w:rsidRPr="15B7999D">
              <w:rPr>
                <w:rFonts w:eastAsiaTheme="minorEastAsia"/>
                <w:sz w:val="24"/>
                <w:szCs w:val="24"/>
                <w:lang w:val="en-US"/>
              </w:rPr>
              <w:t xml:space="preserve">D2. </w:t>
            </w:r>
            <w:r w:rsidRPr="00717732">
              <w:rPr>
                <w:rFonts w:ascii="Calibri" w:eastAsia="Calibri" w:hAnsi="Calibri" w:cs="Calibri"/>
                <w:color w:val="000000" w:themeColor="text1"/>
                <w:sz w:val="22"/>
                <w:szCs w:val="22"/>
                <w:lang w:val="en-BZ"/>
              </w:rPr>
              <w:t>Data from in-water surveys</w:t>
            </w:r>
          </w:p>
        </w:tc>
        <w:tc>
          <w:tcPr>
            <w:tcW w:w="5280" w:type="dxa"/>
          </w:tcPr>
          <w:p w:rsidR="008E3513" w:rsidRPr="00181D43" w:rsidRDefault="008E3513" w:rsidP="00893A0D">
            <w:pPr>
              <w:widowControl w:val="0"/>
              <w:tabs>
                <w:tab w:val="left" w:pos="900"/>
              </w:tabs>
              <w:spacing w:after="200" w:line="276" w:lineRule="auto"/>
              <w:contextualSpacing/>
              <w:rPr>
                <w:rFonts w:eastAsiaTheme="minorEastAsia"/>
                <w:sz w:val="24"/>
                <w:szCs w:val="24"/>
                <w:lang w:val="en-US"/>
              </w:rPr>
            </w:pPr>
            <w:r w:rsidRPr="15B7999D">
              <w:rPr>
                <w:rFonts w:eastAsiaTheme="minorEastAsia"/>
                <w:sz w:val="24"/>
                <w:szCs w:val="24"/>
                <w:lang w:val="en-US"/>
              </w:rPr>
              <w:t>Signing +22 months</w:t>
            </w:r>
          </w:p>
        </w:tc>
      </w:tr>
      <w:tr w:rsidR="008E3513" w:rsidTr="00893A0D">
        <w:tc>
          <w:tcPr>
            <w:tcW w:w="4710" w:type="dxa"/>
          </w:tcPr>
          <w:p w:rsidR="008E3513" w:rsidRPr="00717732" w:rsidRDefault="008E3513" w:rsidP="00717732">
            <w:pPr>
              <w:widowControl w:val="0"/>
              <w:spacing w:after="200" w:line="276" w:lineRule="auto"/>
              <w:rPr>
                <w:color w:val="000000" w:themeColor="text1"/>
                <w:lang w:val="en-BZ"/>
              </w:rPr>
            </w:pPr>
            <w:r w:rsidRPr="15B7999D">
              <w:rPr>
                <w:rFonts w:eastAsiaTheme="minorEastAsia"/>
                <w:sz w:val="24"/>
                <w:szCs w:val="24"/>
                <w:lang w:val="en-US"/>
              </w:rPr>
              <w:t xml:space="preserve">D3. </w:t>
            </w:r>
            <w:r w:rsidRPr="00717732">
              <w:rPr>
                <w:rFonts w:ascii="Calibri" w:eastAsia="Calibri" w:hAnsi="Calibri" w:cs="Calibri"/>
                <w:color w:val="000000" w:themeColor="text1"/>
                <w:sz w:val="22"/>
                <w:szCs w:val="22"/>
                <w:lang w:val="en-BZ"/>
              </w:rPr>
              <w:t xml:space="preserve">Report on baseline </w:t>
            </w:r>
            <w:r w:rsidR="00717732" w:rsidRPr="00717732">
              <w:rPr>
                <w:rFonts w:ascii="Calibri" w:eastAsia="Calibri" w:hAnsi="Calibri" w:cs="Calibri"/>
                <w:color w:val="000000" w:themeColor="text1"/>
                <w:sz w:val="22"/>
                <w:szCs w:val="22"/>
                <w:lang w:val="en-BZ"/>
              </w:rPr>
              <w:t>mo</w:t>
            </w:r>
            <w:r w:rsidR="00717732">
              <w:rPr>
                <w:rFonts w:ascii="Calibri" w:eastAsia="Calibri" w:hAnsi="Calibri" w:cs="Calibri"/>
                <w:color w:val="000000" w:themeColor="text1"/>
                <w:sz w:val="22"/>
                <w:szCs w:val="22"/>
                <w:lang w:val="en-BZ"/>
              </w:rPr>
              <w:t>nitoring</w:t>
            </w:r>
            <w:r w:rsidRPr="00717732">
              <w:rPr>
                <w:rFonts w:ascii="Calibri" w:eastAsia="Calibri" w:hAnsi="Calibri" w:cs="Calibri"/>
                <w:color w:val="000000" w:themeColor="text1"/>
                <w:sz w:val="22"/>
                <w:szCs w:val="22"/>
                <w:lang w:val="en-BZ"/>
              </w:rPr>
              <w:t xml:space="preserve"> surveys</w:t>
            </w:r>
            <w:r w:rsidRPr="00717732">
              <w:rPr>
                <w:lang w:val="en-BZ"/>
              </w:rPr>
              <w:br/>
            </w:r>
            <w:r w:rsidRPr="00717732">
              <w:rPr>
                <w:rFonts w:ascii="Calibri" w:eastAsia="Calibri" w:hAnsi="Calibri" w:cs="Calibri"/>
                <w:color w:val="000000" w:themeColor="text1"/>
                <w:sz w:val="22"/>
                <w:szCs w:val="22"/>
                <w:lang w:val="en-BZ"/>
              </w:rPr>
              <w:t>Two annual reports on baseline and biannual assessment outputs</w:t>
            </w:r>
          </w:p>
        </w:tc>
        <w:tc>
          <w:tcPr>
            <w:tcW w:w="5280" w:type="dxa"/>
          </w:tcPr>
          <w:p w:rsidR="008E3513" w:rsidRPr="00181D43" w:rsidRDefault="008E3513" w:rsidP="00893A0D">
            <w:pPr>
              <w:widowControl w:val="0"/>
              <w:tabs>
                <w:tab w:val="left" w:pos="900"/>
              </w:tabs>
              <w:spacing w:after="200" w:line="276" w:lineRule="auto"/>
              <w:contextualSpacing/>
              <w:rPr>
                <w:rFonts w:eastAsiaTheme="minorEastAsia"/>
                <w:sz w:val="24"/>
                <w:szCs w:val="24"/>
                <w:lang w:val="en-US"/>
              </w:rPr>
            </w:pPr>
            <w:r w:rsidRPr="15B7999D">
              <w:rPr>
                <w:rFonts w:eastAsiaTheme="minorEastAsia"/>
                <w:sz w:val="24"/>
                <w:szCs w:val="24"/>
                <w:lang w:val="en-US"/>
              </w:rPr>
              <w:t>Signing +22 months</w:t>
            </w:r>
          </w:p>
        </w:tc>
      </w:tr>
    </w:tbl>
    <w:p w:rsidR="008E3513" w:rsidRDefault="008E3513" w:rsidP="008E3513">
      <w:bookmarkStart w:id="0" w:name="_GoBack"/>
      <w:bookmarkEnd w:id="0"/>
    </w:p>
    <w:p w:rsidR="008E3513" w:rsidRDefault="008E3513" w:rsidP="008E3513">
      <w:pPr>
        <w:widowControl w:val="0"/>
        <w:tabs>
          <w:tab w:val="left" w:pos="900"/>
        </w:tabs>
        <w:spacing w:after="200" w:line="276" w:lineRule="auto"/>
        <w:ind w:left="360"/>
        <w:contextualSpacing/>
        <w:jc w:val="both"/>
        <w:rPr>
          <w:rFonts w:ascii="Times New Roman" w:hAnsi="Times New Roman"/>
          <w:b/>
          <w:sz w:val="24"/>
          <w:szCs w:val="24"/>
          <w:u w:val="single"/>
        </w:rPr>
      </w:pPr>
    </w:p>
    <w:p w:rsidR="008E3513" w:rsidRPr="00DC5F8D" w:rsidRDefault="008E3513" w:rsidP="008E3513">
      <w:pPr>
        <w:widowControl w:val="0"/>
        <w:tabs>
          <w:tab w:val="left" w:pos="900"/>
        </w:tabs>
        <w:spacing w:after="200" w:line="276" w:lineRule="auto"/>
        <w:ind w:left="360"/>
        <w:contextualSpacing/>
        <w:jc w:val="both"/>
        <w:rPr>
          <w:rFonts w:ascii="Times New Roman" w:hAnsi="Times New Roman"/>
          <w:b/>
          <w:sz w:val="24"/>
          <w:szCs w:val="24"/>
          <w:u w:val="single"/>
        </w:rPr>
      </w:pPr>
    </w:p>
    <w:p w:rsidR="008E3513" w:rsidRPr="008635D1" w:rsidRDefault="008E3513" w:rsidP="008E3513">
      <w:pPr>
        <w:widowControl w:val="0"/>
        <w:numPr>
          <w:ilvl w:val="0"/>
          <w:numId w:val="5"/>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Reporting Requirements</w:t>
      </w:r>
    </w:p>
    <w:p w:rsidR="008E3513" w:rsidRPr="008635D1" w:rsidRDefault="008E3513" w:rsidP="008E3513">
      <w:pPr>
        <w:spacing w:line="276" w:lineRule="auto"/>
        <w:jc w:val="both"/>
        <w:rPr>
          <w:rFonts w:ascii="Times New Roman" w:hAnsi="Times New Roman"/>
          <w:b/>
          <w:sz w:val="24"/>
          <w:szCs w:val="24"/>
          <w:u w:val="single"/>
        </w:rPr>
      </w:pPr>
    </w:p>
    <w:p w:rsidR="008E3513" w:rsidRPr="00345274" w:rsidRDefault="008E3513" w:rsidP="008E3513">
      <w:pPr>
        <w:pStyle w:val="ListParagraph"/>
        <w:widowControl w:val="0"/>
        <w:numPr>
          <w:ilvl w:val="1"/>
          <w:numId w:val="5"/>
        </w:numPr>
        <w:tabs>
          <w:tab w:val="left" w:pos="360"/>
          <w:tab w:val="left" w:pos="9360"/>
        </w:tabs>
        <w:spacing w:line="276" w:lineRule="auto"/>
        <w:jc w:val="both"/>
        <w:rPr>
          <w:rFonts w:asciiTheme="minorHAnsi" w:eastAsiaTheme="minorEastAsia" w:hAnsiTheme="minorHAnsi" w:cstheme="minorBidi"/>
          <w:color w:val="000000" w:themeColor="text1"/>
          <w:sz w:val="24"/>
          <w:szCs w:val="24"/>
        </w:rPr>
      </w:pPr>
      <w:r w:rsidRPr="15B7999D">
        <w:rPr>
          <w:rFonts w:eastAsiaTheme="minorEastAsia"/>
          <w:i/>
          <w:iCs/>
          <w:sz w:val="24"/>
          <w:szCs w:val="24"/>
        </w:rPr>
        <w:t xml:space="preserve"> </w:t>
      </w:r>
      <w:r w:rsidRPr="15B7999D">
        <w:rPr>
          <w:color w:val="000000" w:themeColor="text1"/>
          <w:sz w:val="24"/>
          <w:szCs w:val="24"/>
        </w:rPr>
        <w:t>A short narrative report per deliverable should be submitted. This should include a short description of the actions carried out to meet the deliverable and should include the following when relevant:</w:t>
      </w:r>
    </w:p>
    <w:p w:rsidR="008E3513" w:rsidRPr="00345274" w:rsidRDefault="008E3513" w:rsidP="008E3513">
      <w:pPr>
        <w:pStyle w:val="ListParagraph"/>
        <w:widowControl w:val="0"/>
        <w:numPr>
          <w:ilvl w:val="0"/>
          <w:numId w:val="2"/>
        </w:numPr>
        <w:tabs>
          <w:tab w:val="left" w:pos="360"/>
          <w:tab w:val="left" w:pos="9360"/>
        </w:tabs>
        <w:spacing w:line="276" w:lineRule="auto"/>
        <w:jc w:val="both"/>
        <w:rPr>
          <w:rFonts w:asciiTheme="minorHAnsi" w:eastAsiaTheme="minorEastAsia" w:hAnsiTheme="minorHAnsi" w:cstheme="minorBidi"/>
          <w:color w:val="000000" w:themeColor="text1"/>
          <w:sz w:val="24"/>
          <w:szCs w:val="24"/>
        </w:rPr>
      </w:pPr>
      <w:r w:rsidRPr="15B7999D">
        <w:rPr>
          <w:color w:val="000000" w:themeColor="text1"/>
          <w:sz w:val="24"/>
          <w:szCs w:val="24"/>
        </w:rPr>
        <w:lastRenderedPageBreak/>
        <w:t xml:space="preserve"> Attendance lists for trainings/meetings with gender disaggregated</w:t>
      </w:r>
    </w:p>
    <w:p w:rsidR="008E3513" w:rsidRPr="00345274" w:rsidRDefault="008E3513" w:rsidP="008E3513">
      <w:pPr>
        <w:pStyle w:val="ListParagraph"/>
        <w:widowControl w:val="0"/>
        <w:numPr>
          <w:ilvl w:val="0"/>
          <w:numId w:val="2"/>
        </w:numPr>
        <w:tabs>
          <w:tab w:val="left" w:pos="360"/>
          <w:tab w:val="left" w:pos="9360"/>
        </w:tabs>
        <w:spacing w:line="276" w:lineRule="auto"/>
        <w:jc w:val="both"/>
        <w:rPr>
          <w:rFonts w:asciiTheme="minorHAnsi" w:eastAsiaTheme="minorEastAsia" w:hAnsiTheme="minorHAnsi" w:cstheme="minorBidi"/>
          <w:color w:val="000000" w:themeColor="text1"/>
          <w:sz w:val="24"/>
          <w:szCs w:val="24"/>
        </w:rPr>
      </w:pPr>
      <w:r w:rsidRPr="15B7999D">
        <w:rPr>
          <w:color w:val="000000" w:themeColor="text1"/>
          <w:sz w:val="24"/>
          <w:szCs w:val="24"/>
        </w:rPr>
        <w:t>Any obstacles encountered and remediation actions undertaken</w:t>
      </w:r>
    </w:p>
    <w:p w:rsidR="008E3513" w:rsidRPr="00345274" w:rsidRDefault="008E3513" w:rsidP="008E3513">
      <w:pPr>
        <w:pStyle w:val="ListParagraph"/>
        <w:widowControl w:val="0"/>
        <w:numPr>
          <w:ilvl w:val="0"/>
          <w:numId w:val="2"/>
        </w:numPr>
        <w:tabs>
          <w:tab w:val="left" w:pos="360"/>
          <w:tab w:val="left" w:pos="9360"/>
        </w:tabs>
        <w:spacing w:line="276" w:lineRule="auto"/>
        <w:jc w:val="both"/>
        <w:rPr>
          <w:rFonts w:asciiTheme="minorHAnsi" w:eastAsiaTheme="minorEastAsia" w:hAnsiTheme="minorHAnsi" w:cstheme="minorBidi"/>
          <w:color w:val="000000" w:themeColor="text1"/>
          <w:sz w:val="24"/>
          <w:szCs w:val="24"/>
        </w:rPr>
      </w:pPr>
      <w:r w:rsidRPr="15B7999D">
        <w:rPr>
          <w:color w:val="000000" w:themeColor="text1"/>
          <w:sz w:val="24"/>
          <w:szCs w:val="24"/>
        </w:rPr>
        <w:t>Any major learnings</w:t>
      </w:r>
    </w:p>
    <w:p w:rsidR="008E3513" w:rsidRPr="00345274" w:rsidRDefault="008E3513" w:rsidP="008E3513">
      <w:pPr>
        <w:pStyle w:val="ListParagraph"/>
        <w:widowControl w:val="0"/>
        <w:numPr>
          <w:ilvl w:val="1"/>
          <w:numId w:val="5"/>
        </w:numPr>
        <w:tabs>
          <w:tab w:val="left" w:pos="360"/>
          <w:tab w:val="left" w:pos="9360"/>
        </w:tabs>
        <w:spacing w:line="276" w:lineRule="auto"/>
        <w:jc w:val="both"/>
        <w:rPr>
          <w:rFonts w:asciiTheme="minorHAnsi" w:eastAsiaTheme="minorEastAsia" w:hAnsiTheme="minorHAnsi" w:cstheme="minorBidi"/>
          <w:i/>
          <w:iCs/>
        </w:rPr>
      </w:pPr>
      <w:r w:rsidRPr="15B7999D">
        <w:rPr>
          <w:color w:val="000000" w:themeColor="text1"/>
          <w:sz w:val="24"/>
          <w:szCs w:val="24"/>
        </w:rPr>
        <w:t>When a deliverable requires the development of a document as a deliverable/output then this should be submitted on the delivery date. Documents include, amongst others, training reports, implementation plans, protocols etc. These documents should be structured appropriately and include sign off from the management team of the co-op +/or cluster where relevant</w:t>
      </w:r>
    </w:p>
    <w:p w:rsidR="008E3513" w:rsidRPr="008635D1" w:rsidRDefault="008E3513" w:rsidP="008E3513">
      <w:pPr>
        <w:widowControl w:val="0"/>
        <w:spacing w:line="276" w:lineRule="auto"/>
        <w:jc w:val="both"/>
        <w:rPr>
          <w:rFonts w:ascii="Times New Roman" w:hAnsi="Times New Roman"/>
          <w:b/>
          <w:sz w:val="24"/>
          <w:szCs w:val="24"/>
        </w:rPr>
      </w:pPr>
    </w:p>
    <w:p w:rsidR="008E3513" w:rsidRPr="008635D1" w:rsidRDefault="008E3513" w:rsidP="008E3513">
      <w:pPr>
        <w:widowControl w:val="0"/>
        <w:numPr>
          <w:ilvl w:val="0"/>
          <w:numId w:val="5"/>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u w:val="single"/>
        </w:rPr>
        <w:t>Acceptance Criteria</w:t>
      </w:r>
    </w:p>
    <w:p w:rsidR="008E3513" w:rsidRPr="008635D1" w:rsidRDefault="008E3513" w:rsidP="008E3513">
      <w:pPr>
        <w:shd w:val="clear" w:color="auto" w:fill="FFFFFF"/>
        <w:jc w:val="both"/>
        <w:rPr>
          <w:rFonts w:ascii="Times New Roman" w:hAnsi="Times New Roman"/>
          <w:color w:val="008800"/>
          <w:sz w:val="24"/>
          <w:szCs w:val="24"/>
          <w:lang w:val="en-GB"/>
        </w:rPr>
      </w:pPr>
    </w:p>
    <w:p w:rsidR="008E3513" w:rsidRPr="002F4943" w:rsidRDefault="008E3513" w:rsidP="008E3513">
      <w:pPr>
        <w:pStyle w:val="ListParagraph"/>
        <w:widowControl w:val="0"/>
        <w:numPr>
          <w:ilvl w:val="1"/>
          <w:numId w:val="5"/>
        </w:numPr>
        <w:spacing w:line="276" w:lineRule="auto"/>
        <w:jc w:val="both"/>
        <w:rPr>
          <w:rFonts w:asciiTheme="minorHAnsi" w:eastAsiaTheme="minorEastAsia" w:hAnsiTheme="minorHAnsi" w:cstheme="minorBidi"/>
          <w:color w:val="000000" w:themeColor="text1"/>
          <w:sz w:val="24"/>
          <w:szCs w:val="24"/>
        </w:rPr>
      </w:pPr>
      <w:r w:rsidRPr="15B7999D">
        <w:rPr>
          <w:color w:val="000000" w:themeColor="text1"/>
          <w:sz w:val="24"/>
          <w:szCs w:val="24"/>
        </w:rPr>
        <w:t xml:space="preserve">Every report must be submitted to the Bank in an electronic file. The report should include cover, main document, and all annexes. Zip files will not be accepted as final reports, due to Records Management Section regulations. Deliverables will be reviewed by Compete Caribbean project team, including the cluster manager, team leader, technical coordinator, and members of the broader IDB staff. Deliverables will also be reviewed by Caribbean Tourism Organisation (CTO). </w:t>
      </w:r>
    </w:p>
    <w:p w:rsidR="008E3513" w:rsidRPr="008635D1" w:rsidRDefault="008E3513" w:rsidP="008E3513">
      <w:pPr>
        <w:shd w:val="clear" w:color="auto" w:fill="FFFFFF"/>
        <w:jc w:val="both"/>
        <w:rPr>
          <w:rFonts w:ascii="Times New Roman" w:hAnsi="Times New Roman"/>
          <w:color w:val="008800"/>
          <w:sz w:val="24"/>
          <w:szCs w:val="24"/>
          <w:lang w:val="en-GB"/>
        </w:rPr>
      </w:pPr>
    </w:p>
    <w:p w:rsidR="008E3513" w:rsidRPr="008635D1" w:rsidRDefault="008E3513" w:rsidP="008E3513">
      <w:pPr>
        <w:widowControl w:val="0"/>
        <w:numPr>
          <w:ilvl w:val="0"/>
          <w:numId w:val="5"/>
        </w:numPr>
        <w:spacing w:after="200" w:line="276" w:lineRule="auto"/>
        <w:contextualSpacing/>
        <w:jc w:val="both"/>
        <w:rPr>
          <w:rFonts w:ascii="Times New Roman" w:hAnsi="Times New Roman"/>
          <w:b/>
          <w:sz w:val="24"/>
          <w:szCs w:val="24"/>
          <w:u w:val="single"/>
        </w:rPr>
      </w:pPr>
      <w:r w:rsidRPr="008635D1">
        <w:rPr>
          <w:rFonts w:ascii="Times New Roman" w:hAnsi="Times New Roman"/>
          <w:b/>
          <w:sz w:val="24"/>
          <w:szCs w:val="24"/>
        </w:rPr>
        <w:t xml:space="preserve"> </w:t>
      </w:r>
      <w:r w:rsidRPr="008635D1">
        <w:rPr>
          <w:rFonts w:ascii="Times New Roman" w:hAnsi="Times New Roman"/>
          <w:b/>
          <w:sz w:val="24"/>
          <w:szCs w:val="24"/>
          <w:u w:val="single"/>
        </w:rPr>
        <w:t>Supervision and Reporting</w:t>
      </w:r>
    </w:p>
    <w:p w:rsidR="008E3513" w:rsidRPr="008635D1" w:rsidRDefault="008E3513" w:rsidP="008E3513">
      <w:pPr>
        <w:widowControl w:val="0"/>
        <w:spacing w:after="200" w:line="276" w:lineRule="auto"/>
        <w:ind w:left="360"/>
        <w:contextualSpacing/>
        <w:jc w:val="both"/>
        <w:rPr>
          <w:rFonts w:ascii="Times New Roman" w:hAnsi="Times New Roman"/>
          <w:b/>
          <w:sz w:val="24"/>
          <w:szCs w:val="24"/>
          <w:u w:val="single"/>
        </w:rPr>
      </w:pPr>
    </w:p>
    <w:p w:rsidR="008E3513" w:rsidRPr="007F3FD1" w:rsidRDefault="008E3513" w:rsidP="008E3513">
      <w:pPr>
        <w:widowControl w:val="0"/>
        <w:numPr>
          <w:ilvl w:val="1"/>
          <w:numId w:val="5"/>
        </w:numPr>
        <w:shd w:val="clear" w:color="auto" w:fill="FFFFFF"/>
        <w:tabs>
          <w:tab w:val="left" w:pos="990"/>
        </w:tabs>
        <w:spacing w:after="200" w:line="276" w:lineRule="auto"/>
        <w:contextualSpacing/>
        <w:jc w:val="both"/>
        <w:rPr>
          <w:rFonts w:ascii="Times New Roman" w:eastAsiaTheme="minorEastAsia" w:hAnsi="Times New Roman"/>
          <w:sz w:val="24"/>
          <w:szCs w:val="24"/>
        </w:rPr>
      </w:pPr>
      <w:r w:rsidRPr="15B7999D">
        <w:rPr>
          <w:rFonts w:ascii="Times New Roman" w:eastAsiaTheme="minorEastAsia" w:hAnsi="Times New Roman"/>
          <w:sz w:val="24"/>
          <w:szCs w:val="24"/>
        </w:rPr>
        <w:t>The consultancy will be supervised by the Project Coordinator, Annie Bertrand, Coordinator for productivity and innovation in the private sector, Compete Caribbean Partnership Facility (CCPF). It will be monitored and managed by the broader Compete Caribbean team and the CTO. Claudia Stevenson, Private Sector Development Lead Specialist (IFD/CTI), is responsible for the consultancy</w:t>
      </w:r>
    </w:p>
    <w:p w:rsidR="008E3513" w:rsidRPr="008635D1" w:rsidRDefault="008E3513" w:rsidP="008E3513">
      <w:pPr>
        <w:ind w:right="-10"/>
        <w:jc w:val="both"/>
        <w:rPr>
          <w:rFonts w:ascii="Times New Roman" w:hAnsi="Times New Roman"/>
          <w:b/>
          <w:sz w:val="24"/>
          <w:szCs w:val="24"/>
        </w:rPr>
      </w:pPr>
    </w:p>
    <w:p w:rsidR="008E3513" w:rsidRPr="008635D1" w:rsidRDefault="008E3513" w:rsidP="008E3513">
      <w:pPr>
        <w:pStyle w:val="ListParagraph"/>
        <w:numPr>
          <w:ilvl w:val="0"/>
          <w:numId w:val="5"/>
        </w:numPr>
        <w:ind w:right="-10"/>
        <w:jc w:val="both"/>
        <w:rPr>
          <w:b/>
          <w:sz w:val="24"/>
          <w:szCs w:val="24"/>
        </w:rPr>
      </w:pPr>
      <w:r w:rsidRPr="008635D1">
        <w:rPr>
          <w:b/>
          <w:sz w:val="24"/>
          <w:szCs w:val="24"/>
        </w:rPr>
        <w:t>Schedule of Payments</w:t>
      </w:r>
    </w:p>
    <w:p w:rsidR="008E3513" w:rsidRPr="008635D1" w:rsidRDefault="008E3513" w:rsidP="008E3513">
      <w:pPr>
        <w:pStyle w:val="ListParagraph"/>
        <w:ind w:left="360" w:right="-10"/>
        <w:jc w:val="both"/>
        <w:rPr>
          <w:b/>
          <w:sz w:val="24"/>
          <w:szCs w:val="24"/>
        </w:rPr>
      </w:pPr>
    </w:p>
    <w:p w:rsidR="008E3513" w:rsidRPr="008635D1" w:rsidRDefault="008E3513" w:rsidP="008E3513">
      <w:pPr>
        <w:pStyle w:val="BodyTextIndent3"/>
        <w:numPr>
          <w:ilvl w:val="1"/>
          <w:numId w:val="5"/>
        </w:numPr>
        <w:tabs>
          <w:tab w:val="left" w:pos="1080"/>
        </w:tabs>
        <w:suppressAutoHyphens/>
        <w:jc w:val="both"/>
        <w:textAlignment w:val="baseline"/>
        <w:rPr>
          <w:rFonts w:ascii="Times New Roman" w:hAnsi="Times New Roman" w:cs="Times New Roman"/>
          <w:color w:val="auto"/>
          <w:sz w:val="24"/>
          <w:szCs w:val="24"/>
          <w:lang w:val="en-US" w:eastAsia="en-US"/>
        </w:rPr>
      </w:pPr>
      <w:r w:rsidRPr="15B7999D">
        <w:rPr>
          <w:rFonts w:ascii="Times New Roman" w:hAnsi="Times New Roman" w:cs="Times New Roman"/>
          <w:color w:val="auto"/>
          <w:sz w:val="24"/>
          <w:szCs w:val="24"/>
          <w:lang w:val="en-US" w:eastAsia="en-US"/>
        </w:rPr>
        <w:t xml:space="preserve">Payment terms will be based on project milestones or deliverables.  The Bank does not expect to make advanced payments under consulting contracts unless a significant amount of travel is required.  </w:t>
      </w:r>
      <w:r w:rsidRPr="15B7999D">
        <w:rPr>
          <w:rFonts w:ascii="Times New Roman" w:hAnsi="Times New Roman" w:cs="Times New Roman"/>
          <w:sz w:val="24"/>
          <w:szCs w:val="24"/>
          <w:lang w:val="en-US"/>
        </w:rPr>
        <w:t>The Bank wishes to receive the most competitive cost proposal for the services described herein.</w:t>
      </w:r>
    </w:p>
    <w:p w:rsidR="008E3513" w:rsidRPr="007E11DA" w:rsidRDefault="008E3513" w:rsidP="008E3513">
      <w:pPr>
        <w:pStyle w:val="BodyTextIndent3"/>
        <w:numPr>
          <w:ilvl w:val="1"/>
          <w:numId w:val="5"/>
        </w:numPr>
        <w:tabs>
          <w:tab w:val="left" w:pos="1080"/>
        </w:tabs>
        <w:suppressAutoHyphens/>
        <w:jc w:val="both"/>
        <w:textAlignment w:val="baseline"/>
        <w:rPr>
          <w:rFonts w:ascii="Times New Roman" w:hAnsi="Times New Roman" w:cs="Times New Roman"/>
          <w:color w:val="auto"/>
          <w:sz w:val="24"/>
          <w:szCs w:val="24"/>
          <w:lang w:val="en-US" w:eastAsia="en-US"/>
        </w:rPr>
      </w:pPr>
      <w:r w:rsidRPr="15B7999D">
        <w:rPr>
          <w:rFonts w:ascii="Times New Roman" w:hAnsi="Times New Roman" w:cs="Times New Roman"/>
          <w:color w:val="auto"/>
          <w:sz w:val="24"/>
          <w:szCs w:val="24"/>
          <w:lang w:val="en-US" w:eastAsia="en-US"/>
        </w:rPr>
        <w:t xml:space="preserve">The IDB Official Exchange Rate indicated in the RFP will be applied for necessary conversions of local currency payments. </w:t>
      </w:r>
    </w:p>
    <w:tbl>
      <w:tblPr>
        <w:tblStyle w:val="TableGrid"/>
        <w:tblW w:w="0" w:type="auto"/>
        <w:tblInd w:w="720" w:type="dxa"/>
        <w:tblLook w:val="04A0" w:firstRow="1" w:lastRow="0" w:firstColumn="1" w:lastColumn="0" w:noHBand="0" w:noVBand="1"/>
      </w:tblPr>
      <w:tblGrid>
        <w:gridCol w:w="3688"/>
        <w:gridCol w:w="1368"/>
      </w:tblGrid>
      <w:tr w:rsidR="008E3513" w:rsidRPr="008635D1" w:rsidTr="00893A0D">
        <w:trPr>
          <w:trHeight w:val="218"/>
        </w:trPr>
        <w:tc>
          <w:tcPr>
            <w:tcW w:w="5055" w:type="dxa"/>
            <w:gridSpan w:val="2"/>
          </w:tcPr>
          <w:p w:rsidR="008E3513" w:rsidRPr="008635D1" w:rsidRDefault="008E3513" w:rsidP="00893A0D">
            <w:pPr>
              <w:pStyle w:val="ListParagraph"/>
              <w:ind w:left="0" w:right="-10"/>
              <w:jc w:val="both"/>
              <w:rPr>
                <w:b/>
                <w:sz w:val="24"/>
                <w:szCs w:val="24"/>
              </w:rPr>
            </w:pPr>
            <w:r w:rsidRPr="008635D1">
              <w:rPr>
                <w:b/>
                <w:sz w:val="24"/>
                <w:szCs w:val="24"/>
              </w:rPr>
              <w:t>Payment Schedule</w:t>
            </w:r>
          </w:p>
        </w:tc>
      </w:tr>
      <w:tr w:rsidR="008E3513" w:rsidRPr="008635D1" w:rsidTr="00893A0D">
        <w:trPr>
          <w:trHeight w:val="149"/>
        </w:trPr>
        <w:tc>
          <w:tcPr>
            <w:tcW w:w="3688" w:type="dxa"/>
          </w:tcPr>
          <w:p w:rsidR="008E3513" w:rsidRPr="008635D1" w:rsidRDefault="008E3513" w:rsidP="00893A0D">
            <w:pPr>
              <w:pStyle w:val="ListParagraph"/>
              <w:ind w:right="-10"/>
              <w:jc w:val="both"/>
              <w:rPr>
                <w:b/>
                <w:sz w:val="24"/>
                <w:szCs w:val="24"/>
              </w:rPr>
            </w:pPr>
            <w:r w:rsidRPr="008635D1">
              <w:rPr>
                <w:b/>
                <w:i/>
                <w:sz w:val="24"/>
                <w:szCs w:val="24"/>
              </w:rPr>
              <w:t>Deliverable</w:t>
            </w:r>
          </w:p>
        </w:tc>
        <w:tc>
          <w:tcPr>
            <w:tcW w:w="1368" w:type="dxa"/>
          </w:tcPr>
          <w:p w:rsidR="008E3513" w:rsidRPr="008635D1" w:rsidRDefault="008E3513" w:rsidP="00893A0D">
            <w:pPr>
              <w:pStyle w:val="ListParagraph"/>
              <w:ind w:left="0" w:right="-10"/>
              <w:jc w:val="both"/>
              <w:rPr>
                <w:b/>
                <w:sz w:val="24"/>
                <w:szCs w:val="24"/>
              </w:rPr>
            </w:pPr>
            <w:r w:rsidRPr="008635D1">
              <w:rPr>
                <w:b/>
                <w:sz w:val="24"/>
                <w:szCs w:val="24"/>
              </w:rPr>
              <w:t>%</w:t>
            </w:r>
          </w:p>
        </w:tc>
      </w:tr>
      <w:tr w:rsidR="008E3513" w:rsidRPr="008635D1" w:rsidTr="00893A0D">
        <w:trPr>
          <w:trHeight w:val="357"/>
        </w:trPr>
        <w:tc>
          <w:tcPr>
            <w:tcW w:w="3688" w:type="dxa"/>
          </w:tcPr>
          <w:p w:rsidR="008E3513" w:rsidRPr="008635D1" w:rsidRDefault="008E3513" w:rsidP="008E3513">
            <w:pPr>
              <w:pStyle w:val="ListParagraph"/>
              <w:numPr>
                <w:ilvl w:val="0"/>
                <w:numId w:val="3"/>
              </w:numPr>
              <w:ind w:right="-10"/>
              <w:jc w:val="both"/>
              <w:rPr>
                <w:sz w:val="24"/>
                <w:szCs w:val="24"/>
              </w:rPr>
            </w:pPr>
            <w:r w:rsidRPr="15B7999D">
              <w:rPr>
                <w:i/>
                <w:iCs/>
                <w:color w:val="5B9BD5" w:themeColor="accent1"/>
                <w:sz w:val="24"/>
                <w:szCs w:val="24"/>
              </w:rPr>
              <w:t>Report # 1 includes deliverable 1</w:t>
            </w:r>
          </w:p>
        </w:tc>
        <w:tc>
          <w:tcPr>
            <w:tcW w:w="1368" w:type="dxa"/>
          </w:tcPr>
          <w:p w:rsidR="008E3513" w:rsidRPr="008635D1" w:rsidRDefault="008E3513" w:rsidP="00893A0D">
            <w:pPr>
              <w:pStyle w:val="ListParagraph"/>
              <w:ind w:left="0" w:right="-10"/>
              <w:jc w:val="both"/>
              <w:rPr>
                <w:sz w:val="24"/>
                <w:szCs w:val="24"/>
              </w:rPr>
            </w:pPr>
            <w:r w:rsidRPr="008635D1">
              <w:rPr>
                <w:color w:val="5B9BD5" w:themeColor="accent1"/>
                <w:sz w:val="24"/>
                <w:szCs w:val="24"/>
              </w:rPr>
              <w:t xml:space="preserve">  </w:t>
            </w:r>
            <w:r>
              <w:rPr>
                <w:color w:val="5B9BD5" w:themeColor="accent1"/>
                <w:sz w:val="24"/>
                <w:szCs w:val="24"/>
              </w:rPr>
              <w:t xml:space="preserve">25 </w:t>
            </w:r>
            <w:r w:rsidRPr="008635D1">
              <w:rPr>
                <w:color w:val="5B9BD5" w:themeColor="accent1"/>
                <w:sz w:val="24"/>
                <w:szCs w:val="24"/>
              </w:rPr>
              <w:t>%</w:t>
            </w:r>
          </w:p>
        </w:tc>
      </w:tr>
      <w:tr w:rsidR="008E3513" w:rsidRPr="008635D1" w:rsidTr="00893A0D">
        <w:trPr>
          <w:trHeight w:val="308"/>
        </w:trPr>
        <w:tc>
          <w:tcPr>
            <w:tcW w:w="3688" w:type="dxa"/>
          </w:tcPr>
          <w:p w:rsidR="008E3513" w:rsidRPr="008635D1" w:rsidRDefault="008E3513" w:rsidP="008E3513">
            <w:pPr>
              <w:pStyle w:val="ListParagraph"/>
              <w:numPr>
                <w:ilvl w:val="0"/>
                <w:numId w:val="3"/>
              </w:numPr>
              <w:ind w:right="-10"/>
              <w:jc w:val="both"/>
              <w:rPr>
                <w:sz w:val="24"/>
                <w:szCs w:val="24"/>
              </w:rPr>
            </w:pPr>
            <w:r w:rsidRPr="15B7999D">
              <w:rPr>
                <w:i/>
                <w:iCs/>
                <w:color w:val="5B9BD5" w:themeColor="accent1"/>
                <w:sz w:val="24"/>
                <w:szCs w:val="24"/>
              </w:rPr>
              <w:lastRenderedPageBreak/>
              <w:t>Report # 2 includes progress report after 12 months</w:t>
            </w:r>
          </w:p>
        </w:tc>
        <w:tc>
          <w:tcPr>
            <w:tcW w:w="1368" w:type="dxa"/>
          </w:tcPr>
          <w:p w:rsidR="008E3513" w:rsidRPr="008635D1" w:rsidRDefault="008E3513" w:rsidP="00893A0D">
            <w:pPr>
              <w:pStyle w:val="ListParagraph"/>
              <w:ind w:left="0" w:right="-10"/>
              <w:jc w:val="both"/>
              <w:rPr>
                <w:sz w:val="24"/>
                <w:szCs w:val="24"/>
              </w:rPr>
            </w:pPr>
            <w:r w:rsidRPr="008635D1">
              <w:rPr>
                <w:color w:val="5B9BD5" w:themeColor="accent1"/>
                <w:sz w:val="24"/>
                <w:szCs w:val="24"/>
              </w:rPr>
              <w:t xml:space="preserve"> </w:t>
            </w:r>
            <w:r>
              <w:rPr>
                <w:color w:val="5B9BD5" w:themeColor="accent1"/>
                <w:sz w:val="24"/>
                <w:szCs w:val="24"/>
              </w:rPr>
              <w:t xml:space="preserve"> 25 </w:t>
            </w:r>
            <w:r w:rsidRPr="008635D1">
              <w:rPr>
                <w:color w:val="5B9BD5" w:themeColor="accent1"/>
                <w:sz w:val="24"/>
                <w:szCs w:val="24"/>
              </w:rPr>
              <w:t>%</w:t>
            </w:r>
          </w:p>
        </w:tc>
      </w:tr>
      <w:tr w:rsidR="008E3513" w:rsidRPr="008635D1" w:rsidTr="00893A0D">
        <w:trPr>
          <w:trHeight w:val="298"/>
        </w:trPr>
        <w:tc>
          <w:tcPr>
            <w:tcW w:w="3688" w:type="dxa"/>
          </w:tcPr>
          <w:p w:rsidR="008E3513" w:rsidRPr="008635D1" w:rsidRDefault="008E3513" w:rsidP="008E3513">
            <w:pPr>
              <w:pStyle w:val="ListParagraph"/>
              <w:numPr>
                <w:ilvl w:val="0"/>
                <w:numId w:val="3"/>
              </w:numPr>
              <w:ind w:right="-10"/>
              <w:jc w:val="both"/>
              <w:rPr>
                <w:sz w:val="24"/>
                <w:szCs w:val="24"/>
              </w:rPr>
            </w:pPr>
            <w:r w:rsidRPr="15B7999D">
              <w:rPr>
                <w:i/>
                <w:iCs/>
                <w:color w:val="5B9BD5" w:themeColor="accent1"/>
                <w:sz w:val="24"/>
                <w:szCs w:val="24"/>
              </w:rPr>
              <w:t>Report # 3 includes progress report after 18 months</w:t>
            </w:r>
          </w:p>
        </w:tc>
        <w:tc>
          <w:tcPr>
            <w:tcW w:w="1368" w:type="dxa"/>
          </w:tcPr>
          <w:p w:rsidR="008E3513" w:rsidRPr="008635D1" w:rsidRDefault="008E3513" w:rsidP="00893A0D">
            <w:pPr>
              <w:pStyle w:val="ListParagraph"/>
              <w:ind w:left="0" w:right="-10"/>
              <w:jc w:val="both"/>
              <w:rPr>
                <w:sz w:val="24"/>
                <w:szCs w:val="24"/>
              </w:rPr>
            </w:pPr>
            <w:r w:rsidRPr="008635D1">
              <w:rPr>
                <w:color w:val="5B9BD5" w:themeColor="accent1"/>
                <w:sz w:val="24"/>
                <w:szCs w:val="24"/>
              </w:rPr>
              <w:t xml:space="preserve"> </w:t>
            </w:r>
            <w:r>
              <w:rPr>
                <w:color w:val="5B9BD5" w:themeColor="accent1"/>
                <w:sz w:val="24"/>
                <w:szCs w:val="24"/>
              </w:rPr>
              <w:t xml:space="preserve"> 25 </w:t>
            </w:r>
            <w:r w:rsidRPr="008635D1">
              <w:rPr>
                <w:color w:val="5B9BD5" w:themeColor="accent1"/>
                <w:sz w:val="24"/>
                <w:szCs w:val="24"/>
              </w:rPr>
              <w:t>%</w:t>
            </w:r>
          </w:p>
        </w:tc>
      </w:tr>
      <w:tr w:rsidR="008E3513" w:rsidRPr="008635D1" w:rsidTr="00893A0D">
        <w:trPr>
          <w:trHeight w:val="298"/>
        </w:trPr>
        <w:tc>
          <w:tcPr>
            <w:tcW w:w="3688" w:type="dxa"/>
          </w:tcPr>
          <w:p w:rsidR="008E3513" w:rsidRDefault="008E3513" w:rsidP="008E3513">
            <w:pPr>
              <w:pStyle w:val="ListParagraph"/>
              <w:numPr>
                <w:ilvl w:val="0"/>
                <w:numId w:val="3"/>
              </w:numPr>
              <w:ind w:right="-10"/>
              <w:jc w:val="both"/>
              <w:rPr>
                <w:i/>
                <w:iCs/>
                <w:color w:val="5B9BD5" w:themeColor="accent1"/>
                <w:sz w:val="24"/>
                <w:szCs w:val="24"/>
              </w:rPr>
            </w:pPr>
            <w:r w:rsidRPr="15B7999D">
              <w:rPr>
                <w:i/>
                <w:iCs/>
                <w:color w:val="5B9BD5" w:themeColor="accent1"/>
                <w:sz w:val="24"/>
                <w:szCs w:val="24"/>
              </w:rPr>
              <w:t>Report # 4 includes deliverable 2,3</w:t>
            </w:r>
          </w:p>
        </w:tc>
        <w:tc>
          <w:tcPr>
            <w:tcW w:w="1368" w:type="dxa"/>
          </w:tcPr>
          <w:p w:rsidR="008E3513" w:rsidRPr="008635D1" w:rsidRDefault="008E3513" w:rsidP="00893A0D">
            <w:pPr>
              <w:pStyle w:val="ListParagraph"/>
              <w:ind w:left="0" w:right="-10"/>
              <w:jc w:val="both"/>
              <w:rPr>
                <w:color w:val="5B9BD5" w:themeColor="accent1"/>
                <w:sz w:val="24"/>
                <w:szCs w:val="24"/>
              </w:rPr>
            </w:pPr>
            <w:r>
              <w:rPr>
                <w:color w:val="5B9BD5" w:themeColor="accent1"/>
                <w:sz w:val="24"/>
                <w:szCs w:val="24"/>
              </w:rPr>
              <w:t xml:space="preserve">  25 %</w:t>
            </w:r>
          </w:p>
        </w:tc>
      </w:tr>
      <w:tr w:rsidR="008E3513" w:rsidRPr="008635D1" w:rsidTr="00893A0D">
        <w:trPr>
          <w:trHeight w:val="158"/>
        </w:trPr>
        <w:tc>
          <w:tcPr>
            <w:tcW w:w="3688" w:type="dxa"/>
          </w:tcPr>
          <w:p w:rsidR="008E3513" w:rsidRPr="008635D1" w:rsidRDefault="008E3513" w:rsidP="00893A0D">
            <w:pPr>
              <w:pStyle w:val="ListParagraph"/>
              <w:ind w:left="0" w:right="-10"/>
              <w:jc w:val="both"/>
              <w:rPr>
                <w:b/>
                <w:sz w:val="24"/>
                <w:szCs w:val="24"/>
              </w:rPr>
            </w:pPr>
            <w:r w:rsidRPr="008635D1">
              <w:rPr>
                <w:b/>
                <w:sz w:val="24"/>
                <w:szCs w:val="24"/>
              </w:rPr>
              <w:t>TOTAL</w:t>
            </w:r>
          </w:p>
        </w:tc>
        <w:tc>
          <w:tcPr>
            <w:tcW w:w="1368" w:type="dxa"/>
          </w:tcPr>
          <w:p w:rsidR="008E3513" w:rsidRPr="008635D1" w:rsidRDefault="008E3513" w:rsidP="00893A0D">
            <w:pPr>
              <w:pStyle w:val="ListParagraph"/>
              <w:ind w:left="0" w:right="-10"/>
              <w:jc w:val="both"/>
              <w:rPr>
                <w:b/>
                <w:sz w:val="24"/>
                <w:szCs w:val="24"/>
              </w:rPr>
            </w:pPr>
            <w:r w:rsidRPr="008635D1">
              <w:rPr>
                <w:sz w:val="24"/>
                <w:szCs w:val="24"/>
              </w:rPr>
              <w:t>100%</w:t>
            </w:r>
          </w:p>
        </w:tc>
      </w:tr>
    </w:tbl>
    <w:p w:rsidR="008E3513" w:rsidRPr="008635D1" w:rsidRDefault="008E3513" w:rsidP="008E3513">
      <w:pPr>
        <w:jc w:val="both"/>
        <w:rPr>
          <w:rFonts w:ascii="Times New Roman" w:hAnsi="Times New Roman"/>
          <w:sz w:val="24"/>
          <w:szCs w:val="24"/>
        </w:rPr>
      </w:pPr>
    </w:p>
    <w:p w:rsidR="008E3513" w:rsidRPr="008635D1" w:rsidRDefault="008E3513" w:rsidP="003D063A">
      <w:pPr>
        <w:pStyle w:val="ListParagraph"/>
        <w:numPr>
          <w:ilvl w:val="1"/>
          <w:numId w:val="1"/>
        </w:numPr>
        <w:spacing w:after="200" w:line="276" w:lineRule="auto"/>
        <w:jc w:val="both"/>
        <w:rPr>
          <w:rFonts w:eastAsiaTheme="minorHAnsi"/>
          <w:sz w:val="24"/>
          <w:szCs w:val="24"/>
        </w:rPr>
      </w:pPr>
    </w:p>
    <w:p w:rsidR="00430D68" w:rsidRDefault="00430D68"/>
    <w:sectPr w:rsidR="00430D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58" w:rsidRDefault="002C0E58" w:rsidP="003D063A">
      <w:pPr>
        <w:spacing w:after="0" w:line="240" w:lineRule="auto"/>
      </w:pPr>
      <w:r>
        <w:separator/>
      </w:r>
    </w:p>
  </w:endnote>
  <w:endnote w:type="continuationSeparator" w:id="0">
    <w:p w:rsidR="002C0E58" w:rsidRDefault="002C0E58" w:rsidP="003D0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60735"/>
      <w:docPartObj>
        <w:docPartGallery w:val="Page Numbers (Bottom of Page)"/>
        <w:docPartUnique/>
      </w:docPartObj>
    </w:sdtPr>
    <w:sdtEndPr>
      <w:rPr>
        <w:noProof/>
      </w:rPr>
    </w:sdtEndPr>
    <w:sdtContent>
      <w:p w:rsidR="003D063A" w:rsidRDefault="003D063A" w:rsidP="003D063A">
        <w:pPr>
          <w:pStyle w:val="Footer"/>
          <w:jc w:val="right"/>
          <w:rPr>
            <w:noProof/>
          </w:rPr>
        </w:pPr>
        <w:r>
          <w:t xml:space="preserve">Page </w:t>
        </w:r>
        <w:r>
          <w:fldChar w:fldCharType="begin"/>
        </w:r>
        <w:r>
          <w:instrText xml:space="preserve"> PAGE   \* MERGEFORMAT </w:instrText>
        </w:r>
        <w:r>
          <w:fldChar w:fldCharType="separate"/>
        </w:r>
        <w:r w:rsidR="00717732">
          <w:rPr>
            <w:noProof/>
          </w:rPr>
          <w:t>3</w:t>
        </w:r>
        <w:r>
          <w:rPr>
            <w:noProof/>
          </w:rPr>
          <w:fldChar w:fldCharType="end"/>
        </w:r>
        <w:r>
          <w:rPr>
            <w:noProof/>
          </w:rPr>
          <w:t xml:space="preserve"> of  Terms of Reference</w:t>
        </w:r>
      </w:p>
    </w:sdtContent>
  </w:sdt>
  <w:p w:rsidR="003D063A" w:rsidRDefault="003D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58" w:rsidRDefault="002C0E58" w:rsidP="003D063A">
      <w:pPr>
        <w:spacing w:after="0" w:line="240" w:lineRule="auto"/>
      </w:pPr>
      <w:r>
        <w:separator/>
      </w:r>
    </w:p>
  </w:footnote>
  <w:footnote w:type="continuationSeparator" w:id="0">
    <w:p w:rsidR="002C0E58" w:rsidRDefault="002C0E58" w:rsidP="003D063A">
      <w:pPr>
        <w:spacing w:after="0" w:line="240" w:lineRule="auto"/>
      </w:pPr>
      <w:r>
        <w:continuationSeparator/>
      </w:r>
    </w:p>
  </w:footnote>
  <w:footnote w:id="1">
    <w:p w:rsidR="003D063A" w:rsidRDefault="003D063A" w:rsidP="003D063A">
      <w:pPr>
        <w:pStyle w:val="FootnoteText"/>
      </w:pPr>
      <w:r w:rsidRPr="00DB1643">
        <w:rPr>
          <w:rStyle w:val="FootnoteReference"/>
          <w:rFonts w:ascii="Arial" w:hAnsi="Arial" w:cs="Arial"/>
          <w:sz w:val="16"/>
          <w:szCs w:val="16"/>
        </w:rPr>
        <w:footnoteRef/>
      </w:r>
      <w:r w:rsidRPr="00DB1643">
        <w:rPr>
          <w:rFonts w:ascii="Arial" w:hAnsi="Arial" w:cs="Arial"/>
          <w:sz w:val="16"/>
          <w:szCs w:val="16"/>
        </w:rPr>
        <w:t xml:space="preserve"> The CBT toolkit and training manuals are available </w:t>
      </w:r>
      <w:hyperlink r:id="rId1" w:history="1">
        <w:r w:rsidRPr="00DB1643">
          <w:rPr>
            <w:rStyle w:val="Hyperlink"/>
            <w:rFonts w:ascii="Arial" w:hAnsi="Arial" w:cs="Arial"/>
            <w:sz w:val="16"/>
            <w:szCs w:val="16"/>
          </w:rPr>
          <w:t>https://competecaribbean.org/featured/community-based-tourism-toolkit</w:t>
        </w:r>
      </w:hyperlink>
      <w:r w:rsidRPr="00DB1643">
        <w:rPr>
          <w:rFonts w:ascii="Arial" w:hAnsi="Arial" w:cs="Arial"/>
          <w:sz w:val="16"/>
          <w:szCs w:val="16"/>
        </w:rPr>
        <w:t xml:space="preserve"> and </w:t>
      </w:r>
      <w:hyperlink r:id="rId2" w:history="1">
        <w:r w:rsidRPr="00DB1643">
          <w:rPr>
            <w:rStyle w:val="Hyperlink"/>
            <w:rFonts w:ascii="Arial" w:hAnsi="Arial" w:cs="Arial"/>
            <w:sz w:val="16"/>
            <w:szCs w:val="16"/>
          </w:rPr>
          <w:t>www.onecaribbean.org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63A" w:rsidRDefault="003D063A">
    <w:pPr>
      <w:pStyle w:val="Header"/>
    </w:pPr>
    <w:r>
      <w:rPr>
        <w:noProof/>
        <w:lang w:eastAsia="en-BZ"/>
      </w:rPr>
      <w:drawing>
        <wp:inline distT="0" distB="0" distL="0" distR="0" wp14:anchorId="21D91BDF" wp14:editId="210EEC71">
          <wp:extent cx="1476375" cy="37449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4183" cy="376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15306F1"/>
    <w:multiLevelType w:val="hybridMultilevel"/>
    <w:tmpl w:val="53265848"/>
    <w:lvl w:ilvl="0" w:tplc="0409000F">
      <w:start w:val="1"/>
      <w:numFmt w:val="decimal"/>
      <w:lvlText w:val="%1."/>
      <w:lvlJc w:val="left"/>
      <w:pPr>
        <w:ind w:left="1080" w:hanging="360"/>
      </w:pPr>
      <w:rPr>
        <w:rFonts w:hint="default"/>
      </w:rPr>
    </w:lvl>
    <w:lvl w:ilvl="1" w:tplc="2DC6605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93A1C"/>
    <w:multiLevelType w:val="hybridMultilevel"/>
    <w:tmpl w:val="2A0219CE"/>
    <w:lvl w:ilvl="0" w:tplc="42B20F00">
      <w:start w:val="1"/>
      <w:numFmt w:val="bullet"/>
      <w:lvlText w:val=""/>
      <w:lvlJc w:val="left"/>
      <w:pPr>
        <w:ind w:left="1080" w:hanging="360"/>
      </w:pPr>
      <w:rPr>
        <w:rFonts w:ascii="Symbol" w:hAnsi="Symbol" w:hint="default"/>
      </w:rPr>
    </w:lvl>
    <w:lvl w:ilvl="1" w:tplc="DD28E0BC">
      <w:start w:val="1"/>
      <w:numFmt w:val="bullet"/>
      <w:lvlText w:val="o"/>
      <w:lvlJc w:val="left"/>
      <w:pPr>
        <w:ind w:left="1800" w:hanging="360"/>
      </w:pPr>
      <w:rPr>
        <w:rFonts w:ascii="Courier New" w:hAnsi="Courier New" w:hint="default"/>
      </w:rPr>
    </w:lvl>
    <w:lvl w:ilvl="2" w:tplc="44F03B80">
      <w:start w:val="1"/>
      <w:numFmt w:val="bullet"/>
      <w:lvlText w:val=""/>
      <w:lvlJc w:val="left"/>
      <w:pPr>
        <w:ind w:left="2520" w:hanging="360"/>
      </w:pPr>
      <w:rPr>
        <w:rFonts w:ascii="Wingdings" w:hAnsi="Wingdings" w:hint="default"/>
      </w:rPr>
    </w:lvl>
    <w:lvl w:ilvl="3" w:tplc="2DFA1A04">
      <w:start w:val="1"/>
      <w:numFmt w:val="bullet"/>
      <w:lvlText w:val=""/>
      <w:lvlJc w:val="left"/>
      <w:pPr>
        <w:ind w:left="3240" w:hanging="360"/>
      </w:pPr>
      <w:rPr>
        <w:rFonts w:ascii="Symbol" w:hAnsi="Symbol" w:hint="default"/>
      </w:rPr>
    </w:lvl>
    <w:lvl w:ilvl="4" w:tplc="52969EA0">
      <w:start w:val="1"/>
      <w:numFmt w:val="bullet"/>
      <w:lvlText w:val="o"/>
      <w:lvlJc w:val="left"/>
      <w:pPr>
        <w:ind w:left="3960" w:hanging="360"/>
      </w:pPr>
      <w:rPr>
        <w:rFonts w:ascii="Courier New" w:hAnsi="Courier New" w:hint="default"/>
      </w:rPr>
    </w:lvl>
    <w:lvl w:ilvl="5" w:tplc="F6B05FA0">
      <w:start w:val="1"/>
      <w:numFmt w:val="bullet"/>
      <w:lvlText w:val=""/>
      <w:lvlJc w:val="left"/>
      <w:pPr>
        <w:ind w:left="4680" w:hanging="360"/>
      </w:pPr>
      <w:rPr>
        <w:rFonts w:ascii="Wingdings" w:hAnsi="Wingdings" w:hint="default"/>
      </w:rPr>
    </w:lvl>
    <w:lvl w:ilvl="6" w:tplc="0F8CE588">
      <w:start w:val="1"/>
      <w:numFmt w:val="bullet"/>
      <w:lvlText w:val=""/>
      <w:lvlJc w:val="left"/>
      <w:pPr>
        <w:ind w:left="5400" w:hanging="360"/>
      </w:pPr>
      <w:rPr>
        <w:rFonts w:ascii="Symbol" w:hAnsi="Symbol" w:hint="default"/>
      </w:rPr>
    </w:lvl>
    <w:lvl w:ilvl="7" w:tplc="3F80839E">
      <w:start w:val="1"/>
      <w:numFmt w:val="bullet"/>
      <w:lvlText w:val="o"/>
      <w:lvlJc w:val="left"/>
      <w:pPr>
        <w:ind w:left="6120" w:hanging="360"/>
      </w:pPr>
      <w:rPr>
        <w:rFonts w:ascii="Courier New" w:hAnsi="Courier New" w:hint="default"/>
      </w:rPr>
    </w:lvl>
    <w:lvl w:ilvl="8" w:tplc="BDE2F6D0">
      <w:start w:val="1"/>
      <w:numFmt w:val="bullet"/>
      <w:lvlText w:val=""/>
      <w:lvlJc w:val="left"/>
      <w:pPr>
        <w:ind w:left="6840" w:hanging="360"/>
      </w:pPr>
      <w:rPr>
        <w:rFonts w:ascii="Wingdings" w:hAnsi="Wingdings" w:hint="default"/>
      </w:rPr>
    </w:lvl>
  </w:abstractNum>
  <w:abstractNum w:abstractNumId="3" w15:restartNumberingAfterBreak="0">
    <w:nsid w:val="4FBE76DB"/>
    <w:multiLevelType w:val="multilevel"/>
    <w:tmpl w:val="08BC6ABE"/>
    <w:lvl w:ilvl="0">
      <w:start w:val="5"/>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63C65F78"/>
    <w:multiLevelType w:val="multilevel"/>
    <w:tmpl w:val="AD203E0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3A"/>
    <w:rsid w:val="002C0E58"/>
    <w:rsid w:val="003D063A"/>
    <w:rsid w:val="00430D68"/>
    <w:rsid w:val="00717732"/>
    <w:rsid w:val="008E3513"/>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54F9"/>
  <w15:chartTrackingRefBased/>
  <w15:docId w15:val="{C196F69C-EED5-4EA7-A281-9A150A1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063A"/>
    <w:pPr>
      <w:keepNext/>
      <w:spacing w:after="0" w:line="240" w:lineRule="auto"/>
      <w:outlineLvl w:val="0"/>
    </w:pPr>
    <w:rPr>
      <w:rFonts w:ascii="Times New Roman" w:eastAsia="Times New Roman" w:hAnsi="Times New Roman"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63A"/>
    <w:rPr>
      <w:rFonts w:ascii="Times New Roman" w:eastAsia="Times New Roman" w:hAnsi="Times New Roman" w:cs="Times New Roman"/>
      <w:sz w:val="32"/>
      <w:szCs w:val="20"/>
      <w:lang w:val="en-US"/>
    </w:rPr>
  </w:style>
  <w:style w:type="paragraph" w:styleId="ListParagraph">
    <w:name w:val="List Paragraph"/>
    <w:basedOn w:val="Normal"/>
    <w:link w:val="ListParagraphChar"/>
    <w:uiPriority w:val="34"/>
    <w:qFormat/>
    <w:rsid w:val="003D063A"/>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34"/>
    <w:locked/>
    <w:rsid w:val="003D063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3D063A"/>
    <w:rPr>
      <w:color w:val="0563C1" w:themeColor="hyperlink"/>
      <w:u w:val="single"/>
    </w:rPr>
  </w:style>
  <w:style w:type="paragraph" w:styleId="FootnoteText">
    <w:name w:val="footnote text"/>
    <w:basedOn w:val="Normal"/>
    <w:link w:val="FootnoteTextChar"/>
    <w:uiPriority w:val="99"/>
    <w:semiHidden/>
    <w:unhideWhenUsed/>
    <w:rsid w:val="003D063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D063A"/>
    <w:rPr>
      <w:sz w:val="20"/>
      <w:szCs w:val="20"/>
      <w:lang w:val="en-US"/>
    </w:rPr>
  </w:style>
  <w:style w:type="character" w:styleId="FootnoteReference">
    <w:name w:val="footnote reference"/>
    <w:aliases w:val="ftref,BVI fnr, BVI fnr,Знак сноски 1,referencia nota al pie,Fußnotenzeichen DISS,16 Point,Superscript 6 Point,Ref. de nota al pie.,FC,Знак сноски-FN,Ref,de nota al pie,Char Char1,ft Char1,FO,footnote ref,Footnote,titulo 2,Style 24"/>
    <w:basedOn w:val="DefaultParagraphFont"/>
    <w:uiPriority w:val="99"/>
    <w:qFormat/>
    <w:rsid w:val="003D063A"/>
    <w:rPr>
      <w:vertAlign w:val="superscript"/>
    </w:rPr>
  </w:style>
  <w:style w:type="paragraph" w:styleId="Header">
    <w:name w:val="header"/>
    <w:basedOn w:val="Normal"/>
    <w:link w:val="HeaderChar"/>
    <w:uiPriority w:val="99"/>
    <w:unhideWhenUsed/>
    <w:rsid w:val="003D0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3A"/>
  </w:style>
  <w:style w:type="paragraph" w:styleId="Footer">
    <w:name w:val="footer"/>
    <w:basedOn w:val="Normal"/>
    <w:link w:val="FooterChar"/>
    <w:uiPriority w:val="99"/>
    <w:unhideWhenUsed/>
    <w:rsid w:val="003D0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3A"/>
  </w:style>
  <w:style w:type="table" w:styleId="TableGrid">
    <w:name w:val="Table Grid"/>
    <w:basedOn w:val="TableNormal"/>
    <w:uiPriority w:val="59"/>
    <w:rsid w:val="008E3513"/>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8E3513"/>
    <w:pPr>
      <w:widowControl w:val="0"/>
      <w:autoSpaceDE w:val="0"/>
      <w:autoSpaceDN w:val="0"/>
      <w:adjustRightInd w:val="0"/>
      <w:spacing w:after="120" w:line="240" w:lineRule="auto"/>
      <w:ind w:left="360"/>
    </w:pPr>
    <w:rPr>
      <w:rFonts w:ascii="Arial" w:eastAsiaTheme="minorEastAsia" w:hAnsi="Arial" w:cs="Arial"/>
      <w:color w:val="000000"/>
      <w:sz w:val="16"/>
      <w:szCs w:val="16"/>
      <w:lang w:val="es-AR" w:eastAsia="es-AR"/>
    </w:rPr>
  </w:style>
  <w:style w:type="character" w:customStyle="1" w:styleId="BodyTextIndent3Char">
    <w:name w:val="Body Text Indent 3 Char"/>
    <w:basedOn w:val="DefaultParagraphFont"/>
    <w:link w:val="BodyTextIndent3"/>
    <w:rsid w:val="008E3513"/>
    <w:rPr>
      <w:rFonts w:ascii="Arial" w:eastAsiaTheme="minorEastAsia" w:hAnsi="Arial" w:cs="Arial"/>
      <w:color w:val="000000"/>
      <w:sz w:val="16"/>
      <w:szCs w:val="16"/>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necaribbean.org" TargetMode="External"/><Relationship Id="rId1" Type="http://schemas.openxmlformats.org/officeDocument/2006/relationships/hyperlink" Target="https://competecaribbean.org/featured/community-based-tourism-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Casasola</dc:creator>
  <cp:keywords/>
  <dc:description/>
  <cp:lastModifiedBy>James Foley</cp:lastModifiedBy>
  <cp:revision>3</cp:revision>
  <dcterms:created xsi:type="dcterms:W3CDTF">2021-11-05T14:02:00Z</dcterms:created>
  <dcterms:modified xsi:type="dcterms:W3CDTF">2021-11-05T19:11:00Z</dcterms:modified>
</cp:coreProperties>
</file>