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09066" w14:textId="4E0022CD" w:rsidR="002E4CDA" w:rsidRDefault="007F6833" w:rsidP="00133D7A">
      <w:pPr>
        <w:keepNext/>
        <w:keepLines/>
        <w:spacing w:before="240" w:after="0" w:line="120" w:lineRule="auto"/>
        <w:jc w:val="center"/>
        <w:outlineLvl w:val="0"/>
        <w:rPr>
          <w:rFonts w:asciiTheme="majorHAnsi" w:eastAsiaTheme="majorEastAsia" w:hAnsiTheme="majorHAnsi" w:cstheme="majorBidi"/>
          <w:color w:val="2F5496" w:themeColor="accent1" w:themeShade="BF"/>
          <w:sz w:val="32"/>
          <w:szCs w:val="32"/>
          <w:lang w:val="en-US"/>
        </w:rPr>
      </w:pPr>
      <w:r w:rsidRPr="007F6833">
        <w:rPr>
          <w:rFonts w:asciiTheme="majorHAnsi" w:eastAsiaTheme="majorEastAsia" w:hAnsiTheme="majorHAnsi" w:cstheme="majorBidi"/>
          <w:color w:val="2F5496" w:themeColor="accent1" w:themeShade="BF"/>
          <w:sz w:val="32"/>
          <w:szCs w:val="32"/>
          <w:lang w:val="en-US"/>
        </w:rPr>
        <w:t xml:space="preserve">Position Statement for the </w:t>
      </w:r>
      <w:r>
        <w:rPr>
          <w:rFonts w:asciiTheme="majorHAnsi" w:eastAsiaTheme="majorEastAsia" w:hAnsiTheme="majorHAnsi" w:cstheme="majorBidi"/>
          <w:color w:val="2F5496" w:themeColor="accent1" w:themeShade="BF"/>
          <w:sz w:val="32"/>
          <w:szCs w:val="32"/>
          <w:lang w:val="en-US"/>
        </w:rPr>
        <w:t xml:space="preserve">ICCAT </w:t>
      </w:r>
      <w:r w:rsidR="002E4CDA">
        <w:rPr>
          <w:rFonts w:asciiTheme="majorHAnsi" w:eastAsiaTheme="majorEastAsia" w:hAnsiTheme="majorHAnsi" w:cstheme="majorBidi"/>
          <w:color w:val="2F5496" w:themeColor="accent1" w:themeShade="BF"/>
          <w:sz w:val="32"/>
          <w:szCs w:val="32"/>
          <w:lang w:val="en-US"/>
        </w:rPr>
        <w:t>Annual Commission</w:t>
      </w:r>
      <w:r>
        <w:rPr>
          <w:rFonts w:asciiTheme="majorHAnsi" w:eastAsiaTheme="majorEastAsia" w:hAnsiTheme="majorHAnsi" w:cstheme="majorBidi"/>
          <w:color w:val="2F5496" w:themeColor="accent1" w:themeShade="BF"/>
          <w:sz w:val="32"/>
          <w:szCs w:val="32"/>
          <w:lang w:val="en-US"/>
        </w:rPr>
        <w:t xml:space="preserve"> </w:t>
      </w:r>
      <w:r w:rsidR="002E4CDA">
        <w:rPr>
          <w:rFonts w:asciiTheme="majorHAnsi" w:eastAsiaTheme="majorEastAsia" w:hAnsiTheme="majorHAnsi" w:cstheme="majorBidi"/>
          <w:color w:val="2F5496" w:themeColor="accent1" w:themeShade="BF"/>
          <w:sz w:val="32"/>
          <w:szCs w:val="32"/>
          <w:lang w:val="en-US"/>
        </w:rPr>
        <w:t>M</w:t>
      </w:r>
      <w:r>
        <w:rPr>
          <w:rFonts w:asciiTheme="majorHAnsi" w:eastAsiaTheme="majorEastAsia" w:hAnsiTheme="majorHAnsi" w:cstheme="majorBidi"/>
          <w:color w:val="2F5496" w:themeColor="accent1" w:themeShade="BF"/>
          <w:sz w:val="32"/>
          <w:szCs w:val="32"/>
          <w:lang w:val="en-US"/>
        </w:rPr>
        <w:t>eeting</w:t>
      </w:r>
    </w:p>
    <w:p w14:paraId="77AA53FF" w14:textId="7643E3B1" w:rsidR="007F6833" w:rsidRPr="007F6833" w:rsidRDefault="002E4CDA" w:rsidP="00133D7A">
      <w:pPr>
        <w:keepNext/>
        <w:keepLines/>
        <w:spacing w:before="240" w:after="0" w:line="120" w:lineRule="auto"/>
        <w:jc w:val="center"/>
        <w:outlineLvl w:val="0"/>
        <w:rPr>
          <w:rFonts w:asciiTheme="majorHAnsi" w:eastAsiaTheme="majorEastAsia" w:hAnsiTheme="majorHAnsi" w:cstheme="majorBidi"/>
          <w:color w:val="2F5496" w:themeColor="accent1" w:themeShade="BF"/>
          <w:sz w:val="32"/>
          <w:szCs w:val="32"/>
          <w:lang w:val="en-US"/>
        </w:rPr>
      </w:pPr>
      <w:r>
        <w:rPr>
          <w:rFonts w:asciiTheme="majorHAnsi" w:eastAsiaTheme="majorEastAsia" w:hAnsiTheme="majorHAnsi" w:cstheme="majorBidi"/>
          <w:color w:val="2F5496" w:themeColor="accent1" w:themeShade="BF"/>
          <w:sz w:val="32"/>
          <w:szCs w:val="32"/>
          <w:lang w:val="en-US"/>
        </w:rPr>
        <w:t>1</w:t>
      </w:r>
      <w:r w:rsidR="00B77A59">
        <w:rPr>
          <w:rFonts w:asciiTheme="majorHAnsi" w:eastAsiaTheme="majorEastAsia" w:hAnsiTheme="majorHAnsi" w:cstheme="majorBidi"/>
          <w:color w:val="2F5496" w:themeColor="accent1" w:themeShade="BF"/>
          <w:sz w:val="32"/>
          <w:szCs w:val="32"/>
          <w:lang w:val="en-US"/>
        </w:rPr>
        <w:t xml:space="preserve">1-18 </w:t>
      </w:r>
      <w:r w:rsidR="007F6833">
        <w:rPr>
          <w:rFonts w:asciiTheme="majorHAnsi" w:eastAsiaTheme="majorEastAsia" w:hAnsiTheme="majorHAnsi" w:cstheme="majorBidi"/>
          <w:color w:val="2F5496" w:themeColor="accent1" w:themeShade="BF"/>
          <w:sz w:val="32"/>
          <w:szCs w:val="32"/>
          <w:lang w:val="en-US"/>
        </w:rPr>
        <w:t>November</w:t>
      </w:r>
      <w:r w:rsidR="00133D7A">
        <w:rPr>
          <w:rFonts w:asciiTheme="majorHAnsi" w:eastAsiaTheme="majorEastAsia" w:hAnsiTheme="majorHAnsi" w:cstheme="majorBidi"/>
          <w:color w:val="2F5496" w:themeColor="accent1" w:themeShade="BF"/>
          <w:sz w:val="32"/>
          <w:szCs w:val="32"/>
          <w:lang w:val="en-US"/>
        </w:rPr>
        <w:t xml:space="preserve"> 2</w:t>
      </w:r>
      <w:r w:rsidR="007F6833">
        <w:rPr>
          <w:rFonts w:asciiTheme="majorHAnsi" w:eastAsiaTheme="majorEastAsia" w:hAnsiTheme="majorHAnsi" w:cstheme="majorBidi"/>
          <w:color w:val="2F5496" w:themeColor="accent1" w:themeShade="BF"/>
          <w:sz w:val="32"/>
          <w:szCs w:val="32"/>
          <w:lang w:val="en-US"/>
        </w:rPr>
        <w:t>02</w:t>
      </w:r>
      <w:r w:rsidR="00B77A59">
        <w:rPr>
          <w:rFonts w:asciiTheme="majorHAnsi" w:eastAsiaTheme="majorEastAsia" w:hAnsiTheme="majorHAnsi" w:cstheme="majorBidi"/>
          <w:color w:val="2F5496" w:themeColor="accent1" w:themeShade="BF"/>
          <w:sz w:val="32"/>
          <w:szCs w:val="32"/>
          <w:lang w:val="en-US"/>
        </w:rPr>
        <w:t>4</w:t>
      </w:r>
    </w:p>
    <w:p w14:paraId="5C655958" w14:textId="69BCF842" w:rsidR="007F6833" w:rsidRPr="007F6833" w:rsidRDefault="007F6833" w:rsidP="007F6833">
      <w:pPr>
        <w:spacing w:line="276" w:lineRule="auto"/>
        <w:rPr>
          <w:lang w:val="en-US"/>
        </w:rPr>
      </w:pPr>
    </w:p>
    <w:p w14:paraId="37215A9D" w14:textId="2582F99C" w:rsidR="007F6833" w:rsidRDefault="007F6833" w:rsidP="007F6833">
      <w:pPr>
        <w:keepNext/>
        <w:keepLines/>
        <w:spacing w:before="40" w:after="0" w:line="276" w:lineRule="auto"/>
        <w:jc w:val="center"/>
        <w:outlineLvl w:val="2"/>
        <w:rPr>
          <w:rFonts w:asciiTheme="majorHAnsi" w:eastAsiaTheme="majorEastAsia" w:hAnsiTheme="majorHAnsi" w:cstheme="majorBidi"/>
          <w:color w:val="1F3763" w:themeColor="accent1" w:themeShade="7F"/>
          <w:sz w:val="24"/>
          <w:szCs w:val="24"/>
          <w:lang w:val="en-US"/>
        </w:rPr>
      </w:pPr>
      <w:r w:rsidRPr="007F6833">
        <w:rPr>
          <w:rFonts w:asciiTheme="majorHAnsi" w:eastAsiaTheme="majorEastAsia" w:hAnsiTheme="majorHAnsi" w:cstheme="majorBidi"/>
          <w:color w:val="1F3763" w:themeColor="accent1" w:themeShade="7F"/>
          <w:sz w:val="24"/>
          <w:szCs w:val="24"/>
          <w:lang w:val="en-US"/>
        </w:rPr>
        <w:t xml:space="preserve">Drafted with agreement from all FIP Participants – </w:t>
      </w:r>
      <w:r w:rsidR="007D4FEA">
        <w:rPr>
          <w:rFonts w:asciiTheme="majorHAnsi" w:eastAsiaTheme="majorEastAsia" w:hAnsiTheme="majorHAnsi" w:cstheme="majorBidi"/>
          <w:color w:val="1F3763" w:themeColor="accent1" w:themeShade="7F"/>
          <w:sz w:val="24"/>
          <w:szCs w:val="24"/>
          <w:lang w:val="en-US"/>
        </w:rPr>
        <w:t xml:space="preserve">October </w:t>
      </w:r>
      <w:r w:rsidRPr="007F6833">
        <w:rPr>
          <w:rFonts w:asciiTheme="majorHAnsi" w:eastAsiaTheme="majorEastAsia" w:hAnsiTheme="majorHAnsi" w:cstheme="majorBidi"/>
          <w:color w:val="1F3763" w:themeColor="accent1" w:themeShade="7F"/>
          <w:sz w:val="24"/>
          <w:szCs w:val="24"/>
          <w:lang w:val="en-US"/>
        </w:rPr>
        <w:t>202</w:t>
      </w:r>
      <w:r w:rsidR="00B77A59">
        <w:rPr>
          <w:rFonts w:asciiTheme="majorHAnsi" w:eastAsiaTheme="majorEastAsia" w:hAnsiTheme="majorHAnsi" w:cstheme="majorBidi"/>
          <w:color w:val="1F3763" w:themeColor="accent1" w:themeShade="7F"/>
          <w:sz w:val="24"/>
          <w:szCs w:val="24"/>
          <w:lang w:val="en-US"/>
        </w:rPr>
        <w:t>4</w:t>
      </w:r>
    </w:p>
    <w:p w14:paraId="0F821DA0" w14:textId="0DB73960" w:rsidR="007F6833" w:rsidRDefault="007F6833" w:rsidP="007F6833">
      <w:pPr>
        <w:keepNext/>
        <w:keepLines/>
        <w:spacing w:before="40" w:after="0" w:line="276" w:lineRule="auto"/>
        <w:jc w:val="center"/>
        <w:outlineLvl w:val="2"/>
        <w:rPr>
          <w:rFonts w:asciiTheme="majorHAnsi" w:eastAsiaTheme="majorEastAsia" w:hAnsiTheme="majorHAnsi" w:cstheme="majorBidi"/>
          <w:color w:val="1F3763" w:themeColor="accent1" w:themeShade="7F"/>
          <w:sz w:val="24"/>
          <w:szCs w:val="24"/>
          <w:lang w:val="en-US"/>
        </w:rPr>
      </w:pPr>
    </w:p>
    <w:p w14:paraId="0F5EF915" w14:textId="51A7E769" w:rsidR="007F6833" w:rsidRPr="00F270C1" w:rsidRDefault="007F6833" w:rsidP="000048C0">
      <w:pPr>
        <w:spacing w:line="276" w:lineRule="auto"/>
        <w:jc w:val="both"/>
        <w:rPr>
          <w:sz w:val="24"/>
          <w:szCs w:val="24"/>
          <w:lang w:val="en-US"/>
        </w:rPr>
      </w:pPr>
      <w:r w:rsidRPr="00F270C1">
        <w:rPr>
          <w:sz w:val="24"/>
          <w:szCs w:val="24"/>
          <w:lang w:val="en-US"/>
        </w:rPr>
        <w:t xml:space="preserve">This FIP aims to meet the rising global demand for tuna in a sustainable manner by assuring catches do not exceed sustainable levels, promoting the ecosystem-based approach to fisheries management and strengthening policy and governance systems in the region. The end goal is to achieve certification under the </w:t>
      </w:r>
      <w:hyperlink r:id="rId7" w:history="1">
        <w:r w:rsidRPr="00F270C1">
          <w:rPr>
            <w:rStyle w:val="Hyperlink"/>
            <w:sz w:val="24"/>
            <w:szCs w:val="24"/>
            <w:lang w:val="en-US"/>
          </w:rPr>
          <w:t>Marine Stewardship Council</w:t>
        </w:r>
      </w:hyperlink>
      <w:r w:rsidRPr="00F270C1">
        <w:rPr>
          <w:sz w:val="24"/>
          <w:szCs w:val="24"/>
          <w:lang w:val="en-US"/>
        </w:rPr>
        <w:t xml:space="preserve"> Fisheries Standard.</w:t>
      </w:r>
    </w:p>
    <w:p w14:paraId="4986451D" w14:textId="2B16F842" w:rsidR="007F6833" w:rsidRPr="00F270C1" w:rsidRDefault="007F6833" w:rsidP="000048C0">
      <w:pPr>
        <w:spacing w:line="276" w:lineRule="auto"/>
        <w:jc w:val="both"/>
        <w:rPr>
          <w:sz w:val="24"/>
          <w:szCs w:val="24"/>
          <w:lang w:val="en-US"/>
        </w:rPr>
      </w:pPr>
      <w:r w:rsidRPr="00F270C1">
        <w:rPr>
          <w:sz w:val="24"/>
          <w:szCs w:val="24"/>
          <w:lang w:val="en-US"/>
        </w:rPr>
        <w:t xml:space="preserve">As part of this FIP reaching MSC certification there are various actions that need to be undertaken that involve a range of different stakeholders. To ensure the FIP meets these objectives we need the support of ICCAT and urge action at the ICCAT </w:t>
      </w:r>
      <w:r w:rsidR="00876020">
        <w:rPr>
          <w:sz w:val="24"/>
          <w:szCs w:val="24"/>
          <w:lang w:val="en-US"/>
        </w:rPr>
        <w:t>annual</w:t>
      </w:r>
      <w:r w:rsidRPr="00F270C1">
        <w:rPr>
          <w:sz w:val="24"/>
          <w:szCs w:val="24"/>
          <w:lang w:val="en-US"/>
        </w:rPr>
        <w:t xml:space="preserve"> meeting this year on multiple topics laid out in this position statement.</w:t>
      </w:r>
    </w:p>
    <w:p w14:paraId="4920DED5" w14:textId="78FD99E1" w:rsidR="007F6833" w:rsidRPr="00F270C1" w:rsidRDefault="007F6833" w:rsidP="000048C0">
      <w:pPr>
        <w:spacing w:line="276" w:lineRule="auto"/>
        <w:jc w:val="both"/>
        <w:rPr>
          <w:sz w:val="24"/>
          <w:szCs w:val="24"/>
          <w:lang w:val="en-US"/>
        </w:rPr>
      </w:pPr>
      <w:r w:rsidRPr="00F270C1">
        <w:rPr>
          <w:sz w:val="24"/>
          <w:szCs w:val="24"/>
          <w:lang w:val="en-US"/>
        </w:rPr>
        <w:t xml:space="preserve">The FIP strongly urges ICCAT and its member states to </w:t>
      </w:r>
      <w:r w:rsidR="00876020">
        <w:rPr>
          <w:sz w:val="24"/>
          <w:szCs w:val="24"/>
          <w:lang w:val="en-US"/>
        </w:rPr>
        <w:t>ensure</w:t>
      </w:r>
      <w:r w:rsidRPr="00F270C1">
        <w:rPr>
          <w:sz w:val="24"/>
          <w:szCs w:val="24"/>
          <w:lang w:val="en-US"/>
        </w:rPr>
        <w:t xml:space="preserve"> the</w:t>
      </w:r>
      <w:r w:rsidR="00876020">
        <w:rPr>
          <w:sz w:val="24"/>
          <w:szCs w:val="24"/>
          <w:lang w:val="en-US"/>
        </w:rPr>
        <w:t xml:space="preserve"> following:</w:t>
      </w:r>
    </w:p>
    <w:p w14:paraId="49AAADF6" w14:textId="05740B19" w:rsidR="00F270C1" w:rsidRPr="0069775E" w:rsidRDefault="00F270C1" w:rsidP="000048C0">
      <w:pPr>
        <w:pStyle w:val="ListParagraph"/>
        <w:numPr>
          <w:ilvl w:val="0"/>
          <w:numId w:val="1"/>
        </w:numPr>
        <w:spacing w:line="276" w:lineRule="auto"/>
        <w:jc w:val="both"/>
        <w:rPr>
          <w:sz w:val="24"/>
          <w:szCs w:val="24"/>
          <w:lang w:val="en-US"/>
        </w:rPr>
      </w:pPr>
      <w:r w:rsidRPr="00F270C1">
        <w:rPr>
          <w:sz w:val="24"/>
          <w:szCs w:val="24"/>
        </w:rPr>
        <w:t>Adopt a workplan for the Compliance Committee to develop audit points for ICCAT management measures, such as those developed for sharks in Rec. 18-06.</w:t>
      </w:r>
    </w:p>
    <w:p w14:paraId="05C3893A" w14:textId="445404E1" w:rsidR="00B77A59" w:rsidRPr="00F270C1" w:rsidRDefault="00B77A59" w:rsidP="00B77A59">
      <w:pPr>
        <w:pStyle w:val="ListParagraph"/>
        <w:numPr>
          <w:ilvl w:val="0"/>
          <w:numId w:val="1"/>
        </w:numPr>
        <w:spacing w:line="276" w:lineRule="auto"/>
        <w:jc w:val="both"/>
        <w:rPr>
          <w:sz w:val="24"/>
          <w:szCs w:val="24"/>
          <w:lang w:val="en-US"/>
        </w:rPr>
      </w:pPr>
      <w:r w:rsidRPr="00B77A59">
        <w:rPr>
          <w:sz w:val="24"/>
          <w:szCs w:val="24"/>
          <w:lang w:val="en-US"/>
        </w:rPr>
        <w:t>Adopt procedures to identify and address non-compliance with TAC allocations.</w:t>
      </w:r>
    </w:p>
    <w:p w14:paraId="7AA0404D" w14:textId="5B8B3AB6" w:rsidR="00F270C1" w:rsidRPr="00F270C1" w:rsidRDefault="00A76FD4" w:rsidP="000048C0">
      <w:pPr>
        <w:pStyle w:val="ListParagraph"/>
        <w:numPr>
          <w:ilvl w:val="0"/>
          <w:numId w:val="1"/>
        </w:numPr>
        <w:spacing w:line="276" w:lineRule="auto"/>
        <w:jc w:val="both"/>
        <w:rPr>
          <w:sz w:val="24"/>
          <w:szCs w:val="24"/>
          <w:lang w:val="en-US"/>
        </w:rPr>
      </w:pPr>
      <w:r w:rsidRPr="00A76FD4">
        <w:rPr>
          <w:sz w:val="24"/>
          <w:szCs w:val="24"/>
        </w:rPr>
        <w:t>Adopt a new Recommendation for tropical tuna conservation and management that ensures bigeye and yellowfin stocks are maintained at sustainable levels. This will require stronger management measures to reduce the yellowfin catch. The measure needs to fully allocate the total allowable catch (TAC) between CPCs, especially for yellowfin.</w:t>
      </w:r>
      <w:r w:rsidR="00F270C1" w:rsidRPr="00F270C1">
        <w:rPr>
          <w:sz w:val="24"/>
          <w:szCs w:val="24"/>
        </w:rPr>
        <w:t xml:space="preserve"> </w:t>
      </w:r>
    </w:p>
    <w:p w14:paraId="13F448E1" w14:textId="0758522E" w:rsidR="00F270C1" w:rsidRPr="00F270C1" w:rsidRDefault="00A76FD4" w:rsidP="00A76FD4">
      <w:pPr>
        <w:pStyle w:val="ListParagraph"/>
        <w:numPr>
          <w:ilvl w:val="0"/>
          <w:numId w:val="1"/>
        </w:numPr>
        <w:spacing w:line="276" w:lineRule="auto"/>
        <w:jc w:val="both"/>
        <w:rPr>
          <w:sz w:val="24"/>
          <w:szCs w:val="24"/>
          <w:lang w:val="en-US"/>
        </w:rPr>
      </w:pPr>
      <w:r w:rsidRPr="00A76FD4">
        <w:rPr>
          <w:sz w:val="24"/>
          <w:szCs w:val="24"/>
        </w:rPr>
        <w:t>Maintain the current TAC for Mediterranean albacore.</w:t>
      </w:r>
    </w:p>
    <w:p w14:paraId="31835124" w14:textId="77777777" w:rsidR="00201ADE" w:rsidRPr="00201ADE" w:rsidRDefault="00201ADE" w:rsidP="000048C0">
      <w:pPr>
        <w:pStyle w:val="ListParagraph"/>
        <w:numPr>
          <w:ilvl w:val="0"/>
          <w:numId w:val="1"/>
        </w:numPr>
        <w:spacing w:line="276" w:lineRule="auto"/>
        <w:jc w:val="both"/>
        <w:rPr>
          <w:sz w:val="24"/>
          <w:szCs w:val="24"/>
          <w:lang w:val="en-US"/>
        </w:rPr>
      </w:pPr>
      <w:r w:rsidRPr="00201ADE">
        <w:rPr>
          <w:sz w:val="24"/>
          <w:szCs w:val="24"/>
        </w:rPr>
        <w:t xml:space="preserve">As part of the revised tropical tuna conservation measure, and in line with ISSF’s established approach to strengthening FAD management: </w:t>
      </w:r>
    </w:p>
    <w:p w14:paraId="3D6DC174" w14:textId="15CC9FC8" w:rsidR="00F270C1" w:rsidRPr="00F270C1" w:rsidRDefault="00A76FD4" w:rsidP="00201ADE">
      <w:pPr>
        <w:pStyle w:val="ListParagraph"/>
        <w:numPr>
          <w:ilvl w:val="0"/>
          <w:numId w:val="3"/>
        </w:numPr>
        <w:spacing w:line="276" w:lineRule="auto"/>
        <w:jc w:val="both"/>
        <w:rPr>
          <w:sz w:val="24"/>
          <w:szCs w:val="24"/>
          <w:lang w:val="en-US"/>
        </w:rPr>
      </w:pPr>
      <w:r w:rsidRPr="00A76FD4">
        <w:rPr>
          <w:sz w:val="24"/>
          <w:szCs w:val="24"/>
        </w:rPr>
        <w:t>Clarify that Fish Aggregating Devices (FADs) must be fully non-entangling, i.e., without any netting or meshed materials</w:t>
      </w:r>
      <w:r>
        <w:rPr>
          <w:sz w:val="24"/>
          <w:szCs w:val="24"/>
        </w:rPr>
        <w:t>;</w:t>
      </w:r>
      <w:r w:rsidR="00F270C1" w:rsidRPr="00F270C1">
        <w:rPr>
          <w:sz w:val="24"/>
          <w:szCs w:val="24"/>
        </w:rPr>
        <w:t xml:space="preserve"> </w:t>
      </w:r>
    </w:p>
    <w:p w14:paraId="1C38661A" w14:textId="150B5494" w:rsidR="00F270C1" w:rsidRPr="00F270C1" w:rsidRDefault="00A76FD4" w:rsidP="00201ADE">
      <w:pPr>
        <w:pStyle w:val="ListParagraph"/>
        <w:numPr>
          <w:ilvl w:val="0"/>
          <w:numId w:val="3"/>
        </w:numPr>
        <w:spacing w:line="276" w:lineRule="auto"/>
        <w:jc w:val="both"/>
        <w:rPr>
          <w:sz w:val="24"/>
          <w:szCs w:val="24"/>
          <w:lang w:val="en-US"/>
        </w:rPr>
      </w:pPr>
      <w:r w:rsidRPr="00A76FD4">
        <w:rPr>
          <w:sz w:val="24"/>
          <w:szCs w:val="24"/>
        </w:rPr>
        <w:t>Adopt the definition of “biodegradable” categories consistent with those of IATTC and WCPFC and establish a timeline for transition to biodegradable FADs similar to what was agreed in the IATTC or IOTC; and</w:t>
      </w:r>
    </w:p>
    <w:p w14:paraId="4209F4AA" w14:textId="33FC903F" w:rsidR="00F270C1" w:rsidRPr="00F270C1" w:rsidRDefault="00A76FD4" w:rsidP="00201ADE">
      <w:pPr>
        <w:pStyle w:val="ListParagraph"/>
        <w:numPr>
          <w:ilvl w:val="0"/>
          <w:numId w:val="3"/>
        </w:numPr>
        <w:spacing w:line="276" w:lineRule="auto"/>
        <w:jc w:val="both"/>
        <w:rPr>
          <w:sz w:val="24"/>
          <w:szCs w:val="24"/>
          <w:lang w:val="en-US"/>
        </w:rPr>
      </w:pPr>
      <w:r w:rsidRPr="00A76FD4">
        <w:rPr>
          <w:sz w:val="24"/>
          <w:szCs w:val="24"/>
        </w:rPr>
        <w:t>Establish a timeline to develop a FAD register.</w:t>
      </w:r>
      <w:r w:rsidR="00F270C1" w:rsidRPr="00F270C1">
        <w:rPr>
          <w:sz w:val="24"/>
          <w:szCs w:val="24"/>
        </w:rPr>
        <w:t xml:space="preserve"> </w:t>
      </w:r>
    </w:p>
    <w:p w14:paraId="4DBC2DA1" w14:textId="7B369C12" w:rsidR="00F270C1" w:rsidRPr="00F270C1" w:rsidRDefault="00A76FD4" w:rsidP="00201ADE">
      <w:pPr>
        <w:pStyle w:val="ListParagraph"/>
        <w:numPr>
          <w:ilvl w:val="0"/>
          <w:numId w:val="3"/>
        </w:numPr>
        <w:spacing w:line="276" w:lineRule="auto"/>
        <w:jc w:val="both"/>
        <w:rPr>
          <w:sz w:val="24"/>
          <w:szCs w:val="24"/>
          <w:lang w:val="en-US"/>
        </w:rPr>
      </w:pPr>
      <w:r w:rsidRPr="00A76FD4">
        <w:rPr>
          <w:sz w:val="24"/>
          <w:szCs w:val="24"/>
        </w:rPr>
        <w:t>If the Commission extends the current Recommendation for tropical tuna conservation and management for another year, adopt a stand-alone FAD measure that includes all of the above asks.</w:t>
      </w:r>
    </w:p>
    <w:p w14:paraId="01327817" w14:textId="790E60E9" w:rsidR="00F270C1" w:rsidRPr="00F270C1" w:rsidRDefault="00A76FD4" w:rsidP="000048C0">
      <w:pPr>
        <w:pStyle w:val="ListParagraph"/>
        <w:numPr>
          <w:ilvl w:val="0"/>
          <w:numId w:val="1"/>
        </w:numPr>
        <w:spacing w:line="276" w:lineRule="auto"/>
        <w:jc w:val="both"/>
        <w:rPr>
          <w:sz w:val="24"/>
          <w:szCs w:val="24"/>
          <w:lang w:val="en-US"/>
        </w:rPr>
      </w:pPr>
      <w:r w:rsidRPr="00A76FD4">
        <w:rPr>
          <w:sz w:val="24"/>
          <w:szCs w:val="24"/>
        </w:rPr>
        <w:t>Increase observer coverage by large-scale longline vessels to 20%, allowing for the use of EM to reach this level.</w:t>
      </w:r>
    </w:p>
    <w:p w14:paraId="45376106" w14:textId="77777777" w:rsidR="00A76FD4" w:rsidRPr="0069775E" w:rsidRDefault="00A76FD4" w:rsidP="00A76FD4">
      <w:pPr>
        <w:pStyle w:val="ListParagraph"/>
        <w:numPr>
          <w:ilvl w:val="0"/>
          <w:numId w:val="1"/>
        </w:numPr>
        <w:spacing w:line="276" w:lineRule="auto"/>
        <w:jc w:val="both"/>
        <w:rPr>
          <w:sz w:val="24"/>
          <w:szCs w:val="24"/>
          <w:lang w:val="en-US"/>
        </w:rPr>
      </w:pPr>
      <w:r w:rsidRPr="00A76FD4">
        <w:rPr>
          <w:sz w:val="24"/>
          <w:szCs w:val="24"/>
        </w:rPr>
        <w:t xml:space="preserve">Adopt revisions to Rec. 21-15 to strengthen the regulation of at-sea transshipment in line with best practice standards, including requiring: </w:t>
      </w:r>
    </w:p>
    <w:p w14:paraId="5FD93714" w14:textId="5A76DF8B" w:rsidR="00A76FD4" w:rsidRPr="0069775E" w:rsidRDefault="00876020" w:rsidP="0069775E">
      <w:pPr>
        <w:pStyle w:val="ListParagraph"/>
        <w:numPr>
          <w:ilvl w:val="0"/>
          <w:numId w:val="2"/>
        </w:numPr>
        <w:spacing w:line="276" w:lineRule="auto"/>
        <w:jc w:val="both"/>
        <w:rPr>
          <w:sz w:val="24"/>
          <w:szCs w:val="24"/>
          <w:lang w:val="en-US"/>
        </w:rPr>
      </w:pPr>
      <w:r w:rsidRPr="0069775E">
        <w:rPr>
          <w:sz w:val="24"/>
          <w:szCs w:val="24"/>
        </w:rPr>
        <w:lastRenderedPageBreak/>
        <w:t xml:space="preserve">Near real-time electronic reporting (not longer than 24 hours after the event) for all transshipment activity; </w:t>
      </w:r>
    </w:p>
    <w:p w14:paraId="297DA058" w14:textId="0410BBC2" w:rsidR="00A76FD4" w:rsidRPr="0069775E" w:rsidRDefault="00876020" w:rsidP="0069775E">
      <w:pPr>
        <w:pStyle w:val="ListParagraph"/>
        <w:numPr>
          <w:ilvl w:val="0"/>
          <w:numId w:val="2"/>
        </w:numPr>
        <w:spacing w:line="276" w:lineRule="auto"/>
        <w:jc w:val="both"/>
        <w:rPr>
          <w:sz w:val="24"/>
          <w:szCs w:val="24"/>
        </w:rPr>
      </w:pPr>
      <w:r w:rsidRPr="0069775E">
        <w:rPr>
          <w:sz w:val="24"/>
          <w:szCs w:val="24"/>
        </w:rPr>
        <w:t xml:space="preserve">That carrier vessels only to be flagged to </w:t>
      </w:r>
      <w:r>
        <w:rPr>
          <w:sz w:val="24"/>
          <w:szCs w:val="24"/>
        </w:rPr>
        <w:t>CPCs</w:t>
      </w:r>
      <w:r w:rsidRPr="0069775E">
        <w:rPr>
          <w:sz w:val="24"/>
          <w:szCs w:val="24"/>
        </w:rPr>
        <w:t xml:space="preserve">; and </w:t>
      </w:r>
    </w:p>
    <w:p w14:paraId="29692CB4" w14:textId="324DF5BF" w:rsidR="00A76FD4" w:rsidRPr="0069775E" w:rsidRDefault="00876020" w:rsidP="0069775E">
      <w:pPr>
        <w:pStyle w:val="ListParagraph"/>
        <w:numPr>
          <w:ilvl w:val="0"/>
          <w:numId w:val="2"/>
        </w:numPr>
        <w:spacing w:line="276" w:lineRule="auto"/>
        <w:jc w:val="both"/>
        <w:rPr>
          <w:sz w:val="24"/>
          <w:szCs w:val="24"/>
        </w:rPr>
      </w:pPr>
      <w:r w:rsidRPr="0069775E">
        <w:rPr>
          <w:sz w:val="24"/>
          <w:szCs w:val="24"/>
        </w:rPr>
        <w:t xml:space="preserve">That </w:t>
      </w:r>
      <w:r w:rsidR="00A76FD4" w:rsidRPr="0069775E">
        <w:rPr>
          <w:sz w:val="24"/>
          <w:szCs w:val="24"/>
        </w:rPr>
        <w:t>AIS data are reported in addition to required VMS data.</w:t>
      </w:r>
    </w:p>
    <w:p w14:paraId="109516A3" w14:textId="61CB34F5" w:rsidR="00F270C1" w:rsidRPr="0069775E" w:rsidRDefault="00A76FD4" w:rsidP="00F270C1">
      <w:pPr>
        <w:pStyle w:val="ListParagraph"/>
        <w:numPr>
          <w:ilvl w:val="0"/>
          <w:numId w:val="1"/>
        </w:numPr>
        <w:spacing w:line="276" w:lineRule="auto"/>
        <w:jc w:val="both"/>
        <w:rPr>
          <w:sz w:val="24"/>
          <w:szCs w:val="24"/>
          <w:lang w:val="en-US"/>
        </w:rPr>
      </w:pPr>
      <w:r w:rsidRPr="00A76FD4">
        <w:rPr>
          <w:sz w:val="24"/>
          <w:szCs w:val="24"/>
        </w:rPr>
        <w:t>Adopt a management procedure for western Atlantic skipjack recommended by SCRS, as well as multi-stock management objectives for bigeye, yellowfin and eastern skipjack.</w:t>
      </w:r>
      <w:r w:rsidR="00F270C1" w:rsidRPr="00F270C1">
        <w:rPr>
          <w:sz w:val="24"/>
          <w:szCs w:val="24"/>
        </w:rPr>
        <w:t xml:space="preserve"> </w:t>
      </w:r>
    </w:p>
    <w:p w14:paraId="008C70C4" w14:textId="2969E8C1" w:rsidR="00A76FD4" w:rsidRPr="0069775E" w:rsidRDefault="00A76FD4" w:rsidP="00F270C1">
      <w:pPr>
        <w:pStyle w:val="ListParagraph"/>
        <w:numPr>
          <w:ilvl w:val="0"/>
          <w:numId w:val="1"/>
        </w:numPr>
        <w:spacing w:line="276" w:lineRule="auto"/>
        <w:jc w:val="both"/>
        <w:rPr>
          <w:sz w:val="24"/>
          <w:szCs w:val="24"/>
          <w:lang w:val="en-US"/>
        </w:rPr>
      </w:pPr>
      <w:r w:rsidRPr="00A76FD4">
        <w:rPr>
          <w:sz w:val="24"/>
          <w:szCs w:val="24"/>
        </w:rPr>
        <w:t>Panel 3 begins to plan for the development of a management procedure for South Atlantic Albacore</w:t>
      </w:r>
    </w:p>
    <w:p w14:paraId="621F4870" w14:textId="6155C145" w:rsidR="00A76FD4" w:rsidRPr="0069775E" w:rsidRDefault="00A76FD4" w:rsidP="00F270C1">
      <w:pPr>
        <w:pStyle w:val="ListParagraph"/>
        <w:numPr>
          <w:ilvl w:val="0"/>
          <w:numId w:val="1"/>
        </w:numPr>
        <w:spacing w:line="276" w:lineRule="auto"/>
        <w:jc w:val="both"/>
        <w:rPr>
          <w:sz w:val="24"/>
          <w:szCs w:val="24"/>
          <w:lang w:val="en-US"/>
        </w:rPr>
      </w:pPr>
      <w:r w:rsidRPr="00A76FD4">
        <w:rPr>
          <w:sz w:val="24"/>
          <w:szCs w:val="24"/>
        </w:rPr>
        <w:t>Require all sharks be landed with fins naturally attached without exceptions.</w:t>
      </w:r>
    </w:p>
    <w:p w14:paraId="2D74DD12" w14:textId="7F0F8201" w:rsidR="00A76FD4" w:rsidRPr="0069775E" w:rsidRDefault="00A76FD4" w:rsidP="00F270C1">
      <w:pPr>
        <w:pStyle w:val="ListParagraph"/>
        <w:numPr>
          <w:ilvl w:val="0"/>
          <w:numId w:val="1"/>
        </w:numPr>
        <w:spacing w:line="276" w:lineRule="auto"/>
        <w:jc w:val="both"/>
        <w:rPr>
          <w:sz w:val="24"/>
          <w:szCs w:val="24"/>
          <w:lang w:val="en-US"/>
        </w:rPr>
      </w:pPr>
      <w:r w:rsidRPr="00A76FD4">
        <w:rPr>
          <w:sz w:val="24"/>
          <w:szCs w:val="24"/>
        </w:rPr>
        <w:t>Request the SCRS to review science-based mitigation techniques for seabird bycatch so the Commission can adopt revisions to Rec.11-09 that reflects up-to-date scientific bycatch mitigation best practices in 2025.</w:t>
      </w:r>
    </w:p>
    <w:p w14:paraId="75772C30" w14:textId="68EBD321" w:rsidR="00A76FD4" w:rsidRPr="0069775E" w:rsidRDefault="00A76FD4" w:rsidP="00A76FD4">
      <w:pPr>
        <w:pStyle w:val="ListParagraph"/>
        <w:numPr>
          <w:ilvl w:val="0"/>
          <w:numId w:val="1"/>
        </w:numPr>
        <w:spacing w:line="276" w:lineRule="auto"/>
        <w:jc w:val="both"/>
        <w:rPr>
          <w:sz w:val="24"/>
          <w:szCs w:val="24"/>
          <w:lang w:val="en-US"/>
        </w:rPr>
      </w:pPr>
      <w:r w:rsidRPr="00A76FD4">
        <w:rPr>
          <w:sz w:val="24"/>
          <w:szCs w:val="24"/>
        </w:rPr>
        <w:t>Give full effect to Recs. 23-12 and 23-14 on whale sharks and mobulid rays such that they enter into force on 1 January 2025 and 1 July 2025, respectively.</w:t>
      </w:r>
    </w:p>
    <w:p w14:paraId="4B2343EC" w14:textId="17279C72" w:rsidR="00A8468F" w:rsidRPr="00F270C1" w:rsidRDefault="00133D7A" w:rsidP="00F270C1">
      <w:pPr>
        <w:jc w:val="both"/>
        <w:rPr>
          <w:sz w:val="24"/>
          <w:szCs w:val="24"/>
          <w:lang w:val="en-US"/>
        </w:rPr>
      </w:pPr>
      <w:r w:rsidRPr="00F270C1">
        <w:rPr>
          <w:sz w:val="24"/>
          <w:szCs w:val="24"/>
          <w:lang w:val="en-US"/>
        </w:rPr>
        <w:t>If the above-mentioned are addressed effectively it will have positive long term-sustainability implications and improve the overall health of the Atlantic marine ecosystem to allow for fisheries like our current FIP to achieve sustainability targets, particularly in line with MSC certification.</w:t>
      </w:r>
    </w:p>
    <w:p w14:paraId="6A531C7A" w14:textId="2ABF5783" w:rsidR="00A8468F" w:rsidRDefault="00312BA3" w:rsidP="002E4CDA">
      <w:pPr>
        <w:ind w:hanging="2"/>
        <w:jc w:val="both"/>
        <w:rPr>
          <w:rFonts w:eastAsia="Calibri" w:cstheme="minorHAnsi"/>
          <w:sz w:val="24"/>
          <w:szCs w:val="24"/>
        </w:rPr>
      </w:pPr>
      <w:r w:rsidRPr="00F270C1">
        <w:rPr>
          <w:rFonts w:eastAsia="Calibri" w:cstheme="minorHAnsi"/>
          <w:sz w:val="24"/>
          <w:szCs w:val="24"/>
        </w:rPr>
        <w:t>For more information, please do not hesitate in contacting the FIP coordinator</w:t>
      </w:r>
      <w:r w:rsidR="002E4CDA">
        <w:rPr>
          <w:rFonts w:eastAsia="Calibri" w:cstheme="minorHAnsi"/>
          <w:sz w:val="24"/>
          <w:szCs w:val="24"/>
        </w:rPr>
        <w:t>.</w:t>
      </w:r>
    </w:p>
    <w:p w14:paraId="0396F7AA" w14:textId="77777777" w:rsidR="002E4CDA" w:rsidRPr="00F270C1" w:rsidRDefault="002E4CDA" w:rsidP="002E4CDA">
      <w:pPr>
        <w:ind w:hanging="2"/>
        <w:jc w:val="both"/>
        <w:rPr>
          <w:rFonts w:eastAsia="Calibri" w:cstheme="minorHAnsi"/>
          <w:sz w:val="24"/>
          <w:szCs w:val="24"/>
        </w:rPr>
      </w:pPr>
    </w:p>
    <w:p w14:paraId="702407B8" w14:textId="27A6F2B2" w:rsidR="00312BA3" w:rsidRPr="00F270C1" w:rsidRDefault="00312BA3" w:rsidP="00A8468F">
      <w:pPr>
        <w:jc w:val="both"/>
        <w:rPr>
          <w:rFonts w:eastAsia="Calibri" w:cstheme="minorHAnsi"/>
          <w:sz w:val="24"/>
          <w:szCs w:val="24"/>
        </w:rPr>
      </w:pPr>
      <w:r w:rsidRPr="00F270C1">
        <w:rPr>
          <w:rFonts w:eastAsia="Calibri" w:cstheme="minorHAnsi"/>
          <w:sz w:val="24"/>
          <w:szCs w:val="24"/>
        </w:rPr>
        <w:t>Thank you for your attention in this matter.</w:t>
      </w:r>
    </w:p>
    <w:sectPr w:rsidR="00312BA3" w:rsidRPr="00F270C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44FAB" w14:textId="77777777" w:rsidR="00370C38" w:rsidRDefault="00370C38" w:rsidP="007F6833">
      <w:pPr>
        <w:spacing w:after="0" w:line="240" w:lineRule="auto"/>
      </w:pPr>
      <w:r>
        <w:separator/>
      </w:r>
    </w:p>
  </w:endnote>
  <w:endnote w:type="continuationSeparator" w:id="0">
    <w:p w14:paraId="5F6DA5C0" w14:textId="77777777" w:rsidR="00370C38" w:rsidRDefault="00370C38" w:rsidP="007F6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E694F" w14:textId="77777777" w:rsidR="00370C38" w:rsidRDefault="00370C38" w:rsidP="007F6833">
      <w:pPr>
        <w:spacing w:after="0" w:line="240" w:lineRule="auto"/>
      </w:pPr>
      <w:r>
        <w:separator/>
      </w:r>
    </w:p>
  </w:footnote>
  <w:footnote w:type="continuationSeparator" w:id="0">
    <w:p w14:paraId="062DFCDB" w14:textId="77777777" w:rsidR="00370C38" w:rsidRDefault="00370C38" w:rsidP="007F68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E7082" w14:textId="2A241277" w:rsidR="007F6833" w:rsidRPr="007D4FEA" w:rsidRDefault="007F6833" w:rsidP="007F6833">
    <w:pPr>
      <w:pStyle w:val="Header"/>
      <w:jc w:val="right"/>
      <w:rPr>
        <w:sz w:val="20"/>
        <w:szCs w:val="20"/>
      </w:rPr>
    </w:pPr>
    <w:r w:rsidRPr="007D4FEA">
      <w:rPr>
        <w:noProof/>
        <w:sz w:val="20"/>
        <w:szCs w:val="20"/>
        <w:lang w:eastAsia="en-GB"/>
      </w:rPr>
      <w:drawing>
        <wp:anchor distT="0" distB="0" distL="114300" distR="114300" simplePos="0" relativeHeight="251658240" behindDoc="0" locked="0" layoutInCell="1" allowOverlap="1" wp14:anchorId="5E83E2DD" wp14:editId="40469345">
          <wp:simplePos x="0" y="0"/>
          <wp:positionH relativeFrom="page">
            <wp:align>left</wp:align>
          </wp:positionH>
          <wp:positionV relativeFrom="paragraph">
            <wp:posOffset>-277495</wp:posOffset>
          </wp:positionV>
          <wp:extent cx="1047750" cy="74041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BEBA8EAE-BF5A-486C-A8C5-ECC9F3942E4B}">
                        <a14:imgProps xmlns:a14="http://schemas.microsoft.com/office/drawing/2010/main">
                          <a14:imgLayer r:embed="rId2">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1047750" cy="740410"/>
                  </a:xfrm>
                  <a:prstGeom prst="rect">
                    <a:avLst/>
                  </a:prstGeom>
                </pic:spPr>
              </pic:pic>
            </a:graphicData>
          </a:graphic>
          <wp14:sizeRelH relativeFrom="page">
            <wp14:pctWidth>0</wp14:pctWidth>
          </wp14:sizeRelH>
          <wp14:sizeRelV relativeFrom="page">
            <wp14:pctHeight>0</wp14:pctHeight>
          </wp14:sizeRelV>
        </wp:anchor>
      </w:drawing>
    </w:r>
    <w:r w:rsidR="002E4CDA" w:rsidRPr="002E4CDA">
      <w:t xml:space="preserve"> </w:t>
    </w:r>
    <w:r w:rsidR="002E4CDA" w:rsidRPr="002E4CDA">
      <w:rPr>
        <w:noProof/>
        <w:sz w:val="20"/>
        <w:szCs w:val="20"/>
        <w:lang w:eastAsia="en-GB"/>
      </w:rPr>
      <w:t>Position Statement for the ICCAT Annual Commission Meeting</w:t>
    </w:r>
    <w:r w:rsidR="002E4CDA">
      <w:rPr>
        <w:noProof/>
        <w:sz w:val="20"/>
        <w:szCs w:val="20"/>
        <w:lang w:eastAsia="en-GB"/>
      </w:rPr>
      <w:t xml:space="preserve"> </w:t>
    </w:r>
    <w:r w:rsidRPr="007D4FEA">
      <w:rPr>
        <w:sz w:val="20"/>
        <w:szCs w:val="20"/>
      </w:rPr>
      <w:t xml:space="preserve">- </w:t>
    </w:r>
    <w:r w:rsidR="000048C0" w:rsidRPr="007D4FEA">
      <w:rPr>
        <w:sz w:val="20"/>
        <w:szCs w:val="20"/>
      </w:rPr>
      <w:t>202</w:t>
    </w:r>
    <w:r w:rsidR="002E4CDA">
      <w:rPr>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D16C8"/>
    <w:multiLevelType w:val="hybridMultilevel"/>
    <w:tmpl w:val="440CF5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6192139"/>
    <w:multiLevelType w:val="hybridMultilevel"/>
    <w:tmpl w:val="93C21D5E"/>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80B1326"/>
    <w:multiLevelType w:val="hybridMultilevel"/>
    <w:tmpl w:val="8C4A69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58627433">
    <w:abstractNumId w:val="0"/>
  </w:num>
  <w:num w:numId="2" w16cid:durableId="1857688398">
    <w:abstractNumId w:val="2"/>
  </w:num>
  <w:num w:numId="3" w16cid:durableId="1038235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833"/>
    <w:rsid w:val="000048C0"/>
    <w:rsid w:val="000134DD"/>
    <w:rsid w:val="000D1C0B"/>
    <w:rsid w:val="00133A26"/>
    <w:rsid w:val="00133D7A"/>
    <w:rsid w:val="0017065E"/>
    <w:rsid w:val="00201ADE"/>
    <w:rsid w:val="002279D9"/>
    <w:rsid w:val="002E4CDA"/>
    <w:rsid w:val="00312592"/>
    <w:rsid w:val="00312BA3"/>
    <w:rsid w:val="00370C38"/>
    <w:rsid w:val="006256CE"/>
    <w:rsid w:val="0069775E"/>
    <w:rsid w:val="006D7937"/>
    <w:rsid w:val="007D4FEA"/>
    <w:rsid w:val="007F6833"/>
    <w:rsid w:val="00876020"/>
    <w:rsid w:val="00A02387"/>
    <w:rsid w:val="00A429D2"/>
    <w:rsid w:val="00A76FD4"/>
    <w:rsid w:val="00A8468F"/>
    <w:rsid w:val="00AF6339"/>
    <w:rsid w:val="00B25A33"/>
    <w:rsid w:val="00B507AD"/>
    <w:rsid w:val="00B647EF"/>
    <w:rsid w:val="00B77A59"/>
    <w:rsid w:val="00C441CB"/>
    <w:rsid w:val="00D32771"/>
    <w:rsid w:val="00E21EA4"/>
    <w:rsid w:val="00F15ADA"/>
    <w:rsid w:val="00F270C1"/>
    <w:rsid w:val="00F57640"/>
    <w:rsid w:val="00FA65B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18D34"/>
  <w15:docId w15:val="{641C5A18-C045-4814-BE15-ED6B12ABE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8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833"/>
  </w:style>
  <w:style w:type="paragraph" w:styleId="Footer">
    <w:name w:val="footer"/>
    <w:basedOn w:val="Normal"/>
    <w:link w:val="FooterChar"/>
    <w:uiPriority w:val="99"/>
    <w:unhideWhenUsed/>
    <w:rsid w:val="007F68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833"/>
  </w:style>
  <w:style w:type="character" w:styleId="Hyperlink">
    <w:name w:val="Hyperlink"/>
    <w:basedOn w:val="DefaultParagraphFont"/>
    <w:uiPriority w:val="99"/>
    <w:unhideWhenUsed/>
    <w:rsid w:val="007F6833"/>
    <w:rPr>
      <w:color w:val="0563C1" w:themeColor="hyperlink"/>
      <w:u w:val="single"/>
    </w:rPr>
  </w:style>
  <w:style w:type="paragraph" w:styleId="ListParagraph">
    <w:name w:val="List Paragraph"/>
    <w:basedOn w:val="Normal"/>
    <w:uiPriority w:val="34"/>
    <w:qFormat/>
    <w:rsid w:val="007F6833"/>
    <w:pPr>
      <w:ind w:left="720"/>
      <w:contextualSpacing/>
    </w:pPr>
  </w:style>
  <w:style w:type="character" w:customStyle="1" w:styleId="UnresolvedMention1">
    <w:name w:val="Unresolved Mention1"/>
    <w:basedOn w:val="DefaultParagraphFont"/>
    <w:uiPriority w:val="99"/>
    <w:semiHidden/>
    <w:unhideWhenUsed/>
    <w:rsid w:val="007D4FEA"/>
    <w:rPr>
      <w:color w:val="605E5C"/>
      <w:shd w:val="clear" w:color="auto" w:fill="E1DFDD"/>
    </w:rPr>
  </w:style>
  <w:style w:type="paragraph" w:styleId="BalloonText">
    <w:name w:val="Balloon Text"/>
    <w:basedOn w:val="Normal"/>
    <w:link w:val="BalloonTextChar"/>
    <w:uiPriority w:val="99"/>
    <w:semiHidden/>
    <w:unhideWhenUsed/>
    <w:rsid w:val="00B77A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A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s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rivercobbler11@outlook.com</dc:creator>
  <cp:lastModifiedBy>Tom Evans</cp:lastModifiedBy>
  <cp:revision>4</cp:revision>
  <dcterms:created xsi:type="dcterms:W3CDTF">2024-10-24T12:08:00Z</dcterms:created>
  <dcterms:modified xsi:type="dcterms:W3CDTF">2024-10-24T12:26:00Z</dcterms:modified>
</cp:coreProperties>
</file>