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AA89" w14:textId="66D664A2" w:rsidR="00EC1079" w:rsidRDefault="006A7639" w:rsidP="006A7639">
      <w:pPr>
        <w:pStyle w:val="Title"/>
      </w:pPr>
      <w:r>
        <w:t>Minutes</w:t>
      </w:r>
      <w:r w:rsidR="0085603A">
        <w:t>:</w:t>
      </w:r>
      <w:r w:rsidR="001D5DE8">
        <w:t xml:space="preserve"> </w:t>
      </w:r>
      <w:r w:rsidR="00894864">
        <w:t xml:space="preserve">Crab and lobster </w:t>
      </w:r>
      <w:r w:rsidR="00AF6BE4">
        <w:t>S</w:t>
      </w:r>
      <w:r w:rsidR="00894864">
        <w:t xml:space="preserve">teering </w:t>
      </w:r>
      <w:r w:rsidR="00AF6BE4">
        <w:t>G</w:t>
      </w:r>
      <w:r w:rsidR="00894864">
        <w:t>roup meeting</w:t>
      </w:r>
      <w:r w:rsidR="001D5DE8">
        <w:t xml:space="preserve"> </w:t>
      </w:r>
      <w:r w:rsidR="0082653D">
        <w:rPr>
          <w:noProof/>
        </w:rPr>
        <w:drawing>
          <wp:anchor distT="0" distB="0" distL="114300" distR="114300" simplePos="0" relativeHeight="251658240" behindDoc="0" locked="0" layoutInCell="1" allowOverlap="1" wp14:anchorId="77E13895" wp14:editId="28A1A8EB">
            <wp:simplePos x="0" y="0"/>
            <wp:positionH relativeFrom="margin">
              <wp:align>left</wp:align>
            </wp:positionH>
            <wp:positionV relativeFrom="paragraph">
              <wp:posOffset>262392</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A81CF" w14:textId="0ADF94EE" w:rsidR="005171E1" w:rsidRPr="0082653D" w:rsidRDefault="005171E1" w:rsidP="0082653D">
      <w:pPr>
        <w:pStyle w:val="DateandLocation"/>
      </w:pPr>
      <w:r w:rsidRPr="0082653D">
        <w:t>Meeting Date:</w:t>
      </w:r>
      <w:r w:rsidR="00D14D9C">
        <w:t xml:space="preserve"> </w:t>
      </w:r>
      <w:r w:rsidR="00894864">
        <w:t>14</w:t>
      </w:r>
      <w:r w:rsidR="00894864" w:rsidRPr="00894864">
        <w:rPr>
          <w:vertAlign w:val="superscript"/>
        </w:rPr>
        <w:t>th</w:t>
      </w:r>
      <w:r w:rsidR="00894864">
        <w:t xml:space="preserve"> October 2021</w:t>
      </w:r>
    </w:p>
    <w:p w14:paraId="7961ABF2" w14:textId="0488FCD9" w:rsidR="005171E1" w:rsidRDefault="005171E1" w:rsidP="0082653D">
      <w:pPr>
        <w:pStyle w:val="DateandLocation"/>
      </w:pPr>
      <w:r w:rsidRPr="0082653D">
        <w:t>Location:</w:t>
      </w:r>
      <w:r w:rsidR="00D14D9C">
        <w:t xml:space="preserve"> </w:t>
      </w:r>
      <w:r w:rsidR="001D5DE8">
        <w:t>Teams</w:t>
      </w:r>
    </w:p>
    <w:p w14:paraId="1A14F2A5" w14:textId="30AD552C" w:rsidR="00083AC4" w:rsidRDefault="00083AC4" w:rsidP="00F42911"/>
    <w:tbl>
      <w:tblPr>
        <w:tblStyle w:val="TableGrid"/>
        <w:tblW w:w="0" w:type="auto"/>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2987"/>
        <w:gridCol w:w="4940"/>
      </w:tblGrid>
      <w:tr w:rsidR="0085603A" w:rsidRPr="00A85A75" w14:paraId="33D83384" w14:textId="77777777" w:rsidTr="00295935">
        <w:trPr>
          <w:trHeight w:val="487"/>
        </w:trPr>
        <w:tc>
          <w:tcPr>
            <w:tcW w:w="2987" w:type="dxa"/>
            <w:shd w:val="clear" w:color="auto" w:fill="1B98C7"/>
          </w:tcPr>
          <w:p w14:paraId="0BB9DE37" w14:textId="663EEE14" w:rsidR="0085603A" w:rsidRPr="00A85A75" w:rsidRDefault="0085603A" w:rsidP="00AE0C52">
            <w:pPr>
              <w:pStyle w:val="TableHeading"/>
              <w:spacing w:before="120" w:after="120"/>
            </w:pPr>
            <w:r w:rsidRPr="00A85A75">
              <w:t>Attendees</w:t>
            </w:r>
          </w:p>
        </w:tc>
        <w:tc>
          <w:tcPr>
            <w:tcW w:w="4940" w:type="dxa"/>
            <w:shd w:val="clear" w:color="auto" w:fill="1B98C7"/>
          </w:tcPr>
          <w:p w14:paraId="1CA2FD32" w14:textId="67A6B453" w:rsidR="0085603A" w:rsidRPr="00A85A75" w:rsidRDefault="0085603A" w:rsidP="00AE0C52">
            <w:pPr>
              <w:pStyle w:val="TableHeading"/>
              <w:spacing w:before="120" w:after="120"/>
            </w:pPr>
            <w:r>
              <w:t xml:space="preserve">Organisation </w:t>
            </w:r>
          </w:p>
        </w:tc>
      </w:tr>
      <w:tr w:rsidR="0085603A" w14:paraId="05915919" w14:textId="77777777" w:rsidTr="00295935">
        <w:trPr>
          <w:trHeight w:val="243"/>
        </w:trPr>
        <w:tc>
          <w:tcPr>
            <w:tcW w:w="2987" w:type="dxa"/>
          </w:tcPr>
          <w:p w14:paraId="083D2C51" w14:textId="06AB3F39" w:rsidR="0085603A" w:rsidRPr="00A048AE" w:rsidRDefault="00BE50BB" w:rsidP="00F42911">
            <w:pPr>
              <w:pStyle w:val="TableText"/>
            </w:pPr>
            <w:r>
              <w:t>BP: Beshlie Pool</w:t>
            </w:r>
            <w:r w:rsidR="001541D8">
              <w:t xml:space="preserve"> </w:t>
            </w:r>
          </w:p>
        </w:tc>
        <w:tc>
          <w:tcPr>
            <w:tcW w:w="4940" w:type="dxa"/>
          </w:tcPr>
          <w:p w14:paraId="1A59E420" w14:textId="0321678F" w:rsidR="0085603A" w:rsidRPr="00A048AE" w:rsidRDefault="00AE783C" w:rsidP="00F42911">
            <w:pPr>
              <w:pStyle w:val="TableText"/>
            </w:pPr>
            <w:r>
              <w:t xml:space="preserve">South Devon and Channel Shellfishermen </w:t>
            </w:r>
          </w:p>
        </w:tc>
      </w:tr>
      <w:tr w:rsidR="00BE50BB" w14:paraId="2EB1BA4F" w14:textId="77777777" w:rsidTr="00295935">
        <w:trPr>
          <w:trHeight w:val="243"/>
        </w:trPr>
        <w:tc>
          <w:tcPr>
            <w:tcW w:w="2987" w:type="dxa"/>
          </w:tcPr>
          <w:p w14:paraId="4E323DC1" w14:textId="27409E06" w:rsidR="00BE50BB" w:rsidRDefault="000348F9" w:rsidP="00F42911">
            <w:pPr>
              <w:pStyle w:val="TableText"/>
            </w:pPr>
            <w:r>
              <w:t>CP: Claire Pescod</w:t>
            </w:r>
          </w:p>
        </w:tc>
        <w:tc>
          <w:tcPr>
            <w:tcW w:w="4940" w:type="dxa"/>
          </w:tcPr>
          <w:p w14:paraId="78780055" w14:textId="6E2DA54C" w:rsidR="00BE50BB" w:rsidRDefault="00CC611E" w:rsidP="00F42911">
            <w:pPr>
              <w:pStyle w:val="TableText"/>
            </w:pPr>
            <w:r>
              <w:t>Macduff Shellfish</w:t>
            </w:r>
          </w:p>
        </w:tc>
      </w:tr>
      <w:tr w:rsidR="00BE50BB" w14:paraId="7D3755F6" w14:textId="77777777" w:rsidTr="00295935">
        <w:trPr>
          <w:trHeight w:val="243"/>
        </w:trPr>
        <w:tc>
          <w:tcPr>
            <w:tcW w:w="2987" w:type="dxa"/>
          </w:tcPr>
          <w:p w14:paraId="22E7871B" w14:textId="047ADA9E" w:rsidR="00BE50BB" w:rsidRDefault="000348F9" w:rsidP="00F42911">
            <w:pPr>
              <w:pStyle w:val="TableText"/>
            </w:pPr>
            <w:r>
              <w:t xml:space="preserve">CS: Chloe Smith </w:t>
            </w:r>
          </w:p>
        </w:tc>
        <w:tc>
          <w:tcPr>
            <w:tcW w:w="4940" w:type="dxa"/>
          </w:tcPr>
          <w:p w14:paraId="2736D287" w14:textId="31954267" w:rsidR="00BE50BB" w:rsidRDefault="00CC611E" w:rsidP="00F42911">
            <w:pPr>
              <w:pStyle w:val="TableText"/>
            </w:pPr>
            <w:r>
              <w:t xml:space="preserve">Southern Inshore Fisheries and Conservation Authority </w:t>
            </w:r>
          </w:p>
        </w:tc>
      </w:tr>
      <w:tr w:rsidR="00BE50BB" w14:paraId="55AEBD0B" w14:textId="77777777" w:rsidTr="00295935">
        <w:trPr>
          <w:trHeight w:val="243"/>
        </w:trPr>
        <w:tc>
          <w:tcPr>
            <w:tcW w:w="2987" w:type="dxa"/>
          </w:tcPr>
          <w:p w14:paraId="34C95864" w14:textId="6B220B80" w:rsidR="00BE50BB" w:rsidRDefault="007D3F3C" w:rsidP="00F42911">
            <w:pPr>
              <w:pStyle w:val="TableText"/>
            </w:pPr>
            <w:r>
              <w:t>DM: David Markham</w:t>
            </w:r>
          </w:p>
        </w:tc>
        <w:tc>
          <w:tcPr>
            <w:tcW w:w="4940" w:type="dxa"/>
          </w:tcPr>
          <w:p w14:paraId="2B50CBFF" w14:textId="221D2BEE" w:rsidR="00BE50BB" w:rsidRDefault="0025189A" w:rsidP="00F42911">
            <w:pPr>
              <w:pStyle w:val="TableText"/>
            </w:pPr>
            <w:r>
              <w:t xml:space="preserve">The Blue Sea Food Company </w:t>
            </w:r>
          </w:p>
        </w:tc>
      </w:tr>
      <w:tr w:rsidR="00BE50BB" w14:paraId="673E225F" w14:textId="77777777" w:rsidTr="00295935">
        <w:trPr>
          <w:trHeight w:val="243"/>
        </w:trPr>
        <w:tc>
          <w:tcPr>
            <w:tcW w:w="2987" w:type="dxa"/>
          </w:tcPr>
          <w:p w14:paraId="26567BD8" w14:textId="090315F2" w:rsidR="00BE50BB" w:rsidRDefault="007D3F3C" w:rsidP="00F42911">
            <w:pPr>
              <w:pStyle w:val="TableText"/>
            </w:pPr>
            <w:r>
              <w:t xml:space="preserve">HG: Hubert Gieschen </w:t>
            </w:r>
          </w:p>
        </w:tc>
        <w:tc>
          <w:tcPr>
            <w:tcW w:w="4940" w:type="dxa"/>
          </w:tcPr>
          <w:p w14:paraId="5ED9DE9D" w14:textId="1294D993" w:rsidR="00BE50BB" w:rsidRDefault="0025189A" w:rsidP="00F42911">
            <w:pPr>
              <w:pStyle w:val="TableText"/>
            </w:pPr>
            <w:r>
              <w:t>Marine Management Organisation</w:t>
            </w:r>
          </w:p>
        </w:tc>
      </w:tr>
      <w:tr w:rsidR="00894864" w14:paraId="589AB350" w14:textId="77777777" w:rsidTr="00295935">
        <w:trPr>
          <w:trHeight w:val="243"/>
        </w:trPr>
        <w:tc>
          <w:tcPr>
            <w:tcW w:w="2987" w:type="dxa"/>
          </w:tcPr>
          <w:p w14:paraId="5ABE4845" w14:textId="293D5758" w:rsidR="00894864" w:rsidRDefault="00894864" w:rsidP="00F42911">
            <w:pPr>
              <w:pStyle w:val="TableText"/>
            </w:pPr>
            <w:r>
              <w:t>JB: John Balls</w:t>
            </w:r>
          </w:p>
        </w:tc>
        <w:tc>
          <w:tcPr>
            <w:tcW w:w="4940" w:type="dxa"/>
          </w:tcPr>
          <w:p w14:paraId="50E76857" w14:textId="14C757EC" w:rsidR="00894864" w:rsidRDefault="00CE1048" w:rsidP="00F42911">
            <w:pPr>
              <w:pStyle w:val="TableText"/>
            </w:pPr>
            <w:r>
              <w:t>North Devon Fisherm</w:t>
            </w:r>
            <w:r w:rsidR="009B0728">
              <w:t>e</w:t>
            </w:r>
            <w:r>
              <w:t xml:space="preserve">n’s Association </w:t>
            </w:r>
          </w:p>
        </w:tc>
      </w:tr>
      <w:tr w:rsidR="00BE50BB" w14:paraId="0056EFC4" w14:textId="77777777" w:rsidTr="00295935">
        <w:trPr>
          <w:trHeight w:val="243"/>
        </w:trPr>
        <w:tc>
          <w:tcPr>
            <w:tcW w:w="2987" w:type="dxa"/>
          </w:tcPr>
          <w:p w14:paraId="3F3B5802" w14:textId="33D58C7E" w:rsidR="00BE50BB" w:rsidRDefault="00894864" w:rsidP="00F42911">
            <w:pPr>
              <w:pStyle w:val="TableText"/>
            </w:pPr>
            <w:r>
              <w:t>JP: Jo Pollett</w:t>
            </w:r>
          </w:p>
        </w:tc>
        <w:tc>
          <w:tcPr>
            <w:tcW w:w="4940" w:type="dxa"/>
          </w:tcPr>
          <w:p w14:paraId="62AC2010" w14:textId="74144C9C" w:rsidR="00BE50BB" w:rsidRDefault="009B0728" w:rsidP="00F42911">
            <w:pPr>
              <w:pStyle w:val="TableText"/>
            </w:pPr>
            <w:r>
              <w:t xml:space="preserve">Marine Stewardship Council </w:t>
            </w:r>
          </w:p>
        </w:tc>
      </w:tr>
      <w:tr w:rsidR="009B23EA" w14:paraId="293E00DB" w14:textId="77777777" w:rsidTr="00295935">
        <w:trPr>
          <w:trHeight w:val="243"/>
        </w:trPr>
        <w:tc>
          <w:tcPr>
            <w:tcW w:w="2987" w:type="dxa"/>
          </w:tcPr>
          <w:p w14:paraId="6BD12C81" w14:textId="02769050" w:rsidR="009B23EA" w:rsidRDefault="009B23EA" w:rsidP="00F42911">
            <w:pPr>
              <w:pStyle w:val="TableText"/>
            </w:pPr>
            <w:r>
              <w:t>KK: Katie Keay</w:t>
            </w:r>
          </w:p>
        </w:tc>
        <w:tc>
          <w:tcPr>
            <w:tcW w:w="4940" w:type="dxa"/>
          </w:tcPr>
          <w:p w14:paraId="52A54467" w14:textId="527A5262" w:rsidR="009B23EA" w:rsidRDefault="009B0728" w:rsidP="00F42911">
            <w:pPr>
              <w:pStyle w:val="TableText"/>
            </w:pPr>
            <w:r>
              <w:t>Marine Stewardship Council</w:t>
            </w:r>
          </w:p>
        </w:tc>
      </w:tr>
      <w:tr w:rsidR="00BE50BB" w14:paraId="55EF173B" w14:textId="77777777" w:rsidTr="00295935">
        <w:trPr>
          <w:trHeight w:val="243"/>
        </w:trPr>
        <w:tc>
          <w:tcPr>
            <w:tcW w:w="2987" w:type="dxa"/>
          </w:tcPr>
          <w:p w14:paraId="683846C3" w14:textId="6B51EC94" w:rsidR="00BE50BB" w:rsidRDefault="007462E2" w:rsidP="00F42911">
            <w:pPr>
              <w:pStyle w:val="TableText"/>
            </w:pPr>
            <w:r>
              <w:t>MJ: Matthew Johnson</w:t>
            </w:r>
          </w:p>
        </w:tc>
        <w:tc>
          <w:tcPr>
            <w:tcW w:w="4940" w:type="dxa"/>
          </w:tcPr>
          <w:p w14:paraId="51FF9B21" w14:textId="063C3F33" w:rsidR="00BE50BB" w:rsidRDefault="009B0728" w:rsidP="00F42911">
            <w:pPr>
              <w:pStyle w:val="TableText"/>
            </w:pPr>
            <w:r>
              <w:t xml:space="preserve">Department </w:t>
            </w:r>
            <w:r w:rsidR="006B1753">
              <w:t>for</w:t>
            </w:r>
            <w:r>
              <w:t xml:space="preserve"> Environment</w:t>
            </w:r>
            <w:r w:rsidR="006B1753">
              <w:t>, Food</w:t>
            </w:r>
            <w:r>
              <w:t xml:space="preserve"> and Rural Affairs </w:t>
            </w:r>
          </w:p>
        </w:tc>
      </w:tr>
      <w:tr w:rsidR="00BE50BB" w14:paraId="1907D248" w14:textId="77777777" w:rsidTr="00295935">
        <w:trPr>
          <w:trHeight w:val="243"/>
        </w:trPr>
        <w:tc>
          <w:tcPr>
            <w:tcW w:w="2987" w:type="dxa"/>
          </w:tcPr>
          <w:p w14:paraId="5848227D" w14:textId="4AE777FB" w:rsidR="00BE50BB" w:rsidRDefault="007462E2" w:rsidP="00F42911">
            <w:pPr>
              <w:pStyle w:val="TableText"/>
            </w:pPr>
            <w:r>
              <w:t>MS: Matt Spencer</w:t>
            </w:r>
          </w:p>
        </w:tc>
        <w:tc>
          <w:tcPr>
            <w:tcW w:w="4940" w:type="dxa"/>
          </w:tcPr>
          <w:p w14:paraId="62600760" w14:textId="39B75EFB" w:rsidR="00BE50BB" w:rsidRDefault="009B0728" w:rsidP="00F42911">
            <w:pPr>
              <w:pStyle w:val="TableText"/>
            </w:pPr>
            <w:r>
              <w:t>Marine Stewardship Council</w:t>
            </w:r>
          </w:p>
        </w:tc>
      </w:tr>
      <w:tr w:rsidR="000348F9" w14:paraId="5F384760" w14:textId="77777777" w:rsidTr="00295935">
        <w:trPr>
          <w:trHeight w:val="243"/>
        </w:trPr>
        <w:tc>
          <w:tcPr>
            <w:tcW w:w="2987" w:type="dxa"/>
          </w:tcPr>
          <w:p w14:paraId="3A2D0954" w14:textId="12561AC3" w:rsidR="000348F9" w:rsidRDefault="00675D04" w:rsidP="00F42911">
            <w:pPr>
              <w:pStyle w:val="TableText"/>
            </w:pPr>
            <w:r>
              <w:t xml:space="preserve">RC: Robyn Cloake </w:t>
            </w:r>
          </w:p>
        </w:tc>
        <w:tc>
          <w:tcPr>
            <w:tcW w:w="4940" w:type="dxa"/>
          </w:tcPr>
          <w:p w14:paraId="6CCBBDAB" w14:textId="6EA91B0F" w:rsidR="000348F9" w:rsidRDefault="00B46339" w:rsidP="00F42911">
            <w:pPr>
              <w:pStyle w:val="TableText"/>
            </w:pPr>
            <w:proofErr w:type="spellStart"/>
            <w:r w:rsidRPr="00B46339">
              <w:t>Labeyrie</w:t>
            </w:r>
            <w:proofErr w:type="spellEnd"/>
            <w:r>
              <w:t xml:space="preserve"> Fine Foods</w:t>
            </w:r>
          </w:p>
        </w:tc>
      </w:tr>
      <w:tr w:rsidR="000348F9" w14:paraId="16B48E60" w14:textId="77777777" w:rsidTr="00295935">
        <w:trPr>
          <w:trHeight w:val="243"/>
        </w:trPr>
        <w:tc>
          <w:tcPr>
            <w:tcW w:w="2987" w:type="dxa"/>
          </w:tcPr>
          <w:p w14:paraId="63C300C6" w14:textId="33174F71" w:rsidR="000348F9" w:rsidRDefault="00675D04" w:rsidP="00F42911">
            <w:pPr>
              <w:pStyle w:val="TableText"/>
            </w:pPr>
            <w:r>
              <w:t>RM: Ros McIntyre</w:t>
            </w:r>
          </w:p>
        </w:tc>
        <w:tc>
          <w:tcPr>
            <w:tcW w:w="4940" w:type="dxa"/>
          </w:tcPr>
          <w:p w14:paraId="4B0194C1" w14:textId="69D2525E" w:rsidR="000348F9" w:rsidRDefault="00B46339" w:rsidP="00F42911">
            <w:pPr>
              <w:pStyle w:val="TableText"/>
            </w:pPr>
            <w:r w:rsidRPr="00B46339">
              <w:t>Centre for Environment, Fisheries and Aquaculture Science</w:t>
            </w:r>
          </w:p>
        </w:tc>
      </w:tr>
      <w:tr w:rsidR="00BE50BB" w14:paraId="5C5932CF" w14:textId="77777777" w:rsidTr="00295935">
        <w:trPr>
          <w:trHeight w:val="243"/>
        </w:trPr>
        <w:tc>
          <w:tcPr>
            <w:tcW w:w="2987" w:type="dxa"/>
          </w:tcPr>
          <w:p w14:paraId="77549962" w14:textId="188B83D4" w:rsidR="00BE50BB" w:rsidRDefault="000348F9" w:rsidP="00F42911">
            <w:pPr>
              <w:pStyle w:val="TableText"/>
            </w:pPr>
            <w:r>
              <w:t xml:space="preserve">SB: Sarah Bedingham </w:t>
            </w:r>
          </w:p>
        </w:tc>
        <w:tc>
          <w:tcPr>
            <w:tcW w:w="4940" w:type="dxa"/>
          </w:tcPr>
          <w:p w14:paraId="038D3C91" w14:textId="0557026E" w:rsidR="00BE50BB" w:rsidRDefault="000348F9" w:rsidP="00F42911">
            <w:pPr>
              <w:pStyle w:val="TableText"/>
            </w:pPr>
            <w:r>
              <w:t>Marine Management Organisation</w:t>
            </w:r>
          </w:p>
        </w:tc>
      </w:tr>
      <w:tr w:rsidR="00BE50BB" w14:paraId="1AEB02F1" w14:textId="77777777" w:rsidTr="00295935">
        <w:trPr>
          <w:trHeight w:val="243"/>
        </w:trPr>
        <w:tc>
          <w:tcPr>
            <w:tcW w:w="2987" w:type="dxa"/>
          </w:tcPr>
          <w:p w14:paraId="69DB2D4E" w14:textId="78F6B22A" w:rsidR="00BE50BB" w:rsidRDefault="00675D04" w:rsidP="00F42911">
            <w:pPr>
              <w:pStyle w:val="TableText"/>
            </w:pPr>
            <w:r>
              <w:t xml:space="preserve">TH: Tim Huntington </w:t>
            </w:r>
          </w:p>
        </w:tc>
        <w:tc>
          <w:tcPr>
            <w:tcW w:w="4940" w:type="dxa"/>
          </w:tcPr>
          <w:p w14:paraId="1865F815" w14:textId="0788BF79" w:rsidR="00BE50BB" w:rsidRDefault="00B46339" w:rsidP="00F42911">
            <w:pPr>
              <w:pStyle w:val="TableText"/>
            </w:pPr>
            <w:r>
              <w:t xml:space="preserve">Poseidon </w:t>
            </w:r>
          </w:p>
        </w:tc>
      </w:tr>
      <w:tr w:rsidR="005459DD" w14:paraId="65445C4F" w14:textId="77777777" w:rsidTr="00295935">
        <w:trPr>
          <w:trHeight w:val="243"/>
        </w:trPr>
        <w:tc>
          <w:tcPr>
            <w:tcW w:w="2987" w:type="dxa"/>
          </w:tcPr>
          <w:p w14:paraId="73AD67C2" w14:textId="0706ED57" w:rsidR="005459DD" w:rsidRPr="005459DD" w:rsidRDefault="005459DD" w:rsidP="00F42911">
            <w:pPr>
              <w:pStyle w:val="TableText"/>
              <w:rPr>
                <w:b/>
                <w:bCs/>
              </w:rPr>
            </w:pPr>
            <w:r>
              <w:rPr>
                <w:b/>
                <w:bCs/>
              </w:rPr>
              <w:t xml:space="preserve">Apologies </w:t>
            </w:r>
          </w:p>
        </w:tc>
        <w:tc>
          <w:tcPr>
            <w:tcW w:w="4940" w:type="dxa"/>
          </w:tcPr>
          <w:p w14:paraId="5E7262C7" w14:textId="77777777" w:rsidR="005459DD" w:rsidRDefault="005459DD" w:rsidP="00F42911">
            <w:pPr>
              <w:pStyle w:val="TableText"/>
            </w:pPr>
          </w:p>
        </w:tc>
      </w:tr>
      <w:tr w:rsidR="005459DD" w14:paraId="15CBC99B" w14:textId="77777777" w:rsidTr="00295935">
        <w:trPr>
          <w:trHeight w:val="243"/>
        </w:trPr>
        <w:tc>
          <w:tcPr>
            <w:tcW w:w="2987" w:type="dxa"/>
          </w:tcPr>
          <w:p w14:paraId="4CC8723F" w14:textId="09702143" w:rsidR="005459DD" w:rsidRPr="005459DD" w:rsidRDefault="005459DD" w:rsidP="005459DD">
            <w:pPr>
              <w:pStyle w:val="TableText"/>
            </w:pPr>
            <w:r>
              <w:t>Daisy May</w:t>
            </w:r>
          </w:p>
        </w:tc>
        <w:tc>
          <w:tcPr>
            <w:tcW w:w="4940" w:type="dxa"/>
          </w:tcPr>
          <w:p w14:paraId="40D3BB78" w14:textId="29C0A1DD" w:rsidR="005459DD" w:rsidRDefault="005459DD" w:rsidP="005459DD">
            <w:pPr>
              <w:pStyle w:val="TableText"/>
            </w:pPr>
            <w:r>
              <w:t>Marine Management Organisation</w:t>
            </w:r>
          </w:p>
        </w:tc>
      </w:tr>
      <w:tr w:rsidR="005459DD" w14:paraId="7649EA1D" w14:textId="77777777" w:rsidTr="00295935">
        <w:trPr>
          <w:trHeight w:val="243"/>
        </w:trPr>
        <w:tc>
          <w:tcPr>
            <w:tcW w:w="2987" w:type="dxa"/>
          </w:tcPr>
          <w:p w14:paraId="75493AD0" w14:textId="5FEA68C6" w:rsidR="005459DD" w:rsidRDefault="005459DD" w:rsidP="005459DD">
            <w:pPr>
              <w:pStyle w:val="TableText"/>
            </w:pPr>
            <w:r>
              <w:t xml:space="preserve">Gus Caslake </w:t>
            </w:r>
          </w:p>
        </w:tc>
        <w:tc>
          <w:tcPr>
            <w:tcW w:w="4940" w:type="dxa"/>
          </w:tcPr>
          <w:p w14:paraId="156246FC" w14:textId="6B40790E" w:rsidR="005459DD" w:rsidRDefault="005459DD" w:rsidP="005459DD">
            <w:pPr>
              <w:pStyle w:val="TableText"/>
            </w:pPr>
            <w:r>
              <w:t>Seafish</w:t>
            </w:r>
          </w:p>
        </w:tc>
      </w:tr>
      <w:tr w:rsidR="0037100A" w14:paraId="66126E15" w14:textId="77777777" w:rsidTr="00295935">
        <w:trPr>
          <w:trHeight w:val="243"/>
        </w:trPr>
        <w:tc>
          <w:tcPr>
            <w:tcW w:w="2987" w:type="dxa"/>
          </w:tcPr>
          <w:p w14:paraId="1CF6439D" w14:textId="38D38ADC" w:rsidR="0037100A" w:rsidRDefault="0037100A" w:rsidP="0037100A">
            <w:pPr>
              <w:pStyle w:val="TableText"/>
            </w:pPr>
            <w:r>
              <w:t xml:space="preserve">Sarah Clark </w:t>
            </w:r>
          </w:p>
        </w:tc>
        <w:tc>
          <w:tcPr>
            <w:tcW w:w="4940" w:type="dxa"/>
          </w:tcPr>
          <w:p w14:paraId="2E8CAE96" w14:textId="52FDB6C9" w:rsidR="0037100A" w:rsidRDefault="0037100A" w:rsidP="0037100A">
            <w:pPr>
              <w:pStyle w:val="TableText"/>
            </w:pPr>
            <w:r>
              <w:t xml:space="preserve">Devon and Severn Inshore Fisheries and Conservation Authority </w:t>
            </w:r>
          </w:p>
        </w:tc>
      </w:tr>
    </w:tbl>
    <w:p w14:paraId="233D8C26" w14:textId="27EC659F" w:rsidR="00083AC4" w:rsidRDefault="00100E3E" w:rsidP="00F42911">
      <w:r>
        <w:tab/>
      </w:r>
    </w:p>
    <w:p w14:paraId="3368A485" w14:textId="0B19F0AB" w:rsidR="00330FCA" w:rsidRDefault="00330FCA" w:rsidP="00A628C4">
      <w:pPr>
        <w:pStyle w:val="TItleofAgendaItem"/>
      </w:pPr>
      <w:r>
        <w:t>Purpose of the meeting</w:t>
      </w:r>
    </w:p>
    <w:p w14:paraId="203F9F3B" w14:textId="06EAF6D5" w:rsidR="009A5031" w:rsidRPr="009E6473" w:rsidRDefault="009A5031" w:rsidP="009A5031">
      <w:pPr>
        <w:rPr>
          <w:i/>
          <w:iCs/>
        </w:rPr>
      </w:pPr>
      <w:r>
        <w:t xml:space="preserve">This call was an opportunity for the Steering Group to review progress made against each of the actions in the </w:t>
      </w:r>
      <w:r w:rsidR="00B46339">
        <w:t>crab and lobster</w:t>
      </w:r>
      <w:r w:rsidR="00336EFA">
        <w:t xml:space="preserve"> </w:t>
      </w:r>
      <w:r>
        <w:t xml:space="preserve">Fishery Improvement Project (FIP) action plan, and </w:t>
      </w:r>
      <w:r w:rsidR="00703D9D">
        <w:t>to discuss</w:t>
      </w:r>
      <w:r w:rsidR="009473B0">
        <w:t xml:space="preserve"> the recent Western Waters altern</w:t>
      </w:r>
      <w:r w:rsidR="00FF6BEF">
        <w:t xml:space="preserve">atives workshop held by Defra. </w:t>
      </w:r>
      <w:r w:rsidR="00703D9D">
        <w:t xml:space="preserve"> </w:t>
      </w:r>
    </w:p>
    <w:p w14:paraId="008C092A" w14:textId="14FE503B" w:rsidR="001F09F9" w:rsidRDefault="001F09F9" w:rsidP="001F09F9"/>
    <w:p w14:paraId="1191EA71" w14:textId="5A970E9C" w:rsidR="00F47187" w:rsidRPr="00FC1241" w:rsidRDefault="00F47187" w:rsidP="00F47187">
      <w:pPr>
        <w:pStyle w:val="AgendaItemNumber"/>
      </w:pPr>
      <w:bookmarkStart w:id="0" w:name="_Hlk86751084"/>
      <w:r w:rsidRPr="00FC1241">
        <w:t xml:space="preserve">Agenda Item 1: </w:t>
      </w:r>
      <w:r w:rsidR="0037100A">
        <w:t>National and FIP Fishery Management Plan updates</w:t>
      </w:r>
      <w:bookmarkEnd w:id="0"/>
    </w:p>
    <w:p w14:paraId="704CB61E" w14:textId="3F01CCE8" w:rsidR="00553E22" w:rsidRDefault="00722919" w:rsidP="00553E22">
      <w:r>
        <w:t xml:space="preserve">Fishery Management Plans (FMPs) </w:t>
      </w:r>
      <w:r w:rsidR="00E16B63">
        <w:t xml:space="preserve">are a requirement of the Fisheries Act, </w:t>
      </w:r>
      <w:r w:rsidR="005248B1" w:rsidRPr="007A46E8">
        <w:t>a</w:t>
      </w:r>
      <w:r w:rsidR="00707EA2" w:rsidRPr="00442CA1">
        <w:t>nd d</w:t>
      </w:r>
      <w:r w:rsidR="00C51F38" w:rsidRPr="00442CA1">
        <w:t>etail</w:t>
      </w:r>
      <w:r w:rsidR="00C51F38">
        <w:t xml:space="preserve"> on government require</w:t>
      </w:r>
      <w:r w:rsidR="006746F7">
        <w:t xml:space="preserve">ments </w:t>
      </w:r>
      <w:r w:rsidR="006746F7" w:rsidRPr="00442CA1">
        <w:t>for</w:t>
      </w:r>
      <w:r w:rsidR="005248B1" w:rsidRPr="00442CA1">
        <w:t xml:space="preserve"> </w:t>
      </w:r>
      <w:r w:rsidR="00C51F38" w:rsidRPr="00442CA1">
        <w:t xml:space="preserve">FMPs </w:t>
      </w:r>
      <w:r w:rsidR="002743A1" w:rsidRPr="00442CA1">
        <w:t>will</w:t>
      </w:r>
      <w:r w:rsidR="00C51F38" w:rsidDel="002743A1">
        <w:t xml:space="preserve"> be </w:t>
      </w:r>
      <w:r w:rsidR="002743A1" w:rsidRPr="00442CA1">
        <w:t>announced in the</w:t>
      </w:r>
      <w:r w:rsidR="005248B1" w:rsidRPr="00442CA1">
        <w:t xml:space="preserve"> </w:t>
      </w:r>
      <w:r w:rsidR="00C51F38">
        <w:t xml:space="preserve">Joint Fishery Statement </w:t>
      </w:r>
      <w:r w:rsidR="004714FC">
        <w:t xml:space="preserve">(JFS) </w:t>
      </w:r>
      <w:r w:rsidR="002743A1">
        <w:t xml:space="preserve">expected </w:t>
      </w:r>
      <w:r w:rsidR="00C51F38">
        <w:t>in November 2022</w:t>
      </w:r>
      <w:r w:rsidR="00C51F38" w:rsidRPr="00442CA1">
        <w:t xml:space="preserve">. </w:t>
      </w:r>
      <w:r w:rsidR="003C2490" w:rsidRPr="00442CA1">
        <w:t>MJ</w:t>
      </w:r>
      <w:r w:rsidR="003C2490" w:rsidDel="00BF327A">
        <w:t xml:space="preserve"> </w:t>
      </w:r>
      <w:r w:rsidR="003C2490">
        <w:t>provide</w:t>
      </w:r>
      <w:r w:rsidR="00BF327A">
        <w:t>d</w:t>
      </w:r>
      <w:r w:rsidR="003C2490">
        <w:t xml:space="preserve"> an update from Defra on their FMP strawman and progress </w:t>
      </w:r>
      <w:r w:rsidR="00A67198">
        <w:t xml:space="preserve">on </w:t>
      </w:r>
      <w:r w:rsidR="005A5F26">
        <w:t xml:space="preserve">the </w:t>
      </w:r>
      <w:r w:rsidR="003C2490">
        <w:t xml:space="preserve">crab and lobster </w:t>
      </w:r>
      <w:r w:rsidR="005A5F26">
        <w:t>FMP.</w:t>
      </w:r>
      <w:r w:rsidR="003C2490">
        <w:t xml:space="preserve"> </w:t>
      </w:r>
    </w:p>
    <w:p w14:paraId="552C4CB8" w14:textId="249033E0" w:rsidR="004714FC" w:rsidRDefault="004714FC" w:rsidP="00553E22">
      <w:r>
        <w:t>MJ said that Defra had a list of proposed FMPs that will form part of the JFS</w:t>
      </w:r>
      <w:r w:rsidR="00A434ED">
        <w:t xml:space="preserve"> consultation later this year, with </w:t>
      </w:r>
      <w:r w:rsidR="00BF41D5">
        <w:t xml:space="preserve">the </w:t>
      </w:r>
      <w:r w:rsidR="005A5F26">
        <w:t>crab</w:t>
      </w:r>
      <w:r w:rsidR="00A434ED">
        <w:t xml:space="preserve"> and lobster FMP likely to be one of the first FMPs to be </w:t>
      </w:r>
      <w:r w:rsidR="00BF41D5" w:rsidRPr="00355368">
        <w:t>drafted</w:t>
      </w:r>
      <w:r w:rsidR="00A434ED" w:rsidRPr="00A44A2F">
        <w:t>.</w:t>
      </w:r>
      <w:r w:rsidR="005A5F26">
        <w:t xml:space="preserve"> A </w:t>
      </w:r>
      <w:r w:rsidR="005A5F26" w:rsidRPr="00442CA1">
        <w:t>fi</w:t>
      </w:r>
      <w:r w:rsidR="00263064">
        <w:t>rst draft</w:t>
      </w:r>
      <w:r w:rsidR="005A5F26">
        <w:t xml:space="preserve"> </w:t>
      </w:r>
      <w:r w:rsidR="00CF37AE">
        <w:t xml:space="preserve">UK </w:t>
      </w:r>
      <w:r w:rsidR="005A5F26">
        <w:t xml:space="preserve">crab and lobster FMP is </w:t>
      </w:r>
      <w:r w:rsidR="00506B47" w:rsidRPr="00442CA1">
        <w:t>expected</w:t>
      </w:r>
      <w:r w:rsidR="005A5F26" w:rsidDel="00506B47">
        <w:t xml:space="preserve"> </w:t>
      </w:r>
      <w:r w:rsidR="005A5F26">
        <w:t xml:space="preserve">to be </w:t>
      </w:r>
      <w:r w:rsidR="003F4562">
        <w:t>available in early 2023</w:t>
      </w:r>
      <w:r w:rsidR="00B3552D">
        <w:t xml:space="preserve">, but this may change based on </w:t>
      </w:r>
      <w:r w:rsidR="003F4562">
        <w:t>discussion</w:t>
      </w:r>
      <w:r w:rsidR="00B3552D">
        <w:t>s</w:t>
      </w:r>
      <w:r w:rsidR="003F4562">
        <w:t xml:space="preserve"> with</w:t>
      </w:r>
      <w:r w:rsidR="004E1F58">
        <w:t xml:space="preserve"> Devol</w:t>
      </w:r>
      <w:r w:rsidR="009766AC">
        <w:t>ved Administrations</w:t>
      </w:r>
      <w:r w:rsidR="003F4562" w:rsidRPr="007A46E8">
        <w:t>.</w:t>
      </w:r>
      <w:r w:rsidR="003F4562">
        <w:t xml:space="preserve"> </w:t>
      </w:r>
      <w:r w:rsidR="00BE1ACB">
        <w:t xml:space="preserve">MJ </w:t>
      </w:r>
      <w:r w:rsidR="00547909" w:rsidRPr="007A46E8">
        <w:t>added</w:t>
      </w:r>
      <w:r w:rsidR="00BE1ACB">
        <w:t xml:space="preserve"> that this will be developed alongside </w:t>
      </w:r>
      <w:r w:rsidR="00BE1ACB" w:rsidRPr="007A46E8">
        <w:t>scallop</w:t>
      </w:r>
      <w:r w:rsidR="00BE1ACB">
        <w:t xml:space="preserve"> and whelk FMPs. </w:t>
      </w:r>
    </w:p>
    <w:p w14:paraId="2DCFBDE8" w14:textId="7EAE7DF6" w:rsidR="00BE1ACB" w:rsidRDefault="00910D8A" w:rsidP="00553E22">
      <w:r w:rsidRPr="007A46E8">
        <w:lastRenderedPageBreak/>
        <w:t>N</w:t>
      </w:r>
      <w:r w:rsidR="00BE1ACB" w:rsidRPr="007A46E8">
        <w:t>ational</w:t>
      </w:r>
      <w:r w:rsidR="00BE1ACB">
        <w:t xml:space="preserve"> </w:t>
      </w:r>
      <w:r w:rsidR="00B014D1">
        <w:t xml:space="preserve">priorities </w:t>
      </w:r>
      <w:r w:rsidR="00BE1ACB">
        <w:t xml:space="preserve">and objectives for the </w:t>
      </w:r>
      <w:r w:rsidR="00DC4369">
        <w:t xml:space="preserve">fisheries need to be determined and these </w:t>
      </w:r>
      <w:r>
        <w:t xml:space="preserve">will be added </w:t>
      </w:r>
      <w:r w:rsidR="00DC4369" w:rsidRPr="007A46E8">
        <w:t xml:space="preserve">to </w:t>
      </w:r>
      <w:r w:rsidR="00CA60F2" w:rsidRPr="007A46E8">
        <w:t xml:space="preserve">the </w:t>
      </w:r>
      <w:r w:rsidR="00B42767" w:rsidRPr="007A46E8">
        <w:t>national</w:t>
      </w:r>
      <w:r w:rsidR="00CA60F2">
        <w:t xml:space="preserve"> FMP</w:t>
      </w:r>
      <w:r w:rsidR="00341C8A">
        <w:t xml:space="preserve">. </w:t>
      </w:r>
      <w:r w:rsidR="00CA60F2">
        <w:t xml:space="preserve"> MJ acknowledged </w:t>
      </w:r>
      <w:r w:rsidR="002F18B4">
        <w:t xml:space="preserve">that the timeline for </w:t>
      </w:r>
      <w:r w:rsidR="00B1072B">
        <w:t>all proposed</w:t>
      </w:r>
      <w:r w:rsidR="002F18B4">
        <w:t xml:space="preserve"> objectives </w:t>
      </w:r>
      <w:r w:rsidR="00CA60F2">
        <w:t xml:space="preserve">might </w:t>
      </w:r>
      <w:r w:rsidR="002F18B4">
        <w:t xml:space="preserve">not align with </w:t>
      </w:r>
      <w:r w:rsidR="00130F0C">
        <w:t xml:space="preserve">the </w:t>
      </w:r>
      <w:r w:rsidR="00CA60F2">
        <w:t xml:space="preserve">timeline for the </w:t>
      </w:r>
      <w:r w:rsidR="00B1072B">
        <w:t xml:space="preserve">Project UK </w:t>
      </w:r>
      <w:r w:rsidR="00CA60F2">
        <w:t xml:space="preserve">FIP </w:t>
      </w:r>
    </w:p>
    <w:p w14:paraId="59950CA9" w14:textId="523752DF" w:rsidR="000E6763" w:rsidRDefault="000E6763" w:rsidP="00553E22">
      <w:r>
        <w:t>Discussion:</w:t>
      </w:r>
    </w:p>
    <w:p w14:paraId="6E0B2189" w14:textId="10AABBF8" w:rsidR="0037100A" w:rsidRDefault="00A06633" w:rsidP="00DC1565">
      <w:r>
        <w:t xml:space="preserve">TH asked </w:t>
      </w:r>
      <w:r w:rsidR="00130F0C">
        <w:t xml:space="preserve">whether the Defra FMP </w:t>
      </w:r>
      <w:r w:rsidR="00BA0DA6">
        <w:t xml:space="preserve">would be </w:t>
      </w:r>
      <w:r>
        <w:t xml:space="preserve">incorporate </w:t>
      </w:r>
      <w:r w:rsidR="00BA0DA6">
        <w:t>both c</w:t>
      </w:r>
      <w:r w:rsidR="00991B54">
        <w:t>ra</w:t>
      </w:r>
      <w:r w:rsidR="00BA0DA6">
        <w:t xml:space="preserve">b and </w:t>
      </w:r>
      <w:r>
        <w:t xml:space="preserve">lobster, </w:t>
      </w:r>
      <w:r w:rsidR="00BA0DA6">
        <w:t xml:space="preserve">and whether there was an explicit harvest strategy required </w:t>
      </w:r>
      <w:r w:rsidR="00A46F47">
        <w:t xml:space="preserve">in the Defra FMP. </w:t>
      </w:r>
      <w:r>
        <w:t xml:space="preserve">MJ said </w:t>
      </w:r>
      <w:r w:rsidR="00A46F47">
        <w:t xml:space="preserve">the FMP would cover </w:t>
      </w:r>
      <w:r>
        <w:t xml:space="preserve">edible crab and </w:t>
      </w:r>
      <w:r w:rsidR="00227644">
        <w:t xml:space="preserve">European </w:t>
      </w:r>
      <w:r>
        <w:t>lobster</w:t>
      </w:r>
      <w:r w:rsidR="00B1072B">
        <w:t>, with the ability to incorporate other species of crab and lobster at review points</w:t>
      </w:r>
      <w:r w:rsidR="008F1B03">
        <w:t xml:space="preserve">. </w:t>
      </w:r>
      <w:r w:rsidR="00B1072B">
        <w:t>T</w:t>
      </w:r>
      <w:r w:rsidR="005947E5">
        <w:t>he FMP w</w:t>
      </w:r>
      <w:r w:rsidR="00B1072B">
        <w:t>ill</w:t>
      </w:r>
      <w:r w:rsidR="005947E5">
        <w:t xml:space="preserve"> include a harvest </w:t>
      </w:r>
      <w:r w:rsidR="00673D33">
        <w:t>strategy,</w:t>
      </w:r>
      <w:r w:rsidR="005947E5">
        <w:t xml:space="preserve"> </w:t>
      </w:r>
      <w:r w:rsidR="00B1072B">
        <w:t>and</w:t>
      </w:r>
      <w:r w:rsidR="005947E5">
        <w:t xml:space="preserve"> </w:t>
      </w:r>
      <w:r w:rsidR="0017528C">
        <w:t xml:space="preserve">this </w:t>
      </w:r>
      <w:r w:rsidR="008F1B03">
        <w:t xml:space="preserve">will </w:t>
      </w:r>
      <w:r w:rsidR="00B1072B">
        <w:t>aim</w:t>
      </w:r>
      <w:r w:rsidR="008F1B03">
        <w:t xml:space="preserve"> to align with the Western Waters</w:t>
      </w:r>
      <w:r w:rsidR="00205678">
        <w:t xml:space="preserve"> effort</w:t>
      </w:r>
      <w:r w:rsidR="00744318">
        <w:t xml:space="preserve"> regime</w:t>
      </w:r>
      <w:r w:rsidR="00B1072B">
        <w:t xml:space="preserve"> review</w:t>
      </w:r>
      <w:r w:rsidR="00205678">
        <w:t xml:space="preserve"> timeline</w:t>
      </w:r>
      <w:r w:rsidR="00CD0022">
        <w:t xml:space="preserve">. If these timelines do not align, the harvest strategy will </w:t>
      </w:r>
      <w:r w:rsidR="00B1072B">
        <w:t xml:space="preserve">continue to </w:t>
      </w:r>
      <w:r w:rsidR="00CD0022">
        <w:t xml:space="preserve">be </w:t>
      </w:r>
      <w:r w:rsidR="007C1107">
        <w:t>developed after the</w:t>
      </w:r>
      <w:r w:rsidR="00B1072B">
        <w:t xml:space="preserve"> initial publication of the</w:t>
      </w:r>
      <w:r w:rsidR="007C1107">
        <w:t xml:space="preserve"> FMP</w:t>
      </w:r>
      <w:r w:rsidR="00B13435">
        <w:t xml:space="preserve">. </w:t>
      </w:r>
    </w:p>
    <w:p w14:paraId="1A784552" w14:textId="6B5175C8" w:rsidR="00E11B30" w:rsidRDefault="00DC1565" w:rsidP="00E11B30">
      <w:r>
        <w:t xml:space="preserve">CP said the </w:t>
      </w:r>
      <w:r w:rsidR="007D62CE">
        <w:t xml:space="preserve">Shellfish </w:t>
      </w:r>
      <w:r w:rsidR="007D62CE" w:rsidRPr="00A35BA6">
        <w:t>I</w:t>
      </w:r>
      <w:r w:rsidRPr="00263064">
        <w:t xml:space="preserve">ndustry </w:t>
      </w:r>
      <w:r w:rsidR="007D62CE" w:rsidRPr="00263064">
        <w:t>A</w:t>
      </w:r>
      <w:r w:rsidRPr="007A46E8">
        <w:t xml:space="preserve">dvisory </w:t>
      </w:r>
      <w:r w:rsidR="007D62CE" w:rsidRPr="007A46E8">
        <w:t>G</w:t>
      </w:r>
      <w:r w:rsidRPr="007A46E8">
        <w:t>roup (</w:t>
      </w:r>
      <w:r>
        <w:t>SIAG)</w:t>
      </w:r>
      <w:r w:rsidR="00F87465">
        <w:t xml:space="preserve"> and</w:t>
      </w:r>
      <w:r>
        <w:t xml:space="preserve"> </w:t>
      </w:r>
      <w:r w:rsidR="007D62CE">
        <w:t xml:space="preserve">Crab Management Group </w:t>
      </w:r>
      <w:r>
        <w:t xml:space="preserve">(CMG) </w:t>
      </w:r>
      <w:r w:rsidR="003D7E85">
        <w:t xml:space="preserve">were </w:t>
      </w:r>
      <w:r w:rsidR="00BD7C42" w:rsidRPr="007A46E8">
        <w:t>discussing</w:t>
      </w:r>
      <w:r w:rsidR="003D7E85" w:rsidDel="00BD7C42">
        <w:t xml:space="preserve"> </w:t>
      </w:r>
      <w:r w:rsidR="00BD7C42">
        <w:t xml:space="preserve">the </w:t>
      </w:r>
      <w:r w:rsidR="003D7E85">
        <w:t xml:space="preserve">harvest strategy and were keen to align closely with the FIP. </w:t>
      </w:r>
      <w:r w:rsidR="00101C48">
        <w:t xml:space="preserve">Defra hosted a Western Waters Alternatives Workshop </w:t>
      </w:r>
      <w:r w:rsidR="000F0C5C">
        <w:t xml:space="preserve">the day prior to the FIP meeting </w:t>
      </w:r>
      <w:r w:rsidR="00BB6B08" w:rsidRPr="007A46E8">
        <w:t>where</w:t>
      </w:r>
      <w:r w:rsidR="000F0C5C">
        <w:t xml:space="preserve"> Cefas </w:t>
      </w:r>
      <w:r w:rsidR="000F0C5C" w:rsidRPr="007A46E8">
        <w:t>outlin</w:t>
      </w:r>
      <w:r w:rsidR="00BB6B08" w:rsidRPr="007A46E8">
        <w:t>ed</w:t>
      </w:r>
      <w:r w:rsidR="000F0C5C">
        <w:t xml:space="preserve"> potential future management options. </w:t>
      </w:r>
    </w:p>
    <w:p w14:paraId="49E2F9D4" w14:textId="299B6536" w:rsidR="00B14ED2" w:rsidRDefault="00B14ED2" w:rsidP="00E11B30">
      <w:r>
        <w:t>Project UK FMP update</w:t>
      </w:r>
      <w:r w:rsidR="00335E27">
        <w:t>:</w:t>
      </w:r>
    </w:p>
    <w:p w14:paraId="49868802" w14:textId="2F206E52" w:rsidR="00335E27" w:rsidRDefault="00335E27" w:rsidP="00E11B30">
      <w:r>
        <w:t xml:space="preserve">The </w:t>
      </w:r>
      <w:r w:rsidR="00991B54">
        <w:t xml:space="preserve">FIP </w:t>
      </w:r>
      <w:r>
        <w:t xml:space="preserve">FMP </w:t>
      </w:r>
      <w:r w:rsidR="0059757C" w:rsidRPr="007A46E8">
        <w:t>documents</w:t>
      </w:r>
      <w:r>
        <w:t xml:space="preserve"> progress made</w:t>
      </w:r>
      <w:r w:rsidR="0059757C">
        <w:t xml:space="preserve"> by the Steering Group</w:t>
      </w:r>
      <w:r>
        <w:t xml:space="preserve"> </w:t>
      </w:r>
      <w:r w:rsidR="006E2A4C" w:rsidRPr="007A46E8">
        <w:t>towards</w:t>
      </w:r>
      <w:r w:rsidR="006E2A4C">
        <w:t xml:space="preserve"> all aspects of fisheries</w:t>
      </w:r>
      <w:r w:rsidR="00AD6517">
        <w:t xml:space="preserve"> management</w:t>
      </w:r>
      <w:r w:rsidR="00AD6517" w:rsidRPr="007A46E8">
        <w:t>.</w:t>
      </w:r>
      <w:r w:rsidR="00AD6517">
        <w:t xml:space="preserve"> With the </w:t>
      </w:r>
      <w:r w:rsidR="00AD6517" w:rsidRPr="007A46E8">
        <w:t xml:space="preserve">FIP </w:t>
      </w:r>
      <w:r w:rsidR="00AD6517">
        <w:t>timeline ending in April 2022</w:t>
      </w:r>
      <w:r w:rsidR="005758DB">
        <w:t xml:space="preserve">, MS </w:t>
      </w:r>
      <w:r w:rsidR="00F7347E">
        <w:t xml:space="preserve">highlighted </w:t>
      </w:r>
      <w:r w:rsidR="005758DB">
        <w:t xml:space="preserve">the importance of obtaining all the relevant information needed to </w:t>
      </w:r>
      <w:r w:rsidR="00F7347E" w:rsidRPr="007A46E8">
        <w:t>complete</w:t>
      </w:r>
      <w:r w:rsidR="00F7347E">
        <w:t xml:space="preserve"> the</w:t>
      </w:r>
      <w:r w:rsidR="005758DB">
        <w:t xml:space="preserve"> FMP, </w:t>
      </w:r>
      <w:r w:rsidR="00D23081">
        <w:t xml:space="preserve">whilst recognising </w:t>
      </w:r>
      <w:r w:rsidR="005758DB">
        <w:t xml:space="preserve">the current </w:t>
      </w:r>
      <w:r w:rsidR="00D23081">
        <w:t xml:space="preserve">flux in management likely to mean some sections will have to be revisited at a later date. </w:t>
      </w:r>
    </w:p>
    <w:p w14:paraId="3A439123" w14:textId="6C99DB7D" w:rsidR="0075346B" w:rsidRDefault="00CE2BF5" w:rsidP="0075346B">
      <w:r>
        <w:t xml:space="preserve">Section </w:t>
      </w:r>
      <w:r w:rsidR="00662389">
        <w:t>1</w:t>
      </w:r>
      <w:r w:rsidR="00731E50">
        <w:t xml:space="preserve"> </w:t>
      </w:r>
      <w:r w:rsidR="00731E50" w:rsidRPr="00731E50">
        <w:t xml:space="preserve">Identification and </w:t>
      </w:r>
      <w:r w:rsidR="00A43217">
        <w:t>d</w:t>
      </w:r>
      <w:r w:rsidR="00731E50" w:rsidRPr="00731E50">
        <w:t xml:space="preserve">escription of the </w:t>
      </w:r>
      <w:r w:rsidR="00A43217">
        <w:t>f</w:t>
      </w:r>
      <w:r w:rsidR="00731E50" w:rsidRPr="00731E50">
        <w:t>ishery</w:t>
      </w:r>
      <w:r w:rsidR="00731E50">
        <w:t xml:space="preserve">: </w:t>
      </w:r>
    </w:p>
    <w:p w14:paraId="46AC1C8C" w14:textId="5DA3C584" w:rsidR="0075346B" w:rsidRDefault="0075346B" w:rsidP="0075346B">
      <w:pPr>
        <w:pStyle w:val="ListParagraph"/>
        <w:numPr>
          <w:ilvl w:val="0"/>
          <w:numId w:val="15"/>
        </w:numPr>
      </w:pPr>
      <w:r>
        <w:t xml:space="preserve">Plenty of information in this section </w:t>
      </w:r>
      <w:r w:rsidR="00971DA0">
        <w:t xml:space="preserve">provided by </w:t>
      </w:r>
      <w:r>
        <w:t>IFCAs and MMO.</w:t>
      </w:r>
    </w:p>
    <w:p w14:paraId="5A3DCA3B" w14:textId="2EF86F9E" w:rsidR="00B14ED2" w:rsidRDefault="0075346B" w:rsidP="0069250D">
      <w:pPr>
        <w:pStyle w:val="ListParagraph"/>
        <w:numPr>
          <w:ilvl w:val="0"/>
          <w:numId w:val="15"/>
        </w:numPr>
      </w:pPr>
      <w:r>
        <w:t xml:space="preserve">Information </w:t>
      </w:r>
      <w:r w:rsidR="002C34B0">
        <w:t xml:space="preserve">provided to date </w:t>
      </w:r>
      <w:r w:rsidR="004D49AC" w:rsidRPr="007A46E8">
        <w:t>should</w:t>
      </w:r>
      <w:r>
        <w:t xml:space="preserve"> be annexed and consolidated</w:t>
      </w:r>
      <w:r w:rsidR="004D49AC">
        <w:t>, and</w:t>
      </w:r>
      <w:r w:rsidDel="004D49AC">
        <w:t xml:space="preserve"> </w:t>
      </w:r>
      <w:r w:rsidR="0069250D">
        <w:t>w</w:t>
      </w:r>
      <w:r>
        <w:t>ill need review from an IFCA rep</w:t>
      </w:r>
      <w:r w:rsidR="0069250D">
        <w:t>resentative</w:t>
      </w:r>
      <w:r>
        <w:t xml:space="preserve"> and MMO.</w:t>
      </w:r>
      <w:r w:rsidR="0069250D">
        <w:t xml:space="preserve"> MS said he would </w:t>
      </w:r>
      <w:r w:rsidR="00680C65" w:rsidRPr="007A46E8">
        <w:t>contact</w:t>
      </w:r>
      <w:r w:rsidR="00A43217">
        <w:t xml:space="preserve"> relevant members after the call. </w:t>
      </w:r>
    </w:p>
    <w:p w14:paraId="7ABF0ECC" w14:textId="237DC21A" w:rsidR="00A43217" w:rsidRDefault="00A43217" w:rsidP="00A43217">
      <w:r>
        <w:t>Section 2 Goals and objectives:</w:t>
      </w:r>
    </w:p>
    <w:p w14:paraId="2A8C3098" w14:textId="71DAC178" w:rsidR="00A43217" w:rsidRDefault="004474ED" w:rsidP="00DF73EE">
      <w:pPr>
        <w:pStyle w:val="ListParagraph"/>
        <w:numPr>
          <w:ilvl w:val="0"/>
          <w:numId w:val="16"/>
        </w:numPr>
      </w:pPr>
      <w:r w:rsidRPr="007A46E8">
        <w:t>the flux</w:t>
      </w:r>
      <w:r w:rsidR="00DF73EE">
        <w:t xml:space="preserve"> in national management </w:t>
      </w:r>
      <w:r w:rsidR="00D2410D" w:rsidRPr="007A46E8">
        <w:t>has hindered the development of</w:t>
      </w:r>
      <w:r w:rsidR="00DF73EE" w:rsidRPr="007A46E8">
        <w:t xml:space="preserve"> </w:t>
      </w:r>
      <w:r w:rsidR="00DF73EE">
        <w:t>section 2</w:t>
      </w:r>
      <w:r w:rsidR="00D2410D" w:rsidRPr="007A46E8">
        <w:t>, which was</w:t>
      </w:r>
      <w:r w:rsidR="00DF73EE" w:rsidRPr="007A46E8">
        <w:t xml:space="preserve"> </w:t>
      </w:r>
      <w:r w:rsidR="00DF73EE">
        <w:t xml:space="preserve">sparse on </w:t>
      </w:r>
      <w:r w:rsidR="00081D53">
        <w:t>information</w:t>
      </w:r>
      <w:r w:rsidR="00444875">
        <w:t xml:space="preserve">. MS had </w:t>
      </w:r>
      <w:r w:rsidR="004632C3">
        <w:t>spoken</w:t>
      </w:r>
      <w:r w:rsidR="00444875">
        <w:t xml:space="preserve"> with MJ</w:t>
      </w:r>
      <w:r w:rsidR="00444875" w:rsidDel="008C005B">
        <w:t xml:space="preserve"> </w:t>
      </w:r>
      <w:r w:rsidR="008C005B">
        <w:t xml:space="preserve">about </w:t>
      </w:r>
      <w:r w:rsidR="00444875">
        <w:t xml:space="preserve">any useful text that could be inserted in the </w:t>
      </w:r>
      <w:r w:rsidR="004632C3">
        <w:t>absence</w:t>
      </w:r>
      <w:r w:rsidR="00444875">
        <w:t xml:space="preserve"> of </w:t>
      </w:r>
      <w:r w:rsidR="009A1B8C">
        <w:t xml:space="preserve">a </w:t>
      </w:r>
      <w:r w:rsidR="00444875">
        <w:t>definitive policy</w:t>
      </w:r>
      <w:r w:rsidR="00507E3A">
        <w:t xml:space="preserve"> until the JFS is published</w:t>
      </w:r>
      <w:r w:rsidR="00444875">
        <w:t>, such as higher-level objectives</w:t>
      </w:r>
      <w:r w:rsidR="004632C3">
        <w:t xml:space="preserve"> and text form the Fisheries Act, and MJ said he would share </w:t>
      </w:r>
      <w:r w:rsidR="009A1B8C">
        <w:t xml:space="preserve">what he could </w:t>
      </w:r>
      <w:r w:rsidR="004632C3">
        <w:t xml:space="preserve">with MS. </w:t>
      </w:r>
    </w:p>
    <w:p w14:paraId="1B3F229E" w14:textId="36E7120A" w:rsidR="004632C3" w:rsidRDefault="004632C3" w:rsidP="00DF73EE">
      <w:pPr>
        <w:pStyle w:val="ListParagraph"/>
        <w:numPr>
          <w:ilvl w:val="0"/>
          <w:numId w:val="16"/>
        </w:numPr>
      </w:pPr>
      <w:r>
        <w:t>The CMG could also support this section</w:t>
      </w:r>
      <w:r w:rsidR="00B318E1">
        <w:t xml:space="preserve">, </w:t>
      </w:r>
      <w:r w:rsidR="007A1BC7" w:rsidRPr="007A46E8">
        <w:t>which</w:t>
      </w:r>
      <w:r w:rsidR="00B318E1">
        <w:t xml:space="preserve"> would </w:t>
      </w:r>
      <w:r w:rsidR="007A1BC7">
        <w:t xml:space="preserve">contribute to </w:t>
      </w:r>
      <w:r w:rsidR="00B318E1">
        <w:t xml:space="preserve">alignment between the </w:t>
      </w:r>
      <w:r w:rsidR="007A1BC7" w:rsidRPr="007A46E8">
        <w:t>FIP</w:t>
      </w:r>
      <w:r w:rsidR="007A1BC7">
        <w:t xml:space="preserve"> and the CMG</w:t>
      </w:r>
      <w:r w:rsidR="00B318E1">
        <w:t>.</w:t>
      </w:r>
    </w:p>
    <w:p w14:paraId="0B2B39EC" w14:textId="5DB5D378" w:rsidR="00250E0C" w:rsidRDefault="00250E0C" w:rsidP="00DF73EE">
      <w:pPr>
        <w:pStyle w:val="ListParagraph"/>
        <w:numPr>
          <w:ilvl w:val="0"/>
          <w:numId w:val="16"/>
        </w:numPr>
      </w:pPr>
      <w:r>
        <w:t xml:space="preserve">MS reminded the </w:t>
      </w:r>
      <w:r w:rsidR="00036B37" w:rsidRPr="00A854E0">
        <w:t>S</w:t>
      </w:r>
      <w:r w:rsidRPr="00A854E0">
        <w:t xml:space="preserve">teering </w:t>
      </w:r>
      <w:r w:rsidR="00036B37" w:rsidRPr="00A854E0">
        <w:t>G</w:t>
      </w:r>
      <w:r w:rsidRPr="00A854E0">
        <w:t>roup</w:t>
      </w:r>
      <w:r>
        <w:t xml:space="preserve"> that the FMP needs to reflect what is currently available as a starting point and could be built </w:t>
      </w:r>
      <w:r w:rsidR="00CD4223">
        <w:t xml:space="preserve">on </w:t>
      </w:r>
      <w:r>
        <w:t>once more formal government policy is developed.</w:t>
      </w:r>
    </w:p>
    <w:p w14:paraId="0F64FC49" w14:textId="40AF8351" w:rsidR="00B318E1" w:rsidRDefault="00B318E1" w:rsidP="00B318E1">
      <w:r>
        <w:t>Section 3 Fisheries management structure</w:t>
      </w:r>
      <w:r w:rsidR="000C22EE">
        <w:t>:</w:t>
      </w:r>
      <w:r>
        <w:t xml:space="preserve"> </w:t>
      </w:r>
    </w:p>
    <w:p w14:paraId="1A29EE84" w14:textId="6BD98D7F" w:rsidR="003601CF" w:rsidRDefault="00AF3BA2" w:rsidP="003601CF">
      <w:pPr>
        <w:pStyle w:val="ListParagraph"/>
        <w:numPr>
          <w:ilvl w:val="0"/>
          <w:numId w:val="17"/>
        </w:numPr>
        <w:spacing w:after="160"/>
      </w:pPr>
      <w:r>
        <w:t xml:space="preserve">Needs review and further information added </w:t>
      </w:r>
      <w:r w:rsidR="00CD4223">
        <w:t xml:space="preserve">on </w:t>
      </w:r>
      <w:r>
        <w:t xml:space="preserve">the legal framework </w:t>
      </w:r>
      <w:r w:rsidR="00CD4223">
        <w:t xml:space="preserve">for </w:t>
      </w:r>
      <w:r>
        <w:t>crab and lobster fisheries</w:t>
      </w:r>
      <w:r w:rsidR="00D2410D" w:rsidRPr="00A854E0">
        <w:t>.</w:t>
      </w:r>
      <w:r>
        <w:t xml:space="preserve">MS said industry </w:t>
      </w:r>
      <w:r w:rsidR="003601CF">
        <w:t>insight</w:t>
      </w:r>
      <w:r>
        <w:t xml:space="preserve"> would be useful to </w:t>
      </w:r>
      <w:r w:rsidR="008E60FB" w:rsidRPr="00A854E0">
        <w:t>document</w:t>
      </w:r>
      <w:r w:rsidR="003601CF">
        <w:t xml:space="preserve"> what they are doing to </w:t>
      </w:r>
      <w:r w:rsidR="008D09F5" w:rsidRPr="00A854E0">
        <w:t>comply with</w:t>
      </w:r>
      <w:r w:rsidR="003601CF">
        <w:t xml:space="preserve"> management.</w:t>
      </w:r>
    </w:p>
    <w:p w14:paraId="31DF811A" w14:textId="284D934B" w:rsidR="00AF3BA2" w:rsidRDefault="003601CF" w:rsidP="00676CF6">
      <w:pPr>
        <w:spacing w:after="160"/>
      </w:pPr>
      <w:r>
        <w:t>Section 4</w:t>
      </w:r>
      <w:r w:rsidR="004317F5">
        <w:t xml:space="preserve"> Harvest strategy and control rules</w:t>
      </w:r>
      <w:r w:rsidR="000C22EE">
        <w:t>:</w:t>
      </w:r>
    </w:p>
    <w:p w14:paraId="3E51FABA" w14:textId="4DB43BE5" w:rsidR="00676CF6" w:rsidRDefault="005C7671" w:rsidP="00676CF6">
      <w:pPr>
        <w:pStyle w:val="ListParagraph"/>
        <w:numPr>
          <w:ilvl w:val="0"/>
          <w:numId w:val="19"/>
        </w:numPr>
        <w:spacing w:after="160"/>
      </w:pPr>
      <w:r w:rsidRPr="002C226B">
        <w:t>The</w:t>
      </w:r>
      <w:r w:rsidR="00676CF6" w:rsidDel="000D5E57">
        <w:t xml:space="preserve"> </w:t>
      </w:r>
      <w:r w:rsidR="00676CF6">
        <w:t xml:space="preserve">harvest strategy </w:t>
      </w:r>
      <w:r>
        <w:t xml:space="preserve">is </w:t>
      </w:r>
      <w:r w:rsidR="00676CF6">
        <w:t>still to be determined</w:t>
      </w:r>
      <w:r w:rsidR="000D5E57">
        <w:t>,</w:t>
      </w:r>
      <w:r w:rsidR="00676CF6">
        <w:t xml:space="preserve"> </w:t>
      </w:r>
      <w:r>
        <w:t xml:space="preserve">which remains a key action for this </w:t>
      </w:r>
      <w:r w:rsidR="000D5E57">
        <w:t xml:space="preserve">Steering </w:t>
      </w:r>
      <w:r w:rsidR="000D5E57" w:rsidRPr="002C226B">
        <w:t>Group</w:t>
      </w:r>
      <w:r w:rsidR="003E39AF" w:rsidRPr="002C226B">
        <w:t>.</w:t>
      </w:r>
      <w:r w:rsidR="003E39AF">
        <w:t xml:space="preserve"> </w:t>
      </w:r>
      <w:r w:rsidR="00676CF6">
        <w:t xml:space="preserve"> </w:t>
      </w:r>
      <w:r w:rsidR="003E39AF">
        <w:t xml:space="preserve">As such, large sections of </w:t>
      </w:r>
      <w:r w:rsidR="009C62F4">
        <w:t xml:space="preserve">Section </w:t>
      </w:r>
      <w:r w:rsidR="003E39AF">
        <w:t xml:space="preserve">4 remain </w:t>
      </w:r>
      <w:r w:rsidR="000D5E57" w:rsidRPr="002C226B">
        <w:t>are</w:t>
      </w:r>
      <w:r w:rsidR="000D5E57">
        <w:t xml:space="preserve"> still missing information</w:t>
      </w:r>
      <w:r w:rsidR="003E39AF">
        <w:t>.</w:t>
      </w:r>
    </w:p>
    <w:p w14:paraId="31B257B7" w14:textId="166AA5CC" w:rsidR="00676CF6" w:rsidRDefault="00AA1427" w:rsidP="00676CF6">
      <w:pPr>
        <w:pStyle w:val="ListParagraph"/>
        <w:numPr>
          <w:ilvl w:val="0"/>
          <w:numId w:val="19"/>
        </w:numPr>
        <w:spacing w:after="160"/>
      </w:pPr>
      <w:r w:rsidRPr="002C226B">
        <w:lastRenderedPageBreak/>
        <w:t>I</w:t>
      </w:r>
      <w:r w:rsidR="00676CF6" w:rsidRPr="002C226B">
        <w:t>nformation</w:t>
      </w:r>
      <w:r w:rsidR="003E39AF" w:rsidDel="00AA1427">
        <w:t xml:space="preserve"> </w:t>
      </w:r>
      <w:r>
        <w:t xml:space="preserve">from </w:t>
      </w:r>
      <w:r w:rsidR="003E39AF">
        <w:t xml:space="preserve">the </w:t>
      </w:r>
      <w:r w:rsidR="00676CF6">
        <w:t>IFCA</w:t>
      </w:r>
      <w:r>
        <w:t>s</w:t>
      </w:r>
      <w:r w:rsidR="00676CF6" w:rsidDel="00AA1427">
        <w:t xml:space="preserve"> </w:t>
      </w:r>
      <w:r w:rsidR="00676CF6">
        <w:t xml:space="preserve">can be annexed once a formal harvest strategy is </w:t>
      </w:r>
      <w:r w:rsidR="0099538D" w:rsidRPr="002C226B">
        <w:t>agreed</w:t>
      </w:r>
      <w:r w:rsidR="00676CF6">
        <w:t>.</w:t>
      </w:r>
    </w:p>
    <w:p w14:paraId="37893397" w14:textId="5DDA5D8C" w:rsidR="00676CF6" w:rsidRDefault="009274DD" w:rsidP="00676CF6">
      <w:pPr>
        <w:pStyle w:val="ListParagraph"/>
        <w:numPr>
          <w:ilvl w:val="0"/>
          <w:numId w:val="19"/>
        </w:numPr>
        <w:spacing w:after="160"/>
      </w:pPr>
      <w:r>
        <w:t xml:space="preserve">Section </w:t>
      </w:r>
      <w:r w:rsidR="00676CF6">
        <w:t xml:space="preserve">4.3 (decision making frameworks) </w:t>
      </w:r>
      <w:r w:rsidR="0099538D" w:rsidRPr="002C226B">
        <w:t xml:space="preserve">would </w:t>
      </w:r>
      <w:r w:rsidR="0099538D">
        <w:t>benefit from</w:t>
      </w:r>
      <w:r w:rsidR="00676CF6">
        <w:t xml:space="preserve"> input from CMG member</w:t>
      </w:r>
      <w:r w:rsidR="0033563C">
        <w:t>s</w:t>
      </w:r>
      <w:r w:rsidR="003E39AF">
        <w:t xml:space="preserve"> </w:t>
      </w:r>
      <w:r w:rsidR="0099538D">
        <w:t>and</w:t>
      </w:r>
      <w:r w:rsidR="000C22EE">
        <w:t xml:space="preserve"> MS said he would </w:t>
      </w:r>
      <w:r w:rsidR="0099538D" w:rsidRPr="002C226B">
        <w:t>contact</w:t>
      </w:r>
      <w:r w:rsidR="000C22EE">
        <w:t xml:space="preserve"> </w:t>
      </w:r>
      <w:r w:rsidR="006A6F52">
        <w:t>them</w:t>
      </w:r>
      <w:r w:rsidR="000C22EE">
        <w:t xml:space="preserve"> for input.</w:t>
      </w:r>
    </w:p>
    <w:p w14:paraId="1F17611C" w14:textId="179DB582" w:rsidR="008E1666" w:rsidRDefault="008E1666" w:rsidP="008E1666">
      <w:pPr>
        <w:spacing w:after="160"/>
      </w:pPr>
      <w:r>
        <w:t xml:space="preserve">Section 5 </w:t>
      </w:r>
      <w:r w:rsidRPr="00C058B1">
        <w:t xml:space="preserve">Ecosystem </w:t>
      </w:r>
      <w:r>
        <w:t>m</w:t>
      </w:r>
      <w:r w:rsidRPr="00C058B1">
        <w:t xml:space="preserve">anagement </w:t>
      </w:r>
      <w:r>
        <w:t>s</w:t>
      </w:r>
      <w:r w:rsidRPr="00C058B1">
        <w:t>trategies</w:t>
      </w:r>
      <w:r>
        <w:t>:</w:t>
      </w:r>
    </w:p>
    <w:p w14:paraId="1848ED9B" w14:textId="2D99A5FC" w:rsidR="004C32F3" w:rsidRDefault="004C32F3" w:rsidP="004C32F3">
      <w:pPr>
        <w:pStyle w:val="ListParagraph"/>
        <w:numPr>
          <w:ilvl w:val="0"/>
          <w:numId w:val="20"/>
        </w:numPr>
        <w:spacing w:after="160"/>
      </w:pPr>
      <w:r>
        <w:t xml:space="preserve">This is complete but will require </w:t>
      </w:r>
      <w:r w:rsidR="008749E3" w:rsidRPr="002C226B">
        <w:t>a</w:t>
      </w:r>
      <w:r w:rsidRPr="002C226B">
        <w:t xml:space="preserve"> </w:t>
      </w:r>
      <w:r>
        <w:t xml:space="preserve">final </w:t>
      </w:r>
      <w:r w:rsidR="008749E3" w:rsidRPr="002C226B">
        <w:t>review from the Steering Group.</w:t>
      </w:r>
      <w:r>
        <w:t xml:space="preserve"> </w:t>
      </w:r>
      <w:r w:rsidR="0050321D">
        <w:t xml:space="preserve">There is </w:t>
      </w:r>
      <w:r w:rsidR="0050321D" w:rsidRPr="002C226B">
        <w:t>i</w:t>
      </w:r>
      <w:r w:rsidRPr="002C226B">
        <w:t xml:space="preserve">nformation </w:t>
      </w:r>
      <w:r w:rsidR="0050321D" w:rsidRPr="002C226B">
        <w:t xml:space="preserve">included </w:t>
      </w:r>
      <w:r w:rsidRPr="002C226B">
        <w:t>from</w:t>
      </w:r>
      <w:r>
        <w:t xml:space="preserve"> studies </w:t>
      </w:r>
      <w:r w:rsidR="00337E3A">
        <w:t>such as:</w:t>
      </w:r>
      <w:r>
        <w:t xml:space="preserve"> catch composition, </w:t>
      </w:r>
      <w:r w:rsidR="005F6868">
        <w:t xml:space="preserve">endangered, threatened and protected </w:t>
      </w:r>
      <w:r w:rsidR="0070643C">
        <w:t>(ETP)</w:t>
      </w:r>
      <w:r w:rsidR="00337E3A">
        <w:t xml:space="preserve"> report</w:t>
      </w:r>
      <w:r>
        <w:t xml:space="preserve">, alternative measures report, </w:t>
      </w:r>
      <w:r w:rsidR="00C95BF9">
        <w:t>and the pre</w:t>
      </w:r>
      <w:r w:rsidR="000323F9">
        <w:t>-</w:t>
      </w:r>
      <w:r w:rsidR="00C95BF9">
        <w:t>assessment (</w:t>
      </w:r>
      <w:r>
        <w:t xml:space="preserve">habitats and ecosystem </w:t>
      </w:r>
      <w:r w:rsidR="00337E3A">
        <w:t xml:space="preserve">scores </w:t>
      </w:r>
      <w:r w:rsidR="00C95BF9">
        <w:t>&gt;</w:t>
      </w:r>
      <w:r>
        <w:t>SG80</w:t>
      </w:r>
      <w:r w:rsidRPr="002C226B">
        <w:t>)</w:t>
      </w:r>
      <w:r w:rsidR="00337E3A" w:rsidRPr="002C226B">
        <w:t>.</w:t>
      </w:r>
    </w:p>
    <w:p w14:paraId="5E253223" w14:textId="4C6B9415" w:rsidR="00337E3A" w:rsidRDefault="00337E3A" w:rsidP="00337E3A">
      <w:pPr>
        <w:spacing w:after="160"/>
      </w:pPr>
      <w:r>
        <w:t xml:space="preserve">Section 6 </w:t>
      </w:r>
      <w:r w:rsidR="00EC466A" w:rsidRPr="00C058B1">
        <w:t xml:space="preserve">Stock </w:t>
      </w:r>
      <w:r w:rsidR="00EC466A">
        <w:t>a</w:t>
      </w:r>
      <w:r w:rsidR="00EC466A" w:rsidRPr="00C058B1">
        <w:t xml:space="preserve">ssessment, </w:t>
      </w:r>
      <w:r w:rsidR="00EC466A">
        <w:t>f</w:t>
      </w:r>
      <w:r w:rsidR="00EC466A" w:rsidRPr="00C058B1">
        <w:t xml:space="preserve">ishery </w:t>
      </w:r>
      <w:r w:rsidR="00EC466A">
        <w:t>m</w:t>
      </w:r>
      <w:r w:rsidR="00EC466A" w:rsidRPr="00C058B1">
        <w:t xml:space="preserve">onitoring and </w:t>
      </w:r>
      <w:r w:rsidR="00EC466A">
        <w:t>r</w:t>
      </w:r>
      <w:r w:rsidR="00EC466A" w:rsidRPr="00C058B1">
        <w:t>esearch</w:t>
      </w:r>
      <w:r w:rsidR="00EC466A">
        <w:t>:</w:t>
      </w:r>
    </w:p>
    <w:p w14:paraId="561CBED2" w14:textId="539447ED" w:rsidR="00EC466A" w:rsidRDefault="00803950" w:rsidP="00010F31">
      <w:pPr>
        <w:pStyle w:val="ListParagraph"/>
        <w:numPr>
          <w:ilvl w:val="0"/>
          <w:numId w:val="20"/>
        </w:numPr>
        <w:spacing w:after="160"/>
      </w:pPr>
      <w:r>
        <w:t xml:space="preserve">Section 6 is </w:t>
      </w:r>
      <w:r w:rsidR="00404389">
        <w:t xml:space="preserve">almost </w:t>
      </w:r>
      <w:r w:rsidR="008F7699">
        <w:t>complet</w:t>
      </w:r>
      <w:r w:rsidR="00404389">
        <w:t>e</w:t>
      </w:r>
      <w:r w:rsidR="00C36D48">
        <w:t xml:space="preserve">, and </w:t>
      </w:r>
      <w:r w:rsidR="008F7699">
        <w:t>Cefas stock assessment material</w:t>
      </w:r>
      <w:r w:rsidR="0099654F">
        <w:t xml:space="preserve"> </w:t>
      </w:r>
      <w:r w:rsidR="00C36D48">
        <w:t xml:space="preserve">has </w:t>
      </w:r>
      <w:r w:rsidR="00C36D48" w:rsidRPr="002C226B">
        <w:t>be</w:t>
      </w:r>
      <w:r w:rsidR="008749E3" w:rsidRPr="002C226B">
        <w:t>e</w:t>
      </w:r>
      <w:r w:rsidR="00C36D48" w:rsidRPr="002C226B">
        <w:t>n</w:t>
      </w:r>
      <w:r w:rsidR="00C36D48">
        <w:t xml:space="preserve"> </w:t>
      </w:r>
      <w:r w:rsidR="0099654F">
        <w:t>included</w:t>
      </w:r>
      <w:r w:rsidR="0099654F" w:rsidRPr="002C226B">
        <w:t>.</w:t>
      </w:r>
      <w:r w:rsidR="0099654F">
        <w:t xml:space="preserve"> MS </w:t>
      </w:r>
      <w:r w:rsidR="00C36D48" w:rsidRPr="002C226B">
        <w:t>requested</w:t>
      </w:r>
      <w:r w:rsidR="0099654F" w:rsidRPr="002C226B">
        <w:t xml:space="preserve"> </w:t>
      </w:r>
      <w:r w:rsidR="0017565D" w:rsidRPr="002C226B">
        <w:t>any</w:t>
      </w:r>
      <w:r w:rsidR="0017565D">
        <w:t xml:space="preserve"> additional</w:t>
      </w:r>
      <w:r w:rsidR="00C07D06">
        <w:t xml:space="preserve"> information </w:t>
      </w:r>
      <w:r w:rsidR="00AC1AF1">
        <w:t xml:space="preserve">from </w:t>
      </w:r>
      <w:r w:rsidR="00C07D06">
        <w:t xml:space="preserve">the catching sector </w:t>
      </w:r>
      <w:r w:rsidR="00AC1AF1" w:rsidRPr="002C226B">
        <w:t>on</w:t>
      </w:r>
      <w:r w:rsidR="00010F31" w:rsidRPr="002C226B">
        <w:t xml:space="preserve"> </w:t>
      </w:r>
      <w:r w:rsidR="00AC1AF1" w:rsidRPr="002C226B">
        <w:t>b</w:t>
      </w:r>
      <w:r w:rsidR="00010F31" w:rsidRPr="002C226B">
        <w:t>ycatch</w:t>
      </w:r>
      <w:r w:rsidR="00010F31">
        <w:t>, ETP species and other surveys</w:t>
      </w:r>
      <w:r w:rsidR="00CA0A0B">
        <w:t xml:space="preserve"> (6.3),</w:t>
      </w:r>
      <w:r w:rsidR="00010F31">
        <w:t xml:space="preserve"> and other relevant research on crab and lobster fisheries</w:t>
      </w:r>
      <w:r w:rsidR="00CA0A0B">
        <w:t xml:space="preserve"> (6.4)</w:t>
      </w:r>
      <w:r w:rsidR="00E00997">
        <w:t>, such as</w:t>
      </w:r>
      <w:r w:rsidR="00010F31" w:rsidDel="00E00997">
        <w:t xml:space="preserve"> </w:t>
      </w:r>
      <w:r w:rsidR="00E00997">
        <w:t xml:space="preserve">the recent paper published by </w:t>
      </w:r>
      <w:r w:rsidR="00102CDD">
        <w:t>Heriot-</w:t>
      </w:r>
      <w:r w:rsidR="00102CDD" w:rsidRPr="002C226B">
        <w:t>Watt</w:t>
      </w:r>
      <w:r w:rsidR="00102CDD" w:rsidDel="00E00997">
        <w:t xml:space="preserve"> </w:t>
      </w:r>
      <w:r w:rsidR="00035B92">
        <w:t xml:space="preserve">University </w:t>
      </w:r>
      <w:r w:rsidR="00102CDD" w:rsidDel="00E00997">
        <w:t xml:space="preserve">on </w:t>
      </w:r>
      <w:r w:rsidR="00102CDD">
        <w:t>wind turbine cables affecting crab migrations.</w:t>
      </w:r>
    </w:p>
    <w:p w14:paraId="71C8DE3A" w14:textId="77777777" w:rsidR="00142EB5" w:rsidRDefault="00010F31" w:rsidP="00142EB5">
      <w:r>
        <w:t xml:space="preserve">Section 7 </w:t>
      </w:r>
      <w:r w:rsidR="00142EB5">
        <w:t xml:space="preserve">Compliance and monitoring </w:t>
      </w:r>
    </w:p>
    <w:p w14:paraId="420255A0" w14:textId="783C0473" w:rsidR="00142EB5" w:rsidRDefault="00142EB5" w:rsidP="00142EB5">
      <w:pPr>
        <w:pStyle w:val="ListParagraph"/>
        <w:numPr>
          <w:ilvl w:val="0"/>
          <w:numId w:val="20"/>
        </w:numPr>
      </w:pPr>
      <w:r>
        <w:t>The FMP has MMO input,</w:t>
      </w:r>
      <w:r w:rsidR="00E00997">
        <w:t xml:space="preserve"> and</w:t>
      </w:r>
      <w:r>
        <w:t xml:space="preserve"> </w:t>
      </w:r>
      <w:r w:rsidR="00611E5C" w:rsidRPr="002C226B">
        <w:t>still</w:t>
      </w:r>
      <w:r w:rsidR="00611E5C">
        <w:t xml:space="preserve"> needs</w:t>
      </w:r>
      <w:r>
        <w:t xml:space="preserve"> some IFCA information</w:t>
      </w:r>
      <w:r w:rsidR="00102CDD">
        <w:t xml:space="preserve">. MS offered to </w:t>
      </w:r>
      <w:r w:rsidR="00611E5C" w:rsidRPr="002C226B">
        <w:t>contact</w:t>
      </w:r>
      <w:r w:rsidR="00102CDD">
        <w:t xml:space="preserve"> IFCA representatives </w:t>
      </w:r>
      <w:r w:rsidR="00611E5C" w:rsidRPr="002C226B">
        <w:t>for</w:t>
      </w:r>
      <w:r w:rsidR="00611E5C">
        <w:t xml:space="preserve"> their input</w:t>
      </w:r>
      <w:r w:rsidR="00102CDD">
        <w:t xml:space="preserve">. </w:t>
      </w:r>
    </w:p>
    <w:p w14:paraId="1C9E7F6D" w14:textId="1DDA06AF" w:rsidR="00FE5D34" w:rsidRDefault="00FE5D34" w:rsidP="00FE5D34">
      <w:r>
        <w:t xml:space="preserve">Sections 8 and 9 </w:t>
      </w:r>
      <w:r w:rsidR="00077C11">
        <w:t xml:space="preserve">still </w:t>
      </w:r>
      <w:r w:rsidR="002A57BA">
        <w:t xml:space="preserve">require </w:t>
      </w:r>
      <w:r w:rsidR="00077C11">
        <w:t xml:space="preserve">input, although MS recognised </w:t>
      </w:r>
      <w:r w:rsidR="00B0584A" w:rsidRPr="002C226B">
        <w:t>the</w:t>
      </w:r>
      <w:r w:rsidR="00B0584A">
        <w:t xml:space="preserve"> need for</w:t>
      </w:r>
      <w:r w:rsidR="00077C11">
        <w:t xml:space="preserve"> a client group to delve into it in detail. MS said </w:t>
      </w:r>
      <w:r w:rsidR="00B0584A" w:rsidRPr="002C226B">
        <w:t>Poseidon</w:t>
      </w:r>
      <w:r w:rsidR="00077C11">
        <w:t xml:space="preserve"> </w:t>
      </w:r>
      <w:r w:rsidR="00B0584A">
        <w:t xml:space="preserve">had </w:t>
      </w:r>
      <w:r w:rsidR="00077C11">
        <w:t xml:space="preserve">provided further guidance in Section 8 </w:t>
      </w:r>
      <w:r w:rsidR="00B0584A">
        <w:t xml:space="preserve">to help </w:t>
      </w:r>
      <w:r w:rsidR="00077C11">
        <w:t xml:space="preserve">a </w:t>
      </w:r>
      <w:r w:rsidR="00B0584A">
        <w:t xml:space="preserve">Steering Group </w:t>
      </w:r>
      <w:r w:rsidR="00077C11">
        <w:t xml:space="preserve">member </w:t>
      </w:r>
      <w:r w:rsidR="00B0584A" w:rsidRPr="002C226B">
        <w:t>complete</w:t>
      </w:r>
      <w:r w:rsidR="00B0584A">
        <w:t xml:space="preserve"> this section</w:t>
      </w:r>
      <w:r w:rsidR="00077C11">
        <w:t>.</w:t>
      </w:r>
    </w:p>
    <w:p w14:paraId="7C5FB3B4" w14:textId="2E609323" w:rsidR="00B14ED2" w:rsidRDefault="00933E10" w:rsidP="00E11B30">
      <w:pPr>
        <w:rPr>
          <w:b/>
          <w:bCs/>
          <w:i/>
          <w:iCs/>
        </w:rPr>
      </w:pPr>
      <w:r>
        <w:rPr>
          <w:b/>
          <w:bCs/>
          <w:i/>
          <w:iCs/>
        </w:rPr>
        <w:t>Actions from Item 1:</w:t>
      </w:r>
    </w:p>
    <w:p w14:paraId="6183D291" w14:textId="0B66AE5D" w:rsidR="00F875A3" w:rsidRDefault="000B1840" w:rsidP="00F875A3">
      <w:pPr>
        <w:pStyle w:val="ListParagraph"/>
        <w:numPr>
          <w:ilvl w:val="0"/>
          <w:numId w:val="28"/>
        </w:numPr>
      </w:pPr>
      <w:r>
        <w:t xml:space="preserve">Secretariat </w:t>
      </w:r>
      <w:r w:rsidR="00F875A3">
        <w:t>to:</w:t>
      </w:r>
    </w:p>
    <w:p w14:paraId="1126151F" w14:textId="7D2A2413" w:rsidR="005C3AE4" w:rsidRDefault="00873DB3" w:rsidP="005D34AC">
      <w:pPr>
        <w:pStyle w:val="ListParagraph"/>
        <w:numPr>
          <w:ilvl w:val="1"/>
          <w:numId w:val="28"/>
        </w:numPr>
      </w:pPr>
      <w:r w:rsidRPr="002C226B">
        <w:t>Contact</w:t>
      </w:r>
      <w:r w:rsidR="00F875A3" w:rsidDel="00873DB3">
        <w:t xml:space="preserve"> </w:t>
      </w:r>
      <w:r w:rsidR="00F875A3">
        <w:t>IFCA and MMO representatives to consolidate the material in section 1.</w:t>
      </w:r>
    </w:p>
    <w:p w14:paraId="00BA3704" w14:textId="267DD8AC" w:rsidR="00F875A3" w:rsidRDefault="00873DB3" w:rsidP="005D34AC">
      <w:pPr>
        <w:pStyle w:val="ListParagraph"/>
        <w:numPr>
          <w:ilvl w:val="1"/>
          <w:numId w:val="28"/>
        </w:numPr>
      </w:pPr>
      <w:r w:rsidRPr="002C226B">
        <w:t>Contact</w:t>
      </w:r>
      <w:r w:rsidR="00B130D9" w:rsidDel="00873DB3">
        <w:t xml:space="preserve"> </w:t>
      </w:r>
      <w:r w:rsidR="00B130D9">
        <w:t xml:space="preserve">CMG members </w:t>
      </w:r>
      <w:r w:rsidR="000B1840" w:rsidRPr="002C226B">
        <w:t>for</w:t>
      </w:r>
      <w:r w:rsidR="00B130D9">
        <w:t xml:space="preserve"> text </w:t>
      </w:r>
      <w:r w:rsidR="000B1840">
        <w:t xml:space="preserve">on </w:t>
      </w:r>
      <w:r w:rsidR="00E90C9F">
        <w:t xml:space="preserve">Sections </w:t>
      </w:r>
      <w:r w:rsidR="00B130D9">
        <w:t>3 and 4.3.</w:t>
      </w:r>
    </w:p>
    <w:p w14:paraId="0F6535E4" w14:textId="44EE0E82" w:rsidR="00B130D9" w:rsidRDefault="00A153D1" w:rsidP="005D34AC">
      <w:pPr>
        <w:pStyle w:val="ListParagraph"/>
        <w:numPr>
          <w:ilvl w:val="1"/>
          <w:numId w:val="28"/>
        </w:numPr>
      </w:pPr>
      <w:r w:rsidRPr="002C226B">
        <w:t>Contact</w:t>
      </w:r>
      <w:r w:rsidR="00B130D9" w:rsidDel="00A153D1">
        <w:t xml:space="preserve"> </w:t>
      </w:r>
      <w:r w:rsidR="00B130D9">
        <w:t xml:space="preserve">industry members </w:t>
      </w:r>
      <w:r w:rsidR="000B1840" w:rsidRPr="002C226B">
        <w:t>f</w:t>
      </w:r>
      <w:r w:rsidR="00A25620" w:rsidRPr="002C226B">
        <w:t>o</w:t>
      </w:r>
      <w:r w:rsidR="000B1840" w:rsidRPr="002C226B">
        <w:t>r</w:t>
      </w:r>
      <w:r w:rsidR="000B1840">
        <w:t xml:space="preserve"> information on</w:t>
      </w:r>
      <w:r w:rsidR="00B130D9">
        <w:t xml:space="preserve"> other survey work</w:t>
      </w:r>
      <w:r w:rsidR="00696B8B">
        <w:t xml:space="preserve"> and research </w:t>
      </w:r>
      <w:r w:rsidR="00D83692" w:rsidRPr="002C226B">
        <w:t>underway</w:t>
      </w:r>
      <w:r w:rsidR="00696B8B">
        <w:t xml:space="preserve"> to add to </w:t>
      </w:r>
      <w:r w:rsidR="00661DD5">
        <w:t xml:space="preserve">Section </w:t>
      </w:r>
      <w:r w:rsidR="00696B8B">
        <w:t xml:space="preserve">6.3. and 6.4. </w:t>
      </w:r>
    </w:p>
    <w:p w14:paraId="64E3F956" w14:textId="7BAF6AC3" w:rsidR="00696B8B" w:rsidRDefault="00A153D1" w:rsidP="005D34AC">
      <w:pPr>
        <w:pStyle w:val="ListParagraph"/>
        <w:numPr>
          <w:ilvl w:val="1"/>
          <w:numId w:val="28"/>
        </w:numPr>
      </w:pPr>
      <w:r w:rsidRPr="002C226B">
        <w:t>Contact</w:t>
      </w:r>
      <w:r w:rsidR="00201FEF">
        <w:t xml:space="preserve"> IFCA representatives for information </w:t>
      </w:r>
      <w:r w:rsidR="008D7AD7">
        <w:t xml:space="preserve">on </w:t>
      </w:r>
      <w:r w:rsidR="00661DD5">
        <w:t xml:space="preserve">Section </w:t>
      </w:r>
      <w:r w:rsidR="00201FEF">
        <w:t>7.</w:t>
      </w:r>
    </w:p>
    <w:p w14:paraId="2203838E" w14:textId="139FBD5E" w:rsidR="00F875A3" w:rsidRDefault="00F875A3" w:rsidP="00F875A3">
      <w:pPr>
        <w:pStyle w:val="ListParagraph"/>
        <w:numPr>
          <w:ilvl w:val="0"/>
          <w:numId w:val="28"/>
        </w:numPr>
      </w:pPr>
      <w:r>
        <w:t xml:space="preserve">MJ to share </w:t>
      </w:r>
      <w:r w:rsidR="00661DD5">
        <w:t xml:space="preserve">Section </w:t>
      </w:r>
      <w:r>
        <w:t xml:space="preserve">2 text, on policy and governance, with </w:t>
      </w:r>
      <w:r w:rsidR="008D7AD7" w:rsidRPr="00442CA1">
        <w:t>Secretariat</w:t>
      </w:r>
      <w:r>
        <w:t xml:space="preserve">. </w:t>
      </w:r>
    </w:p>
    <w:p w14:paraId="72EB5431" w14:textId="77777777" w:rsidR="00201FEF" w:rsidRDefault="00201FEF" w:rsidP="00E11B30">
      <w:pPr>
        <w:rPr>
          <w:rFonts w:ascii="Verdana" w:hAnsi="Verdana"/>
          <w:b/>
          <w:bCs/>
        </w:rPr>
      </w:pPr>
    </w:p>
    <w:p w14:paraId="4C9BFB80" w14:textId="378D492A" w:rsidR="005A3320" w:rsidRDefault="00A616BA" w:rsidP="00E11B30">
      <w:pPr>
        <w:rPr>
          <w:rFonts w:ascii="Verdana" w:hAnsi="Verdana"/>
          <w:b/>
          <w:bCs/>
        </w:rPr>
      </w:pPr>
      <w:r w:rsidRPr="003B29F0">
        <w:rPr>
          <w:rFonts w:ascii="Verdana" w:hAnsi="Verdana"/>
          <w:b/>
          <w:bCs/>
        </w:rPr>
        <w:t xml:space="preserve">Agenda Item </w:t>
      </w:r>
      <w:r w:rsidR="003B29F0">
        <w:rPr>
          <w:rFonts w:ascii="Verdana" w:hAnsi="Verdana"/>
          <w:b/>
          <w:bCs/>
        </w:rPr>
        <w:t xml:space="preserve">2: </w:t>
      </w:r>
      <w:r w:rsidR="005A3320" w:rsidRPr="005A3320">
        <w:rPr>
          <w:rFonts w:ascii="Verdana" w:hAnsi="Verdana"/>
          <w:b/>
          <w:bCs/>
        </w:rPr>
        <w:t xml:space="preserve">Debrief from </w:t>
      </w:r>
      <w:r w:rsidR="00D268BD">
        <w:rPr>
          <w:rFonts w:ascii="Verdana" w:hAnsi="Verdana"/>
          <w:b/>
          <w:bCs/>
        </w:rPr>
        <w:t xml:space="preserve">Defra’s </w:t>
      </w:r>
      <w:r w:rsidR="005A3320" w:rsidRPr="005A3320">
        <w:rPr>
          <w:rFonts w:ascii="Verdana" w:hAnsi="Verdana"/>
          <w:b/>
          <w:bCs/>
        </w:rPr>
        <w:t xml:space="preserve">Western Waters workshop </w:t>
      </w:r>
    </w:p>
    <w:p w14:paraId="66BF66B7" w14:textId="5D3E97C6" w:rsidR="00186951" w:rsidRDefault="004E702E" w:rsidP="00E11B30">
      <w:r w:rsidRPr="00442CA1">
        <w:t xml:space="preserve">FIP </w:t>
      </w:r>
      <w:r>
        <w:t>Steering Group</w:t>
      </w:r>
      <w:r w:rsidR="005A3320">
        <w:t xml:space="preserve"> members </w:t>
      </w:r>
      <w:r>
        <w:t xml:space="preserve">were invited to attend </w:t>
      </w:r>
      <w:r w:rsidR="005A3320">
        <w:t>the</w:t>
      </w:r>
      <w:r w:rsidR="00D268BD">
        <w:t xml:space="preserve"> Defra-led </w:t>
      </w:r>
      <w:r w:rsidR="005A3320">
        <w:t xml:space="preserve">Western Waters </w:t>
      </w:r>
      <w:r w:rsidR="00235BAF">
        <w:t xml:space="preserve">workshop </w:t>
      </w:r>
      <w:r w:rsidR="00C96B84" w:rsidRPr="00442CA1">
        <w:t>on</w:t>
      </w:r>
      <w:r w:rsidR="00E67D74">
        <w:t xml:space="preserve"> </w:t>
      </w:r>
      <w:r w:rsidR="00C96B84" w:rsidRPr="00442CA1">
        <w:t>13</w:t>
      </w:r>
      <w:r w:rsidR="00C96B84" w:rsidRPr="00E67D74">
        <w:rPr>
          <w:vertAlign w:val="superscript"/>
        </w:rPr>
        <w:t>th</w:t>
      </w:r>
      <w:r w:rsidR="00C96B84">
        <w:t xml:space="preserve"> October, </w:t>
      </w:r>
      <w:r w:rsidR="00235BAF" w:rsidRPr="00442CA1">
        <w:t>and CP</w:t>
      </w:r>
      <w:r w:rsidR="00235BAF" w:rsidDel="00C96B84">
        <w:t xml:space="preserve"> </w:t>
      </w:r>
      <w:r w:rsidR="001A1E57">
        <w:t xml:space="preserve">and MJ </w:t>
      </w:r>
      <w:r w:rsidR="00235BAF">
        <w:t>provide</w:t>
      </w:r>
      <w:r w:rsidR="00C96B84">
        <w:t>d</w:t>
      </w:r>
      <w:r w:rsidR="00235BAF">
        <w:t xml:space="preserve"> an update </w:t>
      </w:r>
      <w:r w:rsidR="00ED5045">
        <w:t xml:space="preserve">for </w:t>
      </w:r>
      <w:r w:rsidR="001A1E57">
        <w:t>those</w:t>
      </w:r>
      <w:r w:rsidR="004E6E76">
        <w:t xml:space="preserve"> not able to attend</w:t>
      </w:r>
      <w:r w:rsidR="00D23C96">
        <w:t>.</w:t>
      </w:r>
    </w:p>
    <w:p w14:paraId="173DBB9F" w14:textId="702B0F5D" w:rsidR="00D23C96" w:rsidRDefault="00F30E06" w:rsidP="00E11B30">
      <w:r>
        <w:t>Feedback</w:t>
      </w:r>
      <w:r w:rsidR="00F74635">
        <w:t xml:space="preserve"> </w:t>
      </w:r>
      <w:r w:rsidR="008E7EFB">
        <w:t xml:space="preserve">from industry on </w:t>
      </w:r>
      <w:r w:rsidR="00F74635">
        <w:t xml:space="preserve">Western </w:t>
      </w:r>
      <w:r w:rsidR="001C0A40">
        <w:t xml:space="preserve">Waters Effort </w:t>
      </w:r>
      <w:r w:rsidR="001C0A40" w:rsidRPr="00442CA1">
        <w:t>R</w:t>
      </w:r>
      <w:r w:rsidR="00F74635" w:rsidRPr="00442CA1">
        <w:t>egime</w:t>
      </w:r>
      <w:r>
        <w:t>:</w:t>
      </w:r>
    </w:p>
    <w:p w14:paraId="03BBFF00" w14:textId="0D48EAC3" w:rsidR="00F30E06" w:rsidRDefault="00C8456E" w:rsidP="00F30E06">
      <w:pPr>
        <w:pStyle w:val="ListParagraph"/>
        <w:numPr>
          <w:ilvl w:val="0"/>
          <w:numId w:val="20"/>
        </w:numPr>
      </w:pPr>
      <w:r>
        <w:t>T</w:t>
      </w:r>
      <w:r w:rsidR="00F30E06">
        <w:t xml:space="preserve">here </w:t>
      </w:r>
      <w:r w:rsidR="00EF2A19">
        <w:t>may be</w:t>
      </w:r>
      <w:r w:rsidR="00F30E06">
        <w:t xml:space="preserve"> more effective ways to manage a static </w:t>
      </w:r>
      <w:r w:rsidR="00227644">
        <w:t xml:space="preserve">gear </w:t>
      </w:r>
      <w:r w:rsidR="00F30E06">
        <w:t xml:space="preserve">fishery </w:t>
      </w:r>
      <w:r w:rsidR="00DB2599">
        <w:t xml:space="preserve">than </w:t>
      </w:r>
      <w:r w:rsidR="00F30E06">
        <w:t>days at sea.</w:t>
      </w:r>
    </w:p>
    <w:p w14:paraId="0D8037B8" w14:textId="58109B88" w:rsidR="00F30E06" w:rsidRDefault="00176F15" w:rsidP="00F30E06">
      <w:pPr>
        <w:pStyle w:val="ListParagraph"/>
        <w:numPr>
          <w:ilvl w:val="0"/>
          <w:numId w:val="20"/>
        </w:numPr>
      </w:pPr>
      <w:r>
        <w:t>The current regulations don’t provide a cap on the potential for increasing pressure, such as through pot numbers</w:t>
      </w:r>
      <w:r w:rsidR="00A27884">
        <w:t>.</w:t>
      </w:r>
    </w:p>
    <w:p w14:paraId="102B877A" w14:textId="406EA7A6" w:rsidR="00A27884" w:rsidRDefault="00A27884" w:rsidP="00F30E06">
      <w:pPr>
        <w:pStyle w:val="ListParagraph"/>
        <w:numPr>
          <w:ilvl w:val="0"/>
          <w:numId w:val="20"/>
        </w:numPr>
      </w:pPr>
      <w:r>
        <w:t xml:space="preserve">Current management </w:t>
      </w:r>
      <w:r w:rsidR="00A978B2">
        <w:t xml:space="preserve">is </w:t>
      </w:r>
      <w:r>
        <w:t xml:space="preserve">based on previous fishing activity and not </w:t>
      </w:r>
      <w:r w:rsidR="0015447F">
        <w:t xml:space="preserve">on evidence of stock status. </w:t>
      </w:r>
    </w:p>
    <w:p w14:paraId="08C6135A" w14:textId="2D362C96" w:rsidR="00176F15" w:rsidRDefault="001A1891" w:rsidP="00F30E06">
      <w:pPr>
        <w:pStyle w:val="ListParagraph"/>
        <w:numPr>
          <w:ilvl w:val="0"/>
          <w:numId w:val="20"/>
        </w:numPr>
      </w:pPr>
      <w:r>
        <w:t xml:space="preserve">Current regulatory framework does not </w:t>
      </w:r>
      <w:r w:rsidR="00EF2A19">
        <w:t xml:space="preserve">provide regulatory </w:t>
      </w:r>
      <w:r w:rsidR="00C63BDE">
        <w:t xml:space="preserve">cover </w:t>
      </w:r>
      <w:r w:rsidR="00227644">
        <w:t xml:space="preserve">for </w:t>
      </w:r>
      <w:r w:rsidR="00C63BDE">
        <w:t xml:space="preserve">all </w:t>
      </w:r>
      <w:r w:rsidR="00227644">
        <w:t xml:space="preserve">sea </w:t>
      </w:r>
      <w:r w:rsidR="00C63BDE">
        <w:t>areas</w:t>
      </w:r>
    </w:p>
    <w:p w14:paraId="38124029" w14:textId="77777777" w:rsidR="008541D0" w:rsidRDefault="008541D0" w:rsidP="007A256A"/>
    <w:p w14:paraId="7F3E032C" w14:textId="6AE39684" w:rsidR="007A256A" w:rsidRDefault="00437500" w:rsidP="007A256A">
      <w:r>
        <w:t>Current situation for management:</w:t>
      </w:r>
    </w:p>
    <w:p w14:paraId="38AFF1E9" w14:textId="2C0B4A71" w:rsidR="00437500" w:rsidRDefault="00437500" w:rsidP="00437500">
      <w:pPr>
        <w:pStyle w:val="ListParagraph"/>
        <w:numPr>
          <w:ilvl w:val="0"/>
          <w:numId w:val="21"/>
        </w:numPr>
      </w:pPr>
      <w:r>
        <w:t xml:space="preserve">Most shellfisheries are classed as ‘data poor’ </w:t>
      </w:r>
      <w:r w:rsidR="003C4B2F">
        <w:t>especially when compared to quota species.</w:t>
      </w:r>
    </w:p>
    <w:p w14:paraId="48339323" w14:textId="7763DA7E" w:rsidR="003C4B2F" w:rsidRDefault="00B826D1" w:rsidP="00437500">
      <w:pPr>
        <w:pStyle w:val="ListParagraph"/>
        <w:numPr>
          <w:ilvl w:val="0"/>
          <w:numId w:val="21"/>
        </w:numPr>
      </w:pPr>
      <w:r>
        <w:t>There is a lack of available, comprehensive</w:t>
      </w:r>
      <w:r w:rsidR="00EF2A19">
        <w:t xml:space="preserve"> </w:t>
      </w:r>
      <w:r>
        <w:t>evidence</w:t>
      </w:r>
      <w:r w:rsidR="00362F93">
        <w:t>-</w:t>
      </w:r>
      <w:r>
        <w:t>base</w:t>
      </w:r>
      <w:r w:rsidR="00EF2A19">
        <w:t xml:space="preserve"> </w:t>
      </w:r>
      <w:r w:rsidR="00C35F36">
        <w:t xml:space="preserve">to inform </w:t>
      </w:r>
      <w:r w:rsidR="00201FEF">
        <w:t>science-based</w:t>
      </w:r>
      <w:r w:rsidR="00C35F36">
        <w:t xml:space="preserve"> management. </w:t>
      </w:r>
    </w:p>
    <w:p w14:paraId="77B7518B" w14:textId="066901FD" w:rsidR="00B826D1" w:rsidRDefault="00C35F36" w:rsidP="00437500">
      <w:pPr>
        <w:pStyle w:val="ListParagraph"/>
        <w:numPr>
          <w:ilvl w:val="0"/>
          <w:numId w:val="21"/>
        </w:numPr>
      </w:pPr>
      <w:r>
        <w:t xml:space="preserve">Western Waters </w:t>
      </w:r>
      <w:r w:rsidR="00A978B2">
        <w:t xml:space="preserve">Effort Regime </w:t>
      </w:r>
      <w:r>
        <w:t xml:space="preserve">is the only national management measure in place to regulate fishing activity </w:t>
      </w:r>
      <w:r w:rsidR="00EB5A5B">
        <w:t>for some of the species it covers.</w:t>
      </w:r>
    </w:p>
    <w:p w14:paraId="057E015C" w14:textId="12AA03D9" w:rsidR="00EF2A19" w:rsidRDefault="00EF2A19" w:rsidP="00437500">
      <w:pPr>
        <w:pStyle w:val="ListParagraph"/>
        <w:numPr>
          <w:ilvl w:val="0"/>
          <w:numId w:val="21"/>
        </w:numPr>
      </w:pPr>
      <w:r w:rsidRPr="00EF2A19">
        <w:t>Future domestic management should be developed alongside EU/UK Trade and Cooperation Agreement implementation</w:t>
      </w:r>
    </w:p>
    <w:p w14:paraId="4BD91604" w14:textId="7A80C3B6" w:rsidR="009A0265" w:rsidRDefault="009A0265" w:rsidP="009A0265">
      <w:r>
        <w:t>Cefas</w:t>
      </w:r>
      <w:r w:rsidR="000A1471">
        <w:t>’</w:t>
      </w:r>
      <w:r>
        <w:t xml:space="preserve"> </w:t>
      </w:r>
      <w:r w:rsidR="000A1471">
        <w:t xml:space="preserve">Western Waters Alternatives </w:t>
      </w:r>
      <w:r>
        <w:t>report</w:t>
      </w:r>
      <w:r w:rsidR="001E763D">
        <w:t>s</w:t>
      </w:r>
      <w:r>
        <w:t>:</w:t>
      </w:r>
    </w:p>
    <w:p w14:paraId="0062EE61" w14:textId="4CC20A62" w:rsidR="009A0265" w:rsidRDefault="004612F3" w:rsidP="00220B2A">
      <w:pPr>
        <w:pStyle w:val="ListParagraph"/>
        <w:numPr>
          <w:ilvl w:val="0"/>
          <w:numId w:val="22"/>
        </w:numPr>
      </w:pPr>
      <w:r>
        <w:t xml:space="preserve">Defra commissioned </w:t>
      </w:r>
      <w:r w:rsidR="00220B2A">
        <w:t>Cefas</w:t>
      </w:r>
      <w:r>
        <w:t xml:space="preserve"> to</w:t>
      </w:r>
      <w:r w:rsidR="00220B2A">
        <w:t xml:space="preserve"> review </w:t>
      </w:r>
      <w:r w:rsidR="00066B18">
        <w:t xml:space="preserve">global </w:t>
      </w:r>
      <w:r w:rsidR="00220B2A">
        <w:t xml:space="preserve">best </w:t>
      </w:r>
      <w:r w:rsidR="003F6DFB">
        <w:t xml:space="preserve">practice </w:t>
      </w:r>
      <w:r w:rsidR="00066B18">
        <w:t xml:space="preserve">for </w:t>
      </w:r>
      <w:r w:rsidR="00220B2A" w:rsidRPr="00442CA1">
        <w:t>shellfish</w:t>
      </w:r>
      <w:r w:rsidR="00A25620" w:rsidRPr="00442CA1">
        <w:t>eries</w:t>
      </w:r>
      <w:r w:rsidR="00066B18">
        <w:t xml:space="preserve"> </w:t>
      </w:r>
      <w:r w:rsidR="00066B18" w:rsidRPr="007A46E8">
        <w:t>management</w:t>
      </w:r>
    </w:p>
    <w:p w14:paraId="0D7FDE2F" w14:textId="6BEE02B5" w:rsidR="006021C3" w:rsidRDefault="006021C3" w:rsidP="00220B2A">
      <w:pPr>
        <w:pStyle w:val="ListParagraph"/>
        <w:numPr>
          <w:ilvl w:val="0"/>
          <w:numId w:val="22"/>
        </w:numPr>
      </w:pPr>
      <w:r>
        <w:t>The report looked at 11 fisheries</w:t>
      </w:r>
      <w:r w:rsidR="001E763D">
        <w:t xml:space="preserve">, the majority </w:t>
      </w:r>
      <w:r w:rsidR="00754BBB">
        <w:t xml:space="preserve">of which were </w:t>
      </w:r>
      <w:r w:rsidR="001E763D">
        <w:t>MSC certified.</w:t>
      </w:r>
    </w:p>
    <w:p w14:paraId="71B79318" w14:textId="6A16133D" w:rsidR="001E763D" w:rsidRDefault="001E763D" w:rsidP="00220B2A">
      <w:pPr>
        <w:pStyle w:val="ListParagraph"/>
        <w:numPr>
          <w:ilvl w:val="0"/>
          <w:numId w:val="22"/>
        </w:numPr>
      </w:pPr>
      <w:r w:rsidRPr="00E67D74">
        <w:t>All report</w:t>
      </w:r>
      <w:r w:rsidR="00FF31DD" w:rsidRPr="00E67D74">
        <w:t>s are</w:t>
      </w:r>
      <w:r w:rsidRPr="00E67D74">
        <w:t xml:space="preserve"> available on the </w:t>
      </w:r>
      <w:hyperlink r:id="rId13" w:history="1">
        <w:r w:rsidR="00B14E2C" w:rsidRPr="00C01344">
          <w:rPr>
            <w:rStyle w:val="Hyperlink"/>
          </w:rPr>
          <w:t xml:space="preserve">Defra science </w:t>
        </w:r>
        <w:r w:rsidR="00417F22" w:rsidRPr="00C01344">
          <w:rPr>
            <w:rStyle w:val="Hyperlink"/>
          </w:rPr>
          <w:t>web</w:t>
        </w:r>
        <w:r w:rsidR="00B14E2C" w:rsidRPr="00C01344">
          <w:rPr>
            <w:rStyle w:val="Hyperlink"/>
          </w:rPr>
          <w:t>site</w:t>
        </w:r>
        <w:r w:rsidR="003039EA">
          <w:rPr>
            <w:rStyle w:val="FootnoteReference"/>
            <w:color w:val="0000FF"/>
            <w:u w:val="single"/>
          </w:rPr>
          <w:footnoteReference w:id="2"/>
        </w:r>
        <w:r w:rsidR="00B14E2C" w:rsidRPr="00C01344">
          <w:rPr>
            <w:rStyle w:val="Hyperlink"/>
          </w:rPr>
          <w:t>.</w:t>
        </w:r>
      </w:hyperlink>
    </w:p>
    <w:p w14:paraId="2A62EDD8" w14:textId="4C0D0697" w:rsidR="007D220B" w:rsidRDefault="00417F22" w:rsidP="00220B2A">
      <w:pPr>
        <w:pStyle w:val="ListParagraph"/>
        <w:numPr>
          <w:ilvl w:val="0"/>
          <w:numId w:val="22"/>
        </w:numPr>
      </w:pPr>
      <w:r>
        <w:t xml:space="preserve">Management </w:t>
      </w:r>
      <w:r w:rsidRPr="00A35BA6">
        <w:t>e</w:t>
      </w:r>
      <w:r w:rsidR="007D220B" w:rsidRPr="00263064">
        <w:t>xamples</w:t>
      </w:r>
      <w:r w:rsidR="007D220B">
        <w:t xml:space="preserve"> Cefas </w:t>
      </w:r>
      <w:r w:rsidR="00EE3AB0" w:rsidRPr="00263064">
        <w:t>considered</w:t>
      </w:r>
      <w:r w:rsidR="007D220B">
        <w:t xml:space="preserve"> for crab </w:t>
      </w:r>
      <w:r w:rsidR="007F1ED7">
        <w:t xml:space="preserve">and lobster </w:t>
      </w:r>
      <w:r w:rsidR="007D220B">
        <w:t>were</w:t>
      </w:r>
      <w:r w:rsidR="005474BC">
        <w:t>:</w:t>
      </w:r>
    </w:p>
    <w:p w14:paraId="50B4F5B2" w14:textId="2E0A6E94" w:rsidR="005474BC" w:rsidRDefault="009A14FD" w:rsidP="005474BC">
      <w:pPr>
        <w:pStyle w:val="ListParagraph"/>
        <w:numPr>
          <w:ilvl w:val="1"/>
          <w:numId w:val="22"/>
        </w:numPr>
      </w:pPr>
      <w:r>
        <w:t xml:space="preserve">The </w:t>
      </w:r>
      <w:r w:rsidR="005474BC">
        <w:t>3S approach: Size, Sex, Season</w:t>
      </w:r>
    </w:p>
    <w:p w14:paraId="11DADAAF" w14:textId="5FE01BF5" w:rsidR="005474BC" w:rsidRDefault="005474BC" w:rsidP="00042C92">
      <w:pPr>
        <w:pStyle w:val="ListParagraph"/>
        <w:numPr>
          <w:ilvl w:val="2"/>
          <w:numId w:val="22"/>
        </w:numPr>
      </w:pPr>
      <w:r>
        <w:t>Size: Maintain and adapt current size limits (</w:t>
      </w:r>
      <w:r w:rsidR="006B7107">
        <w:t xml:space="preserve">minimum landing size, </w:t>
      </w:r>
      <w:r>
        <w:t>MLS)</w:t>
      </w:r>
    </w:p>
    <w:p w14:paraId="5AB25D4C" w14:textId="0FB55BE0" w:rsidR="005474BC" w:rsidRDefault="007F1ED7" w:rsidP="00042C92">
      <w:pPr>
        <w:pStyle w:val="ListParagraph"/>
        <w:numPr>
          <w:ilvl w:val="2"/>
          <w:numId w:val="22"/>
        </w:numPr>
      </w:pPr>
      <w:r>
        <w:t>Sex: Continue ban on landing berried females</w:t>
      </w:r>
    </w:p>
    <w:p w14:paraId="0B09F4F5" w14:textId="221E070C" w:rsidR="005A2A11" w:rsidRDefault="007F1ED7" w:rsidP="00042C92">
      <w:pPr>
        <w:pStyle w:val="ListParagraph"/>
        <w:numPr>
          <w:ilvl w:val="2"/>
          <w:numId w:val="22"/>
        </w:numPr>
      </w:pPr>
      <w:r>
        <w:t xml:space="preserve">Season: </w:t>
      </w:r>
      <w:r w:rsidR="00412B7B">
        <w:t xml:space="preserve">Introduce </w:t>
      </w:r>
      <w:r>
        <w:t>the option for seasonal closures</w:t>
      </w:r>
      <w:r w:rsidR="00417610">
        <w:t>. These would require reliable stock indicators and ongoing</w:t>
      </w:r>
      <w:r w:rsidR="005A2A11">
        <w:t xml:space="preserve"> monitoring the stock.</w:t>
      </w:r>
    </w:p>
    <w:p w14:paraId="75011A0B" w14:textId="725FD151" w:rsidR="00EF0947" w:rsidRDefault="00EF0947" w:rsidP="00471ECD">
      <w:pPr>
        <w:pStyle w:val="ListParagraph"/>
        <w:numPr>
          <w:ilvl w:val="1"/>
          <w:numId w:val="22"/>
        </w:numPr>
      </w:pPr>
      <w:r>
        <w:t>Total Allowable Catch (TAC) limits. Setting these would require improved data collection on both catch and effort</w:t>
      </w:r>
    </w:p>
    <w:p w14:paraId="60EE17D2" w14:textId="30269F83" w:rsidR="00EF0947" w:rsidRDefault="00EF0947" w:rsidP="00471ECD">
      <w:pPr>
        <w:pStyle w:val="ListParagraph"/>
        <w:numPr>
          <w:ilvl w:val="1"/>
          <w:numId w:val="22"/>
        </w:numPr>
      </w:pPr>
      <w:r>
        <w:t>The continuation of effort management – possibly through measures such as pot limitations. Continuing days at sea is also an option here if supported</w:t>
      </w:r>
    </w:p>
    <w:p w14:paraId="1C56B7C9" w14:textId="782660F2" w:rsidR="009830D7" w:rsidRDefault="00EE3AB0" w:rsidP="00B576FA">
      <w:r w:rsidRPr="00E67D74">
        <w:t>S</w:t>
      </w:r>
      <w:r w:rsidR="005A2A11" w:rsidRPr="00E67D74">
        <w:t>ize</w:t>
      </w:r>
      <w:r w:rsidR="005A2A11">
        <w:t xml:space="preserve"> limits and limits on harvesting </w:t>
      </w:r>
      <w:r w:rsidR="002A26EA">
        <w:t>berried and moulting individuals are used globally; and seasonal closures are more common as a management measure than catch limits.</w:t>
      </w:r>
    </w:p>
    <w:p w14:paraId="52A2CD6E" w14:textId="20C0C110" w:rsidR="000865AE" w:rsidDel="00547D41" w:rsidRDefault="000865AE" w:rsidP="00B576FA">
      <w:r>
        <w:t>Defra is seeking feedback on the following questions</w:t>
      </w:r>
    </w:p>
    <w:p w14:paraId="62F05D28" w14:textId="23A79D19" w:rsidR="00E11B30" w:rsidRDefault="00E11B30" w:rsidP="0040434E">
      <w:pPr>
        <w:pStyle w:val="ListParagraph"/>
        <w:numPr>
          <w:ilvl w:val="0"/>
          <w:numId w:val="23"/>
        </w:numPr>
      </w:pPr>
      <w:r>
        <w:t>How do you feel about days at sea effort management, would you like to see this retained/ adjusted to some degree?</w:t>
      </w:r>
    </w:p>
    <w:p w14:paraId="4819F4FF" w14:textId="5E3E3D27" w:rsidR="00E11B30" w:rsidRDefault="00E11B30" w:rsidP="00E11B30">
      <w:pPr>
        <w:pStyle w:val="ListParagraph"/>
        <w:numPr>
          <w:ilvl w:val="0"/>
          <w:numId w:val="23"/>
        </w:numPr>
      </w:pPr>
      <w:r>
        <w:t>How do you feel about the international examples presented? Do you think these would/ wouldn’t work well to manage crab fisheries in the UK?</w:t>
      </w:r>
    </w:p>
    <w:p w14:paraId="6270DF6A" w14:textId="1246F3F9" w:rsidR="00E11B30" w:rsidRDefault="00E11B30" w:rsidP="00E11B30">
      <w:pPr>
        <w:pStyle w:val="ListParagraph"/>
        <w:numPr>
          <w:ilvl w:val="0"/>
          <w:numId w:val="23"/>
        </w:numPr>
      </w:pPr>
      <w:r>
        <w:t>Is there a stand</w:t>
      </w:r>
      <w:r w:rsidR="009A5FFB">
        <w:t>-</w:t>
      </w:r>
      <w:r>
        <w:t>out option that you prefer for moving forwards</w:t>
      </w:r>
      <w:r w:rsidR="0040434E">
        <w:t>?</w:t>
      </w:r>
    </w:p>
    <w:p w14:paraId="39AE9FC1" w14:textId="11E1D3C7" w:rsidR="00E11B30" w:rsidRDefault="00E11B30" w:rsidP="00E11B30">
      <w:pPr>
        <w:pStyle w:val="ListParagraph"/>
        <w:numPr>
          <w:ilvl w:val="0"/>
          <w:numId w:val="23"/>
        </w:numPr>
      </w:pPr>
      <w:r>
        <w:t>Do you think there are any considerations that we have been missed?</w:t>
      </w:r>
    </w:p>
    <w:p w14:paraId="539CA48D" w14:textId="28CFB873" w:rsidR="00BC5AE8" w:rsidRDefault="00404856" w:rsidP="00547D41">
      <w:r>
        <w:t>R</w:t>
      </w:r>
      <w:r w:rsidR="0040434E">
        <w:t>esponse</w:t>
      </w:r>
      <w:r>
        <w:t>s</w:t>
      </w:r>
      <w:r w:rsidR="0040434E">
        <w:t xml:space="preserve"> should be sent to</w:t>
      </w:r>
      <w:r w:rsidR="00AC6F59">
        <w:t xml:space="preserve"> </w:t>
      </w:r>
      <w:r w:rsidR="00963450" w:rsidRPr="00566676">
        <w:t>shellfish@defra.gov.uk</w:t>
      </w:r>
      <w:r w:rsidR="00FF54F2">
        <w:t xml:space="preserve">. </w:t>
      </w:r>
      <w:r w:rsidR="0040434E">
        <w:t>MJ said there would</w:t>
      </w:r>
      <w:r w:rsidR="00227644">
        <w:t xml:space="preserve"> be continued engagement with industry on the future of WW, and there will</w:t>
      </w:r>
      <w:r w:rsidR="0040434E">
        <w:t xml:space="preserve"> likely be </w:t>
      </w:r>
      <w:r w:rsidR="00963450">
        <w:t xml:space="preserve">further </w:t>
      </w:r>
      <w:r w:rsidR="0040434E">
        <w:t xml:space="preserve">workshops </w:t>
      </w:r>
      <w:r w:rsidR="00DE6EA3" w:rsidRPr="00C01344">
        <w:t>based</w:t>
      </w:r>
      <w:r w:rsidR="00DE6EA3">
        <w:t xml:space="preserve"> on the</w:t>
      </w:r>
      <w:r w:rsidR="003C7734">
        <w:t xml:space="preserve"> responses to the questions</w:t>
      </w:r>
      <w:r w:rsidR="00B4592F">
        <w:t xml:space="preserve"> </w:t>
      </w:r>
      <w:r w:rsidR="00122D3A">
        <w:t>involving the scallop and demersal sectors also covered by the regime.</w:t>
      </w:r>
      <w:r w:rsidR="003C7734">
        <w:t xml:space="preserve"> </w:t>
      </w:r>
    </w:p>
    <w:p w14:paraId="4717F468" w14:textId="47E2672A" w:rsidR="00547D41" w:rsidRPr="00FD07C9" w:rsidRDefault="00547D41" w:rsidP="00547D41">
      <w:pPr>
        <w:rPr>
          <w:i/>
          <w:iCs/>
        </w:rPr>
      </w:pPr>
      <w:r w:rsidRPr="00FD07C9">
        <w:rPr>
          <w:i/>
          <w:iCs/>
        </w:rPr>
        <w:lastRenderedPageBreak/>
        <w:t>Discussion:</w:t>
      </w:r>
    </w:p>
    <w:p w14:paraId="3B1D8689" w14:textId="0DB0AA5D" w:rsidR="00E11B30" w:rsidRDefault="00FA5AA6" w:rsidP="00E11B30">
      <w:r>
        <w:t xml:space="preserve">When asked about </w:t>
      </w:r>
      <w:r w:rsidR="003F1656">
        <w:t xml:space="preserve">management measures, </w:t>
      </w:r>
      <w:r w:rsidR="00042BA9">
        <w:t xml:space="preserve">MJ said </w:t>
      </w:r>
      <w:r w:rsidR="00DE6EA3">
        <w:t>that input and output controls were discussed during the workshop</w:t>
      </w:r>
      <w:r w:rsidR="00042BA9" w:rsidRPr="007A46E8">
        <w:t>.</w:t>
      </w:r>
      <w:r w:rsidR="00042BA9">
        <w:t xml:space="preserve"> </w:t>
      </w:r>
      <w:r w:rsidR="008A5660">
        <w:t>T</w:t>
      </w:r>
      <w:r w:rsidR="00330223">
        <w:t>he use of t</w:t>
      </w:r>
      <w:r w:rsidR="00042BA9">
        <w:t xml:space="preserve">otal allowable catch (TAC) </w:t>
      </w:r>
      <w:r w:rsidR="00330223">
        <w:t xml:space="preserve">as a control mechanism was </w:t>
      </w:r>
      <w:r w:rsidR="00F42CDB">
        <w:t>discussed</w:t>
      </w:r>
      <w:r w:rsidR="00042BA9">
        <w:t xml:space="preserve"> but </w:t>
      </w:r>
      <w:r w:rsidR="00D06BC0">
        <w:t xml:space="preserve">concerns were raised </w:t>
      </w:r>
      <w:r w:rsidR="000B7AC2">
        <w:t>ar</w:t>
      </w:r>
      <w:r w:rsidR="002D1276">
        <w:t xml:space="preserve">ound </w:t>
      </w:r>
      <w:r w:rsidR="002D1276" w:rsidRPr="007A46E8">
        <w:t>how</w:t>
      </w:r>
      <w:r w:rsidR="00042BA9">
        <w:t xml:space="preserve"> to set </w:t>
      </w:r>
      <w:r w:rsidR="00611A49">
        <w:t>appropriate</w:t>
      </w:r>
      <w:r w:rsidR="00042BA9">
        <w:t xml:space="preserve"> TAC </w:t>
      </w:r>
      <w:r w:rsidR="00611A49">
        <w:t xml:space="preserve">with the limited stock assessments that </w:t>
      </w:r>
      <w:r w:rsidR="002D1276">
        <w:t xml:space="preserve">are </w:t>
      </w:r>
      <w:r w:rsidR="00611A49">
        <w:t xml:space="preserve">available. </w:t>
      </w:r>
      <w:r w:rsidR="00E4445B">
        <w:t>The continuation of D</w:t>
      </w:r>
      <w:r w:rsidR="00611A49">
        <w:t>ays at Sea was also discussed</w:t>
      </w:r>
      <w:r w:rsidR="00E4445B">
        <w:t xml:space="preserve">, with some </w:t>
      </w:r>
      <w:r w:rsidR="002D1276">
        <w:t>stakeholders</w:t>
      </w:r>
      <w:r w:rsidR="00E4445B">
        <w:t xml:space="preserve"> keen to adhere to that management approach but there was no consensus</w:t>
      </w:r>
      <w:r w:rsidR="006A619A">
        <w:t xml:space="preserve">. Pot limits were also discussed but it was considered that enforcement would be difficult due to the resource demands it would place on the MMO. </w:t>
      </w:r>
    </w:p>
    <w:p w14:paraId="696A7871" w14:textId="7A9A535A" w:rsidR="00921641" w:rsidRDefault="00921641" w:rsidP="00E11B30">
      <w:r>
        <w:t xml:space="preserve">BP </w:t>
      </w:r>
      <w:r w:rsidR="001B6B4D" w:rsidRPr="00442CA1">
        <w:t>welcomed</w:t>
      </w:r>
      <w:r>
        <w:t xml:space="preserve"> Defra</w:t>
      </w:r>
      <w:r w:rsidR="001B6B4D">
        <w:t>’s</w:t>
      </w:r>
      <w:r>
        <w:t xml:space="preserve"> </w:t>
      </w:r>
      <w:r w:rsidR="001B6B4D">
        <w:t>consideration</w:t>
      </w:r>
      <w:r w:rsidR="002C2D68">
        <w:t xml:space="preserve"> of management</w:t>
      </w:r>
      <w:r w:rsidR="001B6B4D">
        <w:t xml:space="preserve"> </w:t>
      </w:r>
      <w:r>
        <w:t xml:space="preserve">proposals </w:t>
      </w:r>
      <w:r w:rsidR="002C2D68">
        <w:t xml:space="preserve">but </w:t>
      </w:r>
      <w:r w:rsidR="0049629A">
        <w:t xml:space="preserve">felt frustrated that </w:t>
      </w:r>
      <w:r w:rsidR="00F21F34">
        <w:t xml:space="preserve">it was a review of issues already </w:t>
      </w:r>
      <w:r w:rsidR="002C2D68">
        <w:t xml:space="preserve">raised </w:t>
      </w:r>
      <w:r w:rsidR="00F21F34">
        <w:t xml:space="preserve">over the past 10-15 years. BP believed there were already a number of useful reports that had been provided to government </w:t>
      </w:r>
      <w:r w:rsidR="00632A97">
        <w:t>and industry</w:t>
      </w:r>
      <w:r w:rsidR="00632A97" w:rsidRPr="007A46E8">
        <w:t xml:space="preserve"> </w:t>
      </w:r>
      <w:r w:rsidR="005D0D98" w:rsidRPr="00C01344">
        <w:t>members she had spoken to</w:t>
      </w:r>
      <w:r w:rsidR="00632A97">
        <w:t xml:space="preserve"> felt that this was another exercise that might not </w:t>
      </w:r>
      <w:r w:rsidR="009429F8" w:rsidRPr="00442CA1">
        <w:t>deliver</w:t>
      </w:r>
      <w:r w:rsidR="009429F8">
        <w:t xml:space="preserve"> the necessary management for the fishery</w:t>
      </w:r>
      <w:r w:rsidR="00632A97">
        <w:t xml:space="preserve">. </w:t>
      </w:r>
    </w:p>
    <w:p w14:paraId="6D8FDA0D" w14:textId="77777777" w:rsidR="003C0C70" w:rsidRDefault="003C0C70" w:rsidP="003C0C70">
      <w:r>
        <w:t>BP also suggested drafting a document to clarify</w:t>
      </w:r>
      <w:r w:rsidDel="00063FCA">
        <w:t xml:space="preserve"> </w:t>
      </w:r>
      <w:r>
        <w:t xml:space="preserve">how all the different working groups align, for example how the Western Waters group links in with the Future of Inshore Management group. Until this is addressed, BP felt fishermen would continue to </w:t>
      </w:r>
      <w:r w:rsidRPr="007A46E8">
        <w:t>feel</w:t>
      </w:r>
      <w:r>
        <w:t xml:space="preserve"> side-lined by the whole process. </w:t>
      </w:r>
    </w:p>
    <w:p w14:paraId="2D478E80" w14:textId="01272CC7" w:rsidR="001D1819" w:rsidRPr="001E33BE" w:rsidRDefault="001D1819" w:rsidP="00844590">
      <w:pPr>
        <w:rPr>
          <w:i/>
          <w:iCs/>
        </w:rPr>
      </w:pPr>
      <w:r w:rsidRPr="001E33BE">
        <w:rPr>
          <w:i/>
          <w:iCs/>
        </w:rPr>
        <w:t>Alignment with the FIP</w:t>
      </w:r>
      <w:r w:rsidR="001A11D1" w:rsidRPr="001E33BE">
        <w:rPr>
          <w:i/>
          <w:iCs/>
        </w:rPr>
        <w:t>:</w:t>
      </w:r>
    </w:p>
    <w:p w14:paraId="0030B73D" w14:textId="42366901" w:rsidR="001B4202" w:rsidRDefault="001B4202" w:rsidP="00E11B30">
      <w:r>
        <w:t xml:space="preserve">CP </w:t>
      </w:r>
      <w:r w:rsidR="00E4595E">
        <w:t>asked</w:t>
      </w:r>
      <w:r w:rsidR="00DD2BCB">
        <w:t xml:space="preserve"> TH’s </w:t>
      </w:r>
      <w:r w:rsidR="00E4595E">
        <w:t>about</w:t>
      </w:r>
      <w:r w:rsidR="00DD2BCB">
        <w:t xml:space="preserve"> </w:t>
      </w:r>
      <w:r w:rsidR="00703772">
        <w:t>the timeline for</w:t>
      </w:r>
      <w:r w:rsidR="004D0EBD">
        <w:t xml:space="preserve"> developing a</w:t>
      </w:r>
      <w:r w:rsidR="00703772">
        <w:t xml:space="preserve"> </w:t>
      </w:r>
      <w:r w:rsidR="00DD2BCB">
        <w:t xml:space="preserve">harvest strategy and harvest control rules (HCRs) </w:t>
      </w:r>
      <w:r w:rsidR="000E0049">
        <w:t>for the FIP</w:t>
      </w:r>
      <w:r w:rsidR="00855BB1">
        <w:t xml:space="preserve">. Currently the harvest </w:t>
      </w:r>
      <w:r w:rsidR="00FB1AF8">
        <w:t>strategy</w:t>
      </w:r>
      <w:r w:rsidR="00855BB1">
        <w:t xml:space="preserve"> </w:t>
      </w:r>
      <w:r w:rsidR="005C7399" w:rsidRPr="00442CA1">
        <w:t>scores</w:t>
      </w:r>
      <w:r w:rsidR="00855BB1">
        <w:t xml:space="preserve"> </w:t>
      </w:r>
      <w:r w:rsidR="00FB1AF8">
        <w:t>SG</w:t>
      </w:r>
      <w:r w:rsidR="00855BB1">
        <w:t xml:space="preserve">60-79 and HCRs </w:t>
      </w:r>
      <w:r w:rsidR="005C7399">
        <w:t xml:space="preserve">score </w:t>
      </w:r>
      <w:r w:rsidR="00CF286E">
        <w:t>&lt;S</w:t>
      </w:r>
      <w:r w:rsidR="00FB1AF8">
        <w:t xml:space="preserve">G60, which TH thought was </w:t>
      </w:r>
      <w:r w:rsidR="0068475F" w:rsidRPr="00442CA1">
        <w:t>accurate</w:t>
      </w:r>
      <w:r w:rsidR="0068475F">
        <w:t xml:space="preserve"> as there is </w:t>
      </w:r>
      <w:r w:rsidR="0068475F" w:rsidRPr="00442CA1">
        <w:t>a</w:t>
      </w:r>
      <w:r w:rsidR="00FB1AF8">
        <w:t xml:space="preserve"> need to have a more </w:t>
      </w:r>
      <w:r w:rsidR="0068475F">
        <w:t xml:space="preserve">defined </w:t>
      </w:r>
      <w:r w:rsidR="00FB1AF8">
        <w:t xml:space="preserve">harvest strategy as a precursor to </w:t>
      </w:r>
      <w:r w:rsidR="009433BF" w:rsidRPr="00442CA1">
        <w:t>setting</w:t>
      </w:r>
      <w:r w:rsidR="00FB1AF8">
        <w:t xml:space="preserve"> HCRs</w:t>
      </w:r>
      <w:r w:rsidR="00FB1AF8" w:rsidRPr="00442CA1">
        <w:t>.</w:t>
      </w:r>
      <w:r w:rsidR="00FB1AF8">
        <w:t xml:space="preserve"> </w:t>
      </w:r>
      <w:r w:rsidR="00F31B41">
        <w:t>TH said the harvest strategy and HCRs were</w:t>
      </w:r>
      <w:r w:rsidR="000F4CF0">
        <w:t xml:space="preserve"> the main </w:t>
      </w:r>
      <w:r w:rsidR="00903470">
        <w:t>actions remaining</w:t>
      </w:r>
      <w:r w:rsidR="00A14C05">
        <w:t xml:space="preserve"> in </w:t>
      </w:r>
      <w:r w:rsidR="00D7667F" w:rsidRPr="00442CA1">
        <w:t>the FIP</w:t>
      </w:r>
      <w:r w:rsidR="00A14C05">
        <w:t xml:space="preserve"> action plan</w:t>
      </w:r>
      <w:r w:rsidR="00C319BB" w:rsidRPr="00442CA1">
        <w:t>.</w:t>
      </w:r>
    </w:p>
    <w:p w14:paraId="4D592F65" w14:textId="15143B89" w:rsidR="007B3A5C" w:rsidRPr="001E33BE" w:rsidRDefault="007B3A5C" w:rsidP="00844590">
      <w:pPr>
        <w:rPr>
          <w:i/>
          <w:iCs/>
        </w:rPr>
      </w:pPr>
      <w:r w:rsidRPr="001E33BE">
        <w:rPr>
          <w:i/>
          <w:iCs/>
        </w:rPr>
        <w:t xml:space="preserve">Harvest strategy for the Southwest: </w:t>
      </w:r>
    </w:p>
    <w:p w14:paraId="4674928E" w14:textId="066BD6AD" w:rsidR="001A11D1" w:rsidRDefault="004538AA" w:rsidP="00E11B30">
      <w:r>
        <w:t xml:space="preserve">Defra’s timeline for reviewing </w:t>
      </w:r>
      <w:r w:rsidR="009D3286">
        <w:t xml:space="preserve">the Western Waters </w:t>
      </w:r>
      <w:r>
        <w:t xml:space="preserve">alternatives </w:t>
      </w:r>
      <w:r w:rsidR="009D3286">
        <w:t>does not align with the FIP’s timeline</w:t>
      </w:r>
      <w:r w:rsidR="00CB3CB6">
        <w:t xml:space="preserve">. </w:t>
      </w:r>
      <w:r w:rsidR="009D3286">
        <w:t xml:space="preserve">JP asked </w:t>
      </w:r>
      <w:r w:rsidR="00036B37" w:rsidRPr="00442CA1">
        <w:t>S</w:t>
      </w:r>
      <w:r w:rsidR="009D3286" w:rsidRPr="00442CA1">
        <w:t xml:space="preserve">teering </w:t>
      </w:r>
      <w:r w:rsidR="00036B37" w:rsidRPr="00442CA1">
        <w:t>G</w:t>
      </w:r>
      <w:r w:rsidR="009D3286" w:rsidRPr="00442CA1">
        <w:t>roup</w:t>
      </w:r>
      <w:r w:rsidR="009D3286">
        <w:t xml:space="preserve"> members whether they were committed to drafting a harvest strategy, specific to the </w:t>
      </w:r>
      <w:r w:rsidR="001454FD">
        <w:t>Southwest</w:t>
      </w:r>
      <w:r w:rsidR="000512B2">
        <w:t>, which could be used as an example by the SIAG</w:t>
      </w:r>
      <w:r w:rsidR="00F430C3">
        <w:t>/CMG</w:t>
      </w:r>
      <w:r w:rsidR="000512B2">
        <w:t xml:space="preserve"> in their national discussion, or </w:t>
      </w:r>
      <w:r w:rsidR="00F430C3">
        <w:t xml:space="preserve">whether they would prefer to </w:t>
      </w:r>
      <w:r w:rsidR="000512B2">
        <w:t xml:space="preserve">wait for </w:t>
      </w:r>
      <w:r w:rsidR="008519C0">
        <w:t>Defra</w:t>
      </w:r>
      <w:r w:rsidR="000512B2">
        <w:t xml:space="preserve"> to </w:t>
      </w:r>
      <w:r w:rsidR="00F430C3" w:rsidRPr="00442CA1">
        <w:t>agree</w:t>
      </w:r>
      <w:r w:rsidR="00F430C3">
        <w:t xml:space="preserve"> </w:t>
      </w:r>
      <w:r w:rsidR="004135E2">
        <w:t>a national harvest strategy</w:t>
      </w:r>
      <w:r w:rsidR="000512B2">
        <w:t xml:space="preserve">. </w:t>
      </w:r>
      <w:r w:rsidR="001F0CCB">
        <w:t xml:space="preserve">BP and JB agreed </w:t>
      </w:r>
      <w:r w:rsidR="001F0CCB" w:rsidDel="004B1601">
        <w:t xml:space="preserve">that </w:t>
      </w:r>
      <w:r w:rsidR="001F0CCB">
        <w:t>if this approach was not taken then Defra might develop a strategy that would not work for the Southwest.</w:t>
      </w:r>
    </w:p>
    <w:p w14:paraId="5D3D9D51" w14:textId="77777777" w:rsidR="009A366E" w:rsidRDefault="009A366E" w:rsidP="009A366E">
      <w:r>
        <w:t>TH suggested next steps could include addressing the pros and cons for each of their recommended management options and to then develop a ‘strawman’ harvest strategy that focuses on the Southwest, accommodating both inshore and offshore waters (IFCA and MMO jurisdictions)</w:t>
      </w:r>
      <w:r w:rsidRPr="00C56E88">
        <w:t xml:space="preserve">, and </w:t>
      </w:r>
      <w:r>
        <w:t>then ask industry to comment on it to identify the most desirable options.</w:t>
      </w:r>
    </w:p>
    <w:p w14:paraId="574F7262" w14:textId="4FAEEA59" w:rsidR="00DF7997" w:rsidRDefault="00DF7997" w:rsidP="00DF7997">
      <w:r>
        <w:t xml:space="preserve">JB has concerns with the ease at which foreign vessels can access fishing ground between 6nm-12nm, so any harvest strategy needs to focus on both the UK fleet and foreign fleets. BP said there was no need to make the harvest strategy too contentious, with plenty of </w:t>
      </w:r>
      <w:r w:rsidR="00A24B9B">
        <w:t>‘</w:t>
      </w:r>
      <w:r>
        <w:t>easy wins</w:t>
      </w:r>
      <w:r w:rsidR="00A24B9B">
        <w:t>’</w:t>
      </w:r>
      <w:r>
        <w:t xml:space="preserve"> to be had. </w:t>
      </w:r>
      <w:r w:rsidRPr="007A46E8">
        <w:t>Foc</w:t>
      </w:r>
      <w:r w:rsidRPr="00C01344">
        <w:t>ussing just on UK vessels</w:t>
      </w:r>
      <w:r w:rsidR="00A24B9B">
        <w:t>,</w:t>
      </w:r>
      <w:r w:rsidRPr="00C01344">
        <w:t xml:space="preserve"> </w:t>
      </w:r>
      <w:r>
        <w:t xml:space="preserve">BP explained </w:t>
      </w:r>
      <w:r w:rsidRPr="00C01344">
        <w:t>that</w:t>
      </w:r>
      <w:r w:rsidR="00A40B47">
        <w:t xml:space="preserve"> it</w:t>
      </w:r>
      <w:r w:rsidR="009E2ECC">
        <w:t xml:space="preserve"> </w:t>
      </w:r>
      <w:r w:rsidR="00A40B47">
        <w:t>was</w:t>
      </w:r>
      <w:r w:rsidRPr="00C01344">
        <w:t xml:space="preserve"> </w:t>
      </w:r>
      <w:r w:rsidR="00A40B47">
        <w:t>those able</w:t>
      </w:r>
      <w:r>
        <w:t xml:space="preserve"> to fish further away from their home ports </w:t>
      </w:r>
      <w:r w:rsidRPr="00466623">
        <w:t xml:space="preserve">which </w:t>
      </w:r>
      <w:r w:rsidRPr="00355368">
        <w:t>lack</w:t>
      </w:r>
      <w:r>
        <w:t xml:space="preserve"> effective management</w:t>
      </w:r>
      <w:r w:rsidR="000D1624">
        <w:t xml:space="preserve">. She </w:t>
      </w:r>
      <w:r>
        <w:t xml:space="preserve">said </w:t>
      </w:r>
      <w:r w:rsidRPr="00263064">
        <w:t>th</w:t>
      </w:r>
      <w:r w:rsidRPr="008706CE">
        <w:t>at segment of the fleet</w:t>
      </w:r>
      <w:r>
        <w:t xml:space="preserve"> had recognised </w:t>
      </w:r>
      <w:r w:rsidRPr="007A46E8">
        <w:t>the lack o</w:t>
      </w:r>
      <w:r w:rsidR="000D1624">
        <w:t>f</w:t>
      </w:r>
      <w:r w:rsidRPr="007A46E8">
        <w:t xml:space="preserve"> effective management </w:t>
      </w:r>
      <w:r>
        <w:t xml:space="preserve">and were asking for more </w:t>
      </w:r>
      <w:r w:rsidRPr="007A46E8">
        <w:t>measures such as</w:t>
      </w:r>
      <w:r w:rsidDel="00E114B7">
        <w:t xml:space="preserve"> </w:t>
      </w:r>
      <w:r>
        <w:t xml:space="preserve">addressing latent capacity. </w:t>
      </w:r>
    </w:p>
    <w:p w14:paraId="108F3679" w14:textId="77777777" w:rsidR="003E2E56" w:rsidRDefault="003E2E56" w:rsidP="003E2E56">
      <w:r>
        <w:t xml:space="preserve">BP also cautioned that if the Trade and Cooperation Agreement (TCA) wasn’t renegotiated it might force large crabbing vessels in the North Sea to return to UK waters, so a harvest strategy will need to be future proof and incorporate scenarios such as this. </w:t>
      </w:r>
    </w:p>
    <w:p w14:paraId="0E5A279E" w14:textId="77777777" w:rsidR="007B3A5C" w:rsidRPr="00DE3FBB" w:rsidRDefault="007B3A5C" w:rsidP="00E11B30">
      <w:pPr>
        <w:rPr>
          <w:i/>
          <w:iCs/>
        </w:rPr>
      </w:pPr>
      <w:r w:rsidRPr="00DE3FBB">
        <w:rPr>
          <w:i/>
          <w:iCs/>
        </w:rPr>
        <w:t>Regional workshops:</w:t>
      </w:r>
    </w:p>
    <w:p w14:paraId="0F498A40" w14:textId="78C8BB88" w:rsidR="008519C0" w:rsidRDefault="00F27C04" w:rsidP="00E11B30">
      <w:r>
        <w:lastRenderedPageBreak/>
        <w:t xml:space="preserve">BP said it was important to recognise the frustration in the crab sector and would welcome </w:t>
      </w:r>
      <w:r w:rsidR="00596AD6">
        <w:t xml:space="preserve">FIP-led </w:t>
      </w:r>
      <w:r>
        <w:t xml:space="preserve">workshops on both the North coast and South coast </w:t>
      </w:r>
      <w:r w:rsidRPr="00C01344">
        <w:t xml:space="preserve">of the </w:t>
      </w:r>
      <w:r w:rsidRPr="00C56E88">
        <w:t>Southwest</w:t>
      </w:r>
      <w:r w:rsidRPr="00466623">
        <w:t xml:space="preserve"> </w:t>
      </w:r>
      <w:r>
        <w:t xml:space="preserve">to discuss </w:t>
      </w:r>
      <w:r w:rsidRPr="00C01344">
        <w:t>appropriate</w:t>
      </w:r>
      <w:r>
        <w:t xml:space="preserve"> regional management options</w:t>
      </w:r>
      <w:r w:rsidR="00B11A32">
        <w:t xml:space="preserve"> and</w:t>
      </w:r>
      <w:r>
        <w:t xml:space="preserve"> </w:t>
      </w:r>
      <w:r w:rsidR="004B1601">
        <w:t xml:space="preserve">to </w:t>
      </w:r>
      <w:r w:rsidR="003130FB">
        <w:t>make recommendations that can be taken to Defra</w:t>
      </w:r>
      <w:r w:rsidR="004B1601">
        <w:t xml:space="preserve">. </w:t>
      </w:r>
    </w:p>
    <w:p w14:paraId="46E050A1" w14:textId="773F7F35" w:rsidR="00B11A32" w:rsidRDefault="00B11A32" w:rsidP="00E11B30">
      <w:r>
        <w:t xml:space="preserve">RM suggested taking HCR suggestions that come out of the </w:t>
      </w:r>
      <w:r w:rsidR="00145F51">
        <w:t xml:space="preserve">Defra </w:t>
      </w:r>
      <w:r>
        <w:t xml:space="preserve">workshops and undertaking a scoring exercise to help quantify the most desirable </w:t>
      </w:r>
      <w:r w:rsidRPr="007A46E8">
        <w:t xml:space="preserve">options. </w:t>
      </w:r>
      <w:r>
        <w:t xml:space="preserve">This could include effectiveness and popularity, to help rank the options. </w:t>
      </w:r>
    </w:p>
    <w:p w14:paraId="4642AA83" w14:textId="1CE52269" w:rsidR="00D55F57" w:rsidRPr="00DE3FBB" w:rsidRDefault="004E4DC7" w:rsidP="00E11B30">
      <w:pPr>
        <w:rPr>
          <w:i/>
          <w:iCs/>
        </w:rPr>
      </w:pPr>
      <w:r w:rsidRPr="00DE3FBB">
        <w:rPr>
          <w:i/>
          <w:iCs/>
        </w:rPr>
        <w:t>Next steps:</w:t>
      </w:r>
    </w:p>
    <w:p w14:paraId="1C8F8394" w14:textId="11A8A091" w:rsidR="004A4E20" w:rsidRDefault="00330D66" w:rsidP="004A4E20">
      <w:r>
        <w:t xml:space="preserve">CP suggested the Steering </w:t>
      </w:r>
      <w:r w:rsidRPr="00442CA1">
        <w:t>Group</w:t>
      </w:r>
      <w:r>
        <w:t xml:space="preserve"> should </w:t>
      </w:r>
      <w:r w:rsidRPr="00442CA1">
        <w:t>draft</w:t>
      </w:r>
      <w:r>
        <w:t xml:space="preserve"> a matrix of the pros and cons of different management options</w:t>
      </w:r>
      <w:r w:rsidR="00892BD0">
        <w:t xml:space="preserve"> identified</w:t>
      </w:r>
      <w:r>
        <w:t xml:space="preserve"> </w:t>
      </w:r>
      <w:r w:rsidRPr="00442CA1">
        <w:t>in</w:t>
      </w:r>
      <w:r>
        <w:t xml:space="preserve"> the Cefas report</w:t>
      </w:r>
      <w:r w:rsidR="00B30675">
        <w:t xml:space="preserve"> on global best practice</w:t>
      </w:r>
      <w:r w:rsidR="00AD37A6">
        <w:t xml:space="preserve">, in a style similar to </w:t>
      </w:r>
      <w:r w:rsidR="003739D8">
        <w:t>th</w:t>
      </w:r>
      <w:r w:rsidR="00CF1A8A">
        <w:t>at</w:t>
      </w:r>
      <w:r w:rsidR="003739D8">
        <w:t xml:space="preserve"> used in the alternative measures report (of the monkfish FIP)</w:t>
      </w:r>
      <w:r w:rsidRPr="00442CA1">
        <w:t>.</w:t>
      </w:r>
      <w:r>
        <w:t xml:space="preserve"> TH said this matrix would be useful and stated the importance of having industry </w:t>
      </w:r>
      <w:r w:rsidRPr="00442CA1">
        <w:t>input</w:t>
      </w:r>
      <w:r>
        <w:t xml:space="preserve"> on the options. </w:t>
      </w:r>
      <w:r w:rsidR="003C7B25">
        <w:t>Steering Group members and independent experts, such as Tristan Southall, would then have an opportunity to provide further recommendations.</w:t>
      </w:r>
      <w:r w:rsidR="004A4E20" w:rsidRPr="004A4E20">
        <w:t xml:space="preserve"> </w:t>
      </w:r>
      <w:r w:rsidR="004A4E20">
        <w:t>Zoning could</w:t>
      </w:r>
      <w:r w:rsidR="006179C8">
        <w:t xml:space="preserve"> also</w:t>
      </w:r>
      <w:r w:rsidR="004A4E20">
        <w:t xml:space="preserve"> be considered</w:t>
      </w:r>
      <w:r w:rsidR="004A4E20" w:rsidRPr="00C01344">
        <w:t xml:space="preserve"> in </w:t>
      </w:r>
      <w:r w:rsidR="004A48AA">
        <w:t>the</w:t>
      </w:r>
      <w:r w:rsidR="004A4E20" w:rsidRPr="00C01344">
        <w:t xml:space="preserve"> management matrix</w:t>
      </w:r>
      <w:r w:rsidR="004A4E20">
        <w:t xml:space="preserve">, with BP acknowledging it was a useful tool in the </w:t>
      </w:r>
      <w:proofErr w:type="gramStart"/>
      <w:r w:rsidR="004A4E20">
        <w:t>Channel</w:t>
      </w:r>
      <w:proofErr w:type="gramEnd"/>
      <w:r w:rsidR="004A4E20">
        <w:t xml:space="preserve"> but other areas of the country were </w:t>
      </w:r>
      <w:r w:rsidR="004A4E20" w:rsidRPr="000E7FD3">
        <w:t>not able to trial similar spatial-management</w:t>
      </w:r>
      <w:r w:rsidR="004A4E20">
        <w:t xml:space="preserve">. </w:t>
      </w:r>
    </w:p>
    <w:p w14:paraId="2DA250A5" w14:textId="09367343" w:rsidR="00136F3C" w:rsidRDefault="004F485C" w:rsidP="00E11B30">
      <w:r>
        <w:t xml:space="preserve">The group </w:t>
      </w:r>
      <w:r w:rsidR="00450D44">
        <w:t xml:space="preserve">agreed </w:t>
      </w:r>
      <w:r>
        <w:t>with BP’s suggestion to hold a series of workshops</w:t>
      </w:r>
      <w:r w:rsidR="002F5A19">
        <w:t xml:space="preserve"> in the South West</w:t>
      </w:r>
      <w:r w:rsidR="008315A9">
        <w:t xml:space="preserve"> in early 202</w:t>
      </w:r>
      <w:r w:rsidR="00CA530B">
        <w:t>2</w:t>
      </w:r>
      <w:r w:rsidDel="005E799B">
        <w:t xml:space="preserve"> </w:t>
      </w:r>
      <w:r w:rsidR="002F5A19">
        <w:t>to</w:t>
      </w:r>
      <w:r w:rsidR="009861B0">
        <w:t xml:space="preserve"> </w:t>
      </w:r>
      <w:r w:rsidR="002F5A19">
        <w:t>gather input from</w:t>
      </w:r>
      <w:r w:rsidR="00F87CCA">
        <w:t xml:space="preserve"> fishermen </w:t>
      </w:r>
      <w:r w:rsidR="009861B0">
        <w:t xml:space="preserve">on appropriate management </w:t>
      </w:r>
      <w:r w:rsidR="00A578C8">
        <w:t>for that region</w:t>
      </w:r>
      <w:r w:rsidR="00C23D5B">
        <w:t xml:space="preserve">. </w:t>
      </w:r>
      <w:r w:rsidR="003C7B25">
        <w:t xml:space="preserve">BP suggested having an independent organisation coordinating and chairing discussions on management options. </w:t>
      </w:r>
    </w:p>
    <w:p w14:paraId="7FBA5A5D" w14:textId="198781AD" w:rsidR="00B56FAE" w:rsidRDefault="00377F44" w:rsidP="00E11B30">
      <w:pPr>
        <w:rPr>
          <w:b/>
          <w:bCs/>
          <w:i/>
          <w:iCs/>
        </w:rPr>
      </w:pPr>
      <w:r>
        <w:rPr>
          <w:b/>
          <w:bCs/>
          <w:i/>
          <w:iCs/>
        </w:rPr>
        <w:t>Actions from Item 2:</w:t>
      </w:r>
    </w:p>
    <w:p w14:paraId="6F342E9E" w14:textId="5C52DA51" w:rsidR="00600851" w:rsidRDefault="00600851" w:rsidP="00993100">
      <w:pPr>
        <w:pStyle w:val="ListParagraph"/>
        <w:numPr>
          <w:ilvl w:val="0"/>
          <w:numId w:val="27"/>
        </w:numPr>
      </w:pPr>
      <w:r>
        <w:t xml:space="preserve">CP to share suggestions for consultancy support on </w:t>
      </w:r>
      <w:r w:rsidR="00164271">
        <w:t>developing a harvest strategy</w:t>
      </w:r>
    </w:p>
    <w:p w14:paraId="080B0BD5" w14:textId="55659F6B" w:rsidR="00CB78A1" w:rsidRDefault="00FC5E60" w:rsidP="00CB78A1">
      <w:pPr>
        <w:pStyle w:val="ListParagraph"/>
        <w:numPr>
          <w:ilvl w:val="0"/>
          <w:numId w:val="27"/>
        </w:numPr>
      </w:pPr>
      <w:r>
        <w:t>Secretariat</w:t>
      </w:r>
      <w:r w:rsidR="00CB78A1">
        <w:t xml:space="preserve"> to:</w:t>
      </w:r>
    </w:p>
    <w:p w14:paraId="1C828FED" w14:textId="3CD0D07B" w:rsidR="00420A34" w:rsidRDefault="00420A34" w:rsidP="00420A34">
      <w:pPr>
        <w:pStyle w:val="ListParagraph"/>
        <w:numPr>
          <w:ilvl w:val="1"/>
          <w:numId w:val="27"/>
        </w:numPr>
      </w:pPr>
      <w:r w:rsidRPr="00420A34">
        <w:t>arrange the development of a matrix of the pros and cons of different management options in the Cefas report.</w:t>
      </w:r>
    </w:p>
    <w:p w14:paraId="7A2E1FA0" w14:textId="07EA7405" w:rsidR="00CB78A1" w:rsidRDefault="003C6749" w:rsidP="00CB78A1">
      <w:pPr>
        <w:pStyle w:val="ListParagraph"/>
        <w:numPr>
          <w:ilvl w:val="1"/>
          <w:numId w:val="27"/>
        </w:numPr>
      </w:pPr>
      <w:r>
        <w:t xml:space="preserve">arrange </w:t>
      </w:r>
      <w:r w:rsidR="00420A34">
        <w:t>the strawman harvest</w:t>
      </w:r>
      <w:r w:rsidR="00C65B83">
        <w:t xml:space="preserve"> strategy</w:t>
      </w:r>
      <w:r w:rsidR="004666BC">
        <w:t xml:space="preserve"> to </w:t>
      </w:r>
      <w:r w:rsidR="00C65B83">
        <w:t xml:space="preserve">include </w:t>
      </w:r>
      <w:r w:rsidR="004666BC">
        <w:t>reference</w:t>
      </w:r>
      <w:r w:rsidR="00C65B83">
        <w:t>s</w:t>
      </w:r>
      <w:r w:rsidR="004666BC">
        <w:t xml:space="preserve"> to the MMO and IFCA management measures already in place.</w:t>
      </w:r>
    </w:p>
    <w:p w14:paraId="11B71D31" w14:textId="603D03D2" w:rsidR="00583B3D" w:rsidRDefault="00EF3DE2" w:rsidP="00CB78A1">
      <w:pPr>
        <w:pStyle w:val="ListParagraph"/>
        <w:numPr>
          <w:ilvl w:val="1"/>
          <w:numId w:val="27"/>
        </w:numPr>
      </w:pPr>
      <w:r>
        <w:t xml:space="preserve">Speak to BP about organising </w:t>
      </w:r>
      <w:r w:rsidR="00583B3D">
        <w:t xml:space="preserve">workshops </w:t>
      </w:r>
      <w:r w:rsidR="0033380B">
        <w:t xml:space="preserve">for industry to provide their suggestions for management, and summarise the outputs to submit to Defra </w:t>
      </w:r>
      <w:r w:rsidR="0027102D">
        <w:t xml:space="preserve">as a request for management in the Southwest. </w:t>
      </w:r>
    </w:p>
    <w:p w14:paraId="0C6DF43E" w14:textId="6B76DFA3" w:rsidR="00195B2E" w:rsidRDefault="00195B2E" w:rsidP="00CB78A1">
      <w:pPr>
        <w:pStyle w:val="ListParagraph"/>
        <w:numPr>
          <w:ilvl w:val="1"/>
          <w:numId w:val="27"/>
        </w:numPr>
      </w:pPr>
      <w:r>
        <w:t>Start process for hiring a consultant to support the Steering Group to develop a harvest strategy</w:t>
      </w:r>
      <w:r w:rsidR="0052480A">
        <w:t>.</w:t>
      </w:r>
    </w:p>
    <w:p w14:paraId="73FA0A38" w14:textId="77777777" w:rsidR="00542561" w:rsidRDefault="00542561" w:rsidP="00542561">
      <w:pPr>
        <w:pStyle w:val="ListParagraph"/>
        <w:ind w:left="1440"/>
      </w:pPr>
    </w:p>
    <w:p w14:paraId="2D8AFE9F" w14:textId="29EF8C8C" w:rsidR="00E9286D" w:rsidRDefault="00E9286D" w:rsidP="00E11B30">
      <w:r w:rsidRPr="003B29F0">
        <w:rPr>
          <w:rFonts w:ascii="Verdana" w:hAnsi="Verdana"/>
          <w:b/>
          <w:bCs/>
        </w:rPr>
        <w:t xml:space="preserve">Agenda Item </w:t>
      </w:r>
      <w:r>
        <w:rPr>
          <w:rFonts w:ascii="Verdana" w:hAnsi="Verdana"/>
          <w:b/>
          <w:bCs/>
        </w:rPr>
        <w:t>3: Effort information</w:t>
      </w:r>
    </w:p>
    <w:p w14:paraId="3416B61B" w14:textId="0E080091" w:rsidR="00E9286D" w:rsidRDefault="00377F44" w:rsidP="00E11B30">
      <w:r>
        <w:t xml:space="preserve">At the last </w:t>
      </w:r>
      <w:r w:rsidR="00036B37" w:rsidRPr="000E7FD3">
        <w:t>S</w:t>
      </w:r>
      <w:r w:rsidRPr="00364C65">
        <w:t xml:space="preserve">teering </w:t>
      </w:r>
      <w:r w:rsidR="00036B37" w:rsidRPr="000E7FD3">
        <w:t>G</w:t>
      </w:r>
      <w:r w:rsidRPr="00364C65">
        <w:t>roup</w:t>
      </w:r>
      <w:r>
        <w:t xml:space="preserve"> meeting </w:t>
      </w:r>
      <w:r w:rsidR="001F3F7E">
        <w:t xml:space="preserve">HG had an action to </w:t>
      </w:r>
      <w:r w:rsidR="00A02E50">
        <w:t>gather</w:t>
      </w:r>
      <w:r w:rsidR="001F3F7E">
        <w:t xml:space="preserve"> information on effort across the crab and lobster fleets</w:t>
      </w:r>
      <w:r w:rsidR="002D5628">
        <w:t xml:space="preserve"> and </w:t>
      </w:r>
      <w:r w:rsidR="00A02E50">
        <w:t xml:space="preserve">determine </w:t>
      </w:r>
      <w:r w:rsidR="002D5628">
        <w:t xml:space="preserve">how this effort data is captured by metier. </w:t>
      </w:r>
      <w:r w:rsidR="002D5628" w:rsidRPr="00C56E88">
        <w:t>HG</w:t>
      </w:r>
      <w:r w:rsidR="003F0ED2" w:rsidDel="00A02E50">
        <w:t xml:space="preserve"> </w:t>
      </w:r>
      <w:r w:rsidR="005E66D0">
        <w:t xml:space="preserve">provided links to where information can be found. </w:t>
      </w:r>
    </w:p>
    <w:p w14:paraId="71780F4E" w14:textId="15A89A70" w:rsidR="00E11B30" w:rsidRDefault="00167C26" w:rsidP="00E11B30">
      <w:r>
        <w:t xml:space="preserve">HG said the ability to gather effort data </w:t>
      </w:r>
      <w:r w:rsidR="00DE0DA0">
        <w:t xml:space="preserve">was complicated for the </w:t>
      </w:r>
      <w:r w:rsidR="00C53A28">
        <w:t>&lt;</w:t>
      </w:r>
      <w:r w:rsidR="00DE0DA0" w:rsidRPr="00364C65">
        <w:t>10m</w:t>
      </w:r>
      <w:r w:rsidR="00DE0DA0">
        <w:t xml:space="preserve"> fleet segment as vessels are not required to </w:t>
      </w:r>
      <w:r w:rsidR="00FA67B4">
        <w:t xml:space="preserve">provide </w:t>
      </w:r>
      <w:r w:rsidR="00DE0DA0">
        <w:t>landing declarations</w:t>
      </w:r>
      <w:r w:rsidR="00013219">
        <w:t xml:space="preserve">. This information gap had been resolved since the buyers and sellers scheme requirements were introduced. </w:t>
      </w:r>
      <w:r w:rsidR="0004336A">
        <w:t xml:space="preserve">HG shared the following link for more information: </w:t>
      </w:r>
      <w:r w:rsidR="00596AD6">
        <w:t>https://www.gov.uk/guidance/fishing-activity-and-landings-data-collection-and-processing.</w:t>
      </w:r>
    </w:p>
    <w:p w14:paraId="33ED8A10" w14:textId="3DA76575" w:rsidR="009B704F" w:rsidRDefault="009B704F" w:rsidP="00E11B30">
      <w:r>
        <w:lastRenderedPageBreak/>
        <w:t>Crab effort uptake for 2021 was following a similar trajectory to 2020</w:t>
      </w:r>
      <w:r w:rsidR="00B3211E">
        <w:t xml:space="preserve">, with uptake </w:t>
      </w:r>
      <w:r w:rsidR="0010102B" w:rsidRPr="00364C65">
        <w:t>to</w:t>
      </w:r>
      <w:r w:rsidR="0010102B">
        <w:t xml:space="preserve"> date</w:t>
      </w:r>
      <w:r w:rsidR="00784460">
        <w:t xml:space="preserve"> at</w:t>
      </w:r>
      <w:r w:rsidR="00B3211E" w:rsidDel="00784460">
        <w:t xml:space="preserve"> </w:t>
      </w:r>
      <w:r w:rsidR="00B3211E">
        <w:t>28%</w:t>
      </w:r>
      <w:r w:rsidR="00812A23">
        <w:t xml:space="preserve">, which is very low. </w:t>
      </w:r>
      <w:r w:rsidR="008D7866">
        <w:t>HG offered to provide a formal presentation on effort information</w:t>
      </w:r>
      <w:r w:rsidR="008D7866" w:rsidRPr="00364C65">
        <w:t xml:space="preserve"> </w:t>
      </w:r>
      <w:r w:rsidR="008D7866">
        <w:t>at the next meeting.</w:t>
      </w:r>
    </w:p>
    <w:p w14:paraId="4E3E832E" w14:textId="5F6B1506" w:rsidR="00812A23" w:rsidRDefault="005201DE" w:rsidP="00E11B30">
      <w:r>
        <w:t xml:space="preserve">KK asked TH is the information is sufficient </w:t>
      </w:r>
      <w:r w:rsidR="009A5196">
        <w:t>for the FIP</w:t>
      </w:r>
      <w:r w:rsidR="00784460">
        <w:t xml:space="preserve"> requirements</w:t>
      </w:r>
      <w:r w:rsidR="009A5196">
        <w:t xml:space="preserve">. TH said </w:t>
      </w:r>
      <w:r w:rsidR="002D53A5">
        <w:t xml:space="preserve">it was not yet because </w:t>
      </w:r>
      <w:r w:rsidR="009A5196">
        <w:t xml:space="preserve">all the information was in kilowatt days, whereas the FIP needed information on </w:t>
      </w:r>
      <w:r w:rsidR="00F500F8">
        <w:t xml:space="preserve">fishing capacity in the water for </w:t>
      </w:r>
      <w:r w:rsidR="00F500F8" w:rsidRPr="00364C65">
        <w:t>crab</w:t>
      </w:r>
      <w:r w:rsidR="00F500F8">
        <w:t xml:space="preserve"> and </w:t>
      </w:r>
      <w:r w:rsidR="00F500F8" w:rsidRPr="00364C65">
        <w:t>lobste</w:t>
      </w:r>
      <w:r w:rsidR="00686661" w:rsidRPr="00364C65">
        <w:t>r</w:t>
      </w:r>
      <w:r w:rsidR="00686661">
        <w:t>, for example</w:t>
      </w:r>
      <w:r w:rsidR="00F500F8" w:rsidDel="00686661">
        <w:t xml:space="preserve"> </w:t>
      </w:r>
      <w:r w:rsidR="00F500F8">
        <w:t>number of pots</w:t>
      </w:r>
      <w:r w:rsidR="009732F0">
        <w:t>. He</w:t>
      </w:r>
      <w:r w:rsidR="00F500F8">
        <w:t xml:space="preserve"> asked HG whether there was a way of converting this information. HG said the MMO did not have that type of data. </w:t>
      </w:r>
    </w:p>
    <w:p w14:paraId="4DFC26A3" w14:textId="1F34C213" w:rsidR="007F44BE" w:rsidRDefault="007E539D" w:rsidP="007F44BE">
      <w:r>
        <w:t xml:space="preserve">TH informed the </w:t>
      </w:r>
      <w:r w:rsidR="00036B37" w:rsidRPr="00364C65">
        <w:t>S</w:t>
      </w:r>
      <w:r w:rsidRPr="00364C65">
        <w:t xml:space="preserve">teering </w:t>
      </w:r>
      <w:r w:rsidR="00036B37" w:rsidRPr="00364C65">
        <w:t>G</w:t>
      </w:r>
      <w:r w:rsidRPr="007A46E8">
        <w:t>roup</w:t>
      </w:r>
      <w:r>
        <w:t xml:space="preserve"> that adaptive management requires key indicators </w:t>
      </w:r>
      <w:r w:rsidR="00856116">
        <w:t xml:space="preserve">(reference points) </w:t>
      </w:r>
      <w:r>
        <w:t xml:space="preserve">to identify a change in the stock </w:t>
      </w:r>
      <w:r w:rsidR="00856116">
        <w:t xml:space="preserve">biomass or </w:t>
      </w:r>
      <w:r w:rsidR="00443C63">
        <w:t xml:space="preserve">harvest rate, </w:t>
      </w:r>
      <w:r w:rsidR="005B44D7">
        <w:t xml:space="preserve">and </w:t>
      </w:r>
      <w:r w:rsidR="00443C63">
        <w:t xml:space="preserve">trigger the </w:t>
      </w:r>
      <w:r w:rsidR="005B44D7">
        <w:t>implement</w:t>
      </w:r>
      <w:r w:rsidR="00443C63">
        <w:t>ation of</w:t>
      </w:r>
      <w:r w:rsidR="005B44D7">
        <w:t xml:space="preserve"> a management response. </w:t>
      </w:r>
      <w:r w:rsidR="00441074" w:rsidRPr="00364C65">
        <w:t>Relying</w:t>
      </w:r>
      <w:r w:rsidR="00441074">
        <w:t xml:space="preserve"> on k</w:t>
      </w:r>
      <w:r w:rsidR="005B44D7">
        <w:t xml:space="preserve">ilowatt days might not </w:t>
      </w:r>
      <w:r w:rsidR="00441074">
        <w:t xml:space="preserve">provide </w:t>
      </w:r>
      <w:r w:rsidR="005B44D7">
        <w:t xml:space="preserve">a true representation of </w:t>
      </w:r>
      <w:r w:rsidR="0042000A">
        <w:t>real-time effort</w:t>
      </w:r>
      <w:r w:rsidR="005B44D7">
        <w:t xml:space="preserve">. </w:t>
      </w:r>
      <w:r w:rsidR="00E60724">
        <w:t xml:space="preserve">BP said there is no </w:t>
      </w:r>
      <w:r w:rsidR="00A21B70">
        <w:t xml:space="preserve">requirement for submitting pot numbers or types and agreed that kilowatt days bore no resemblance to monitoring actual effort on the water. </w:t>
      </w:r>
    </w:p>
    <w:p w14:paraId="372E27F1" w14:textId="48B3E5FF" w:rsidR="007F44BE" w:rsidRDefault="00A21B70" w:rsidP="00E11B30">
      <w:r>
        <w:t xml:space="preserve">BP said </w:t>
      </w:r>
      <w:r w:rsidR="00CD4A02">
        <w:t>it would be difficult to require fishermen to submit their pot numbers and where they are deployed</w:t>
      </w:r>
      <w:r w:rsidR="0025392E">
        <w:t>,</w:t>
      </w:r>
      <w:r w:rsidR="00CD4A02">
        <w:t xml:space="preserve"> but might be feasible if they were asked</w:t>
      </w:r>
      <w:r w:rsidR="0025392E">
        <w:t xml:space="preserve"> anonymously. </w:t>
      </w:r>
      <w:r w:rsidR="007F44BE">
        <w:t xml:space="preserve">JB said Devon and Severn </w:t>
      </w:r>
      <w:r w:rsidR="00F012B5">
        <w:t xml:space="preserve">IFCA </w:t>
      </w:r>
      <w:r w:rsidR="007F44BE">
        <w:t xml:space="preserve">require crab fishermen to fill out approximate gridded areas of the Devon coasts to </w:t>
      </w:r>
      <w:r w:rsidR="009D185D">
        <w:t xml:space="preserve">indicate </w:t>
      </w:r>
      <w:r w:rsidR="007F44BE">
        <w:t>where they deployed their gear</w:t>
      </w:r>
      <w:r w:rsidR="009D185D">
        <w:t>,</w:t>
      </w:r>
      <w:r w:rsidR="007F44BE">
        <w:t xml:space="preserve"> which might have useful information. </w:t>
      </w:r>
    </w:p>
    <w:p w14:paraId="7208EDE2" w14:textId="2A076058" w:rsidR="00E11B30" w:rsidRDefault="000F1519" w:rsidP="00E11B30">
      <w:r>
        <w:t>TH concluded that currently there is insufficient information on the level of fishing effort in the FIP. The group agreed the next</w:t>
      </w:r>
      <w:r w:rsidR="00FE3648">
        <w:t xml:space="preserve"> meeting </w:t>
      </w:r>
      <w:r>
        <w:t xml:space="preserve">should be </w:t>
      </w:r>
      <w:r w:rsidR="00FE3648">
        <w:t>in early 2022</w:t>
      </w:r>
      <w:r w:rsidR="00FE3648" w:rsidDel="00E206BE">
        <w:t xml:space="preserve">, </w:t>
      </w:r>
      <w:r w:rsidR="00FE3648">
        <w:t xml:space="preserve">to discuss </w:t>
      </w:r>
      <w:r w:rsidR="00914F39">
        <w:t xml:space="preserve">progress made on the harvest strategy actions and consider </w:t>
      </w:r>
      <w:r w:rsidR="00FE3648">
        <w:t>timelines for the FIP</w:t>
      </w:r>
      <w:r w:rsidR="0012524C">
        <w:t xml:space="preserve"> in relation to whether an extension would be needed, as this was not addressed in today’s meeting</w:t>
      </w:r>
      <w:r w:rsidR="00914F39">
        <w:t>.</w:t>
      </w:r>
    </w:p>
    <w:p w14:paraId="75CDDD59" w14:textId="20604240" w:rsidR="001A7DE9" w:rsidRDefault="001A7DE9" w:rsidP="00E11B30">
      <w:pPr>
        <w:rPr>
          <w:b/>
          <w:bCs/>
          <w:i/>
          <w:iCs/>
        </w:rPr>
      </w:pPr>
      <w:r>
        <w:rPr>
          <w:b/>
          <w:bCs/>
          <w:i/>
          <w:iCs/>
        </w:rPr>
        <w:t>Actions from Item 3:</w:t>
      </w:r>
    </w:p>
    <w:p w14:paraId="27DA54E9" w14:textId="25D2B01F" w:rsidR="001A7DE9" w:rsidRDefault="001A7DE9" w:rsidP="001A7DE9">
      <w:pPr>
        <w:pStyle w:val="ListParagraph"/>
        <w:numPr>
          <w:ilvl w:val="0"/>
          <w:numId w:val="29"/>
        </w:numPr>
      </w:pPr>
      <w:r>
        <w:t xml:space="preserve">Secretariat to arrange a </w:t>
      </w:r>
      <w:r w:rsidR="00036B37" w:rsidRPr="000E7FD3">
        <w:t>S</w:t>
      </w:r>
      <w:r w:rsidRPr="00270CC1">
        <w:t xml:space="preserve">teering </w:t>
      </w:r>
      <w:r w:rsidR="00036B37" w:rsidRPr="000E7FD3">
        <w:t>G</w:t>
      </w:r>
      <w:r w:rsidRPr="00270CC1">
        <w:t>roup</w:t>
      </w:r>
      <w:r>
        <w:t xml:space="preserve"> </w:t>
      </w:r>
      <w:r w:rsidR="000534C4">
        <w:t xml:space="preserve">meeting </w:t>
      </w:r>
      <w:r>
        <w:t>to discuss</w:t>
      </w:r>
      <w:r w:rsidR="000534C4">
        <w:t xml:space="preserve"> progress on</w:t>
      </w:r>
      <w:r w:rsidR="00332564">
        <w:t xml:space="preserve"> the harvest strategy and HCRs, as well as the potential</w:t>
      </w:r>
      <w:r>
        <w:t xml:space="preserve"> FIP extension timeline</w:t>
      </w:r>
      <w:r w:rsidR="00332564">
        <w:t>,</w:t>
      </w:r>
      <w:r>
        <w:t xml:space="preserve"> </w:t>
      </w:r>
      <w:r w:rsidR="00332564">
        <w:t xml:space="preserve">in </w:t>
      </w:r>
      <w:r w:rsidR="008E28BF">
        <w:t>early 2022.</w:t>
      </w:r>
    </w:p>
    <w:p w14:paraId="007EA5AC" w14:textId="2F949B31" w:rsidR="008E28BF" w:rsidRDefault="008E28BF" w:rsidP="001A7DE9">
      <w:pPr>
        <w:pStyle w:val="ListParagraph"/>
        <w:numPr>
          <w:ilvl w:val="0"/>
          <w:numId w:val="29"/>
        </w:numPr>
      </w:pPr>
      <w:r>
        <w:t xml:space="preserve">HG to deliver formal presentation on effort </w:t>
      </w:r>
      <w:r w:rsidR="00094127">
        <w:t xml:space="preserve">data </w:t>
      </w:r>
      <w:r>
        <w:t xml:space="preserve">for the next </w:t>
      </w:r>
      <w:r w:rsidR="00036B37" w:rsidRPr="000E7FD3">
        <w:t>S</w:t>
      </w:r>
      <w:r w:rsidRPr="007A46E8">
        <w:t xml:space="preserve">teering </w:t>
      </w:r>
      <w:r w:rsidR="00036B37" w:rsidRPr="000E7FD3">
        <w:t>G</w:t>
      </w:r>
      <w:r w:rsidRPr="007A46E8">
        <w:t>roup</w:t>
      </w:r>
      <w:r>
        <w:t xml:space="preserve"> meeting</w:t>
      </w:r>
      <w:r w:rsidR="00355368">
        <w:t xml:space="preserve"> in January</w:t>
      </w:r>
      <w:r>
        <w:t xml:space="preserve">. </w:t>
      </w:r>
    </w:p>
    <w:p w14:paraId="01E4A8C8" w14:textId="47CF3A21" w:rsidR="0038384B" w:rsidRPr="001A7DE9" w:rsidRDefault="001B4469" w:rsidP="001A7DE9">
      <w:pPr>
        <w:pStyle w:val="ListParagraph"/>
        <w:numPr>
          <w:ilvl w:val="0"/>
          <w:numId w:val="29"/>
        </w:numPr>
      </w:pPr>
      <w:r>
        <w:t>All to send any specific questions about the MMO effort data to the Secretariat who will collate it and send</w:t>
      </w:r>
      <w:r w:rsidR="0038384B">
        <w:t xml:space="preserve"> to HG </w:t>
      </w:r>
      <w:r w:rsidR="00075D74">
        <w:t xml:space="preserve">ahead of his presentation. </w:t>
      </w:r>
    </w:p>
    <w:p w14:paraId="5FFD8076" w14:textId="288D1460" w:rsidR="00E11B30" w:rsidRDefault="00E11B30" w:rsidP="00E11B30"/>
    <w:p w14:paraId="658FAB6A" w14:textId="2FC3092B" w:rsidR="008868D7" w:rsidRDefault="008868D7" w:rsidP="008868D7">
      <w:pPr>
        <w:pStyle w:val="TItleofAgendaItem"/>
      </w:pPr>
      <w:r>
        <w:t>AOB</w:t>
      </w:r>
    </w:p>
    <w:p w14:paraId="4753667D" w14:textId="4606204E" w:rsidR="008868D7" w:rsidRDefault="008868D7" w:rsidP="00E11B30">
      <w:r>
        <w:t xml:space="preserve">By the end of </w:t>
      </w:r>
      <w:proofErr w:type="gramStart"/>
      <w:r>
        <w:t>November</w:t>
      </w:r>
      <w:proofErr w:type="gramEnd"/>
      <w:r>
        <w:t xml:space="preserve"> </w:t>
      </w:r>
      <w:r w:rsidR="00094127">
        <w:t xml:space="preserve">the FisheryProgress.org </w:t>
      </w:r>
      <w:r w:rsidR="00967BB5">
        <w:t xml:space="preserve">risk criteria needed to be </w:t>
      </w:r>
      <w:r w:rsidR="00094127" w:rsidRPr="00A44A2F">
        <w:t>reviewed</w:t>
      </w:r>
      <w:r w:rsidR="00967BB5">
        <w:t xml:space="preserve"> and MS </w:t>
      </w:r>
      <w:r w:rsidR="009F13A9">
        <w:t xml:space="preserve">asked the </w:t>
      </w:r>
      <w:r w:rsidR="00967BB5">
        <w:t xml:space="preserve">catching </w:t>
      </w:r>
      <w:r w:rsidR="009F13A9">
        <w:t xml:space="preserve">sector members </w:t>
      </w:r>
      <w:r w:rsidR="00967BB5">
        <w:t xml:space="preserve">of the </w:t>
      </w:r>
      <w:r w:rsidR="009F13A9">
        <w:t xml:space="preserve">Steering Group </w:t>
      </w:r>
      <w:r w:rsidR="00820289">
        <w:t xml:space="preserve">to contact </w:t>
      </w:r>
      <w:r w:rsidR="00F6548C">
        <w:t xml:space="preserve">the Secretariat </w:t>
      </w:r>
      <w:r w:rsidR="00820289" w:rsidDel="00BC145F">
        <w:t xml:space="preserve">to </w:t>
      </w:r>
      <w:r w:rsidR="00BC145F">
        <w:t>confirm whether their vessels trigger any of the risk criteria</w:t>
      </w:r>
      <w:r w:rsidR="00820289">
        <w:t xml:space="preserve">. </w:t>
      </w:r>
      <w:r w:rsidR="007247EA">
        <w:t>BP said she would conduct a survey to identify if any vessels</w:t>
      </w:r>
      <w:r w:rsidR="009D3BA9">
        <w:t xml:space="preserve"> meet the risk criteria</w:t>
      </w:r>
      <w:r w:rsidR="0020190A">
        <w:t>.</w:t>
      </w:r>
    </w:p>
    <w:p w14:paraId="2684A8D6" w14:textId="6013DE6E" w:rsidR="00820289" w:rsidRDefault="00820289" w:rsidP="00E11B30">
      <w:r>
        <w:t xml:space="preserve">RM was writing up an internal blog post on the Project UK FIP </w:t>
      </w:r>
      <w:r w:rsidR="00C40AF8">
        <w:t xml:space="preserve">and asked </w:t>
      </w:r>
      <w:r w:rsidR="00984F28">
        <w:t xml:space="preserve">Steering Group members to let her know if they had any </w:t>
      </w:r>
      <w:r w:rsidR="00C40AF8">
        <w:t>objection</w:t>
      </w:r>
      <w:r w:rsidR="00984F28">
        <w:t xml:space="preserve"> to this</w:t>
      </w:r>
      <w:r w:rsidR="00C40AF8">
        <w:t xml:space="preserve">. </w:t>
      </w:r>
    </w:p>
    <w:p w14:paraId="6A600F39" w14:textId="1B45FCA9" w:rsidR="008E28BF" w:rsidRDefault="008E28BF" w:rsidP="00E11B30">
      <w:pPr>
        <w:rPr>
          <w:b/>
          <w:bCs/>
          <w:i/>
          <w:iCs/>
        </w:rPr>
      </w:pPr>
      <w:r>
        <w:rPr>
          <w:b/>
          <w:bCs/>
          <w:i/>
          <w:iCs/>
        </w:rPr>
        <w:t>Action from AOB:</w:t>
      </w:r>
    </w:p>
    <w:p w14:paraId="66FAA740" w14:textId="3F3CC8BC" w:rsidR="008E28BF" w:rsidRPr="008E28BF" w:rsidRDefault="008E28BF" w:rsidP="008E28BF">
      <w:pPr>
        <w:pStyle w:val="ListParagraph"/>
        <w:numPr>
          <w:ilvl w:val="0"/>
          <w:numId w:val="30"/>
        </w:numPr>
      </w:pPr>
      <w:r>
        <w:t xml:space="preserve">BP to </w:t>
      </w:r>
      <w:r w:rsidR="0020190A">
        <w:t>conduct a survey to identify if any of her organisation’s vessels meet the risk assessment criteria</w:t>
      </w:r>
      <w:r w:rsidR="000C4AE7">
        <w:t xml:space="preserve">, and </w:t>
      </w:r>
      <w:r w:rsidR="00FF542F">
        <w:t>inform the Secretariat of the results</w:t>
      </w:r>
      <w:r w:rsidR="004A1D43">
        <w:t>.</w:t>
      </w:r>
    </w:p>
    <w:p w14:paraId="4514753E" w14:textId="3CE2AD15" w:rsidR="00B46339" w:rsidRDefault="00B46339" w:rsidP="00A628C4"/>
    <w:p w14:paraId="28C97510" w14:textId="77777777" w:rsidR="008F5C04" w:rsidRDefault="008F5C04" w:rsidP="008F5C04">
      <w:pPr>
        <w:pStyle w:val="TItleofAgendaItem"/>
      </w:pPr>
      <w:r>
        <w:lastRenderedPageBreak/>
        <w:t>Meeting Closes</w:t>
      </w:r>
    </w:p>
    <w:p w14:paraId="59FC5F79" w14:textId="21532122" w:rsidR="00B46339" w:rsidRDefault="009D3BA9" w:rsidP="00A628C4">
      <w:r>
        <w:t xml:space="preserve">12.30 </w:t>
      </w:r>
    </w:p>
    <w:p w14:paraId="4AEB8A9D" w14:textId="77777777" w:rsidR="00585AFE" w:rsidRDefault="00585AFE" w:rsidP="00A628C4"/>
    <w:p w14:paraId="0DE3811E" w14:textId="77777777" w:rsidR="00585AFE" w:rsidRDefault="00585AFE" w:rsidP="00A628C4"/>
    <w:p w14:paraId="196775C6" w14:textId="77777777" w:rsidR="00585AFE" w:rsidRPr="00A628C4" w:rsidRDefault="00585AFE" w:rsidP="00A628C4"/>
    <w:tbl>
      <w:tblPr>
        <w:tblStyle w:val="TableGrid"/>
        <w:tblW w:w="4721"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6371"/>
        <w:gridCol w:w="2142"/>
      </w:tblGrid>
      <w:tr w:rsidR="009D3BA9" w:rsidRPr="00A85A75" w14:paraId="2CFD3AFD" w14:textId="77777777" w:rsidTr="009D3BA9">
        <w:tc>
          <w:tcPr>
            <w:tcW w:w="3742" w:type="pct"/>
            <w:shd w:val="clear" w:color="auto" w:fill="1B98C7"/>
          </w:tcPr>
          <w:p w14:paraId="4F466103" w14:textId="1D2867CA" w:rsidR="009D3BA9" w:rsidRPr="00A85A75" w:rsidRDefault="009D3BA9" w:rsidP="00AE0C52">
            <w:pPr>
              <w:pStyle w:val="TableHeading"/>
              <w:spacing w:before="120" w:after="120"/>
            </w:pPr>
            <w:r w:rsidRPr="00A85A75">
              <w:t xml:space="preserve">Actions </w:t>
            </w:r>
            <w:r>
              <w:t>Arising</w:t>
            </w:r>
          </w:p>
        </w:tc>
        <w:tc>
          <w:tcPr>
            <w:tcW w:w="1258" w:type="pct"/>
            <w:shd w:val="clear" w:color="auto" w:fill="1B98C7"/>
          </w:tcPr>
          <w:p w14:paraId="5A048189" w14:textId="77777777" w:rsidR="009D3BA9" w:rsidRPr="00A85A75" w:rsidRDefault="009D3BA9" w:rsidP="00AE0C52">
            <w:pPr>
              <w:pStyle w:val="TableHeading"/>
              <w:spacing w:before="120" w:after="120"/>
            </w:pPr>
            <w:r w:rsidRPr="00A85A75">
              <w:t>Responsibility</w:t>
            </w:r>
          </w:p>
        </w:tc>
      </w:tr>
      <w:tr w:rsidR="009D3BA9" w14:paraId="596D1C93" w14:textId="77777777" w:rsidTr="009D3BA9">
        <w:tc>
          <w:tcPr>
            <w:tcW w:w="3742" w:type="pct"/>
          </w:tcPr>
          <w:p w14:paraId="479CF12C" w14:textId="77777777" w:rsidR="009D3BA9" w:rsidRDefault="00585AFE" w:rsidP="001C6D3C">
            <w:pPr>
              <w:pStyle w:val="TableText"/>
              <w:rPr>
                <w:b/>
                <w:bCs/>
                <w:u w:val="single"/>
              </w:rPr>
            </w:pPr>
            <w:r w:rsidRPr="00585AFE">
              <w:rPr>
                <w:b/>
                <w:bCs/>
                <w:u w:val="single"/>
              </w:rPr>
              <w:t>National and FIP Fishery Management Plan updates</w:t>
            </w:r>
          </w:p>
          <w:p w14:paraId="5A7A9733" w14:textId="24391C95" w:rsidR="00585AFE" w:rsidRDefault="00585AFE" w:rsidP="00585AFE">
            <w:pPr>
              <w:pStyle w:val="ListParagraph"/>
              <w:numPr>
                <w:ilvl w:val="0"/>
                <w:numId w:val="31"/>
              </w:numPr>
              <w:rPr>
                <w:sz w:val="20"/>
                <w:szCs w:val="20"/>
              </w:rPr>
            </w:pPr>
            <w:r>
              <w:rPr>
                <w:sz w:val="20"/>
                <w:szCs w:val="20"/>
              </w:rPr>
              <w:t>Secretariat to:</w:t>
            </w:r>
          </w:p>
          <w:p w14:paraId="178BFAC4" w14:textId="75B2768B" w:rsidR="00585AFE" w:rsidRPr="00585AFE" w:rsidRDefault="00585AFE" w:rsidP="00585AFE">
            <w:pPr>
              <w:pStyle w:val="ListParagraph"/>
              <w:numPr>
                <w:ilvl w:val="1"/>
                <w:numId w:val="31"/>
              </w:numPr>
              <w:rPr>
                <w:sz w:val="20"/>
                <w:szCs w:val="20"/>
              </w:rPr>
            </w:pPr>
            <w:r w:rsidRPr="00585AFE">
              <w:rPr>
                <w:sz w:val="20"/>
                <w:szCs w:val="20"/>
              </w:rPr>
              <w:t>Contact</w:t>
            </w:r>
            <w:r w:rsidRPr="00585AFE" w:rsidDel="00873DB3">
              <w:rPr>
                <w:sz w:val="20"/>
                <w:szCs w:val="20"/>
              </w:rPr>
              <w:t xml:space="preserve"> </w:t>
            </w:r>
            <w:r w:rsidRPr="00585AFE">
              <w:rPr>
                <w:sz w:val="20"/>
                <w:szCs w:val="20"/>
              </w:rPr>
              <w:t>IFCA and MMO representatives to consolidate the material in section 1.</w:t>
            </w:r>
          </w:p>
          <w:p w14:paraId="701FDEE8" w14:textId="77777777" w:rsidR="00585AFE" w:rsidRPr="00585AFE" w:rsidRDefault="00585AFE" w:rsidP="00585AFE">
            <w:pPr>
              <w:pStyle w:val="ListParagraph"/>
              <w:numPr>
                <w:ilvl w:val="1"/>
                <w:numId w:val="31"/>
              </w:numPr>
              <w:rPr>
                <w:sz w:val="20"/>
                <w:szCs w:val="20"/>
              </w:rPr>
            </w:pPr>
            <w:r w:rsidRPr="00585AFE">
              <w:rPr>
                <w:sz w:val="20"/>
                <w:szCs w:val="20"/>
              </w:rPr>
              <w:t>Contact</w:t>
            </w:r>
            <w:r w:rsidRPr="00585AFE" w:rsidDel="00873DB3">
              <w:rPr>
                <w:sz w:val="20"/>
                <w:szCs w:val="20"/>
              </w:rPr>
              <w:t xml:space="preserve"> </w:t>
            </w:r>
            <w:r w:rsidRPr="00585AFE">
              <w:rPr>
                <w:sz w:val="20"/>
                <w:szCs w:val="20"/>
              </w:rPr>
              <w:t>CMG members for text on Sections 3 and 4.3.</w:t>
            </w:r>
          </w:p>
          <w:p w14:paraId="11B762D8" w14:textId="77777777" w:rsidR="00585AFE" w:rsidRPr="00585AFE" w:rsidRDefault="00585AFE" w:rsidP="00585AFE">
            <w:pPr>
              <w:pStyle w:val="ListParagraph"/>
              <w:numPr>
                <w:ilvl w:val="1"/>
                <w:numId w:val="31"/>
              </w:numPr>
              <w:rPr>
                <w:sz w:val="20"/>
                <w:szCs w:val="20"/>
              </w:rPr>
            </w:pPr>
            <w:r w:rsidRPr="00585AFE">
              <w:rPr>
                <w:sz w:val="20"/>
                <w:szCs w:val="20"/>
              </w:rPr>
              <w:t>Contact</w:t>
            </w:r>
            <w:r w:rsidRPr="00585AFE" w:rsidDel="00A153D1">
              <w:rPr>
                <w:sz w:val="20"/>
                <w:szCs w:val="20"/>
              </w:rPr>
              <w:t xml:space="preserve"> </w:t>
            </w:r>
            <w:r w:rsidRPr="00585AFE">
              <w:rPr>
                <w:sz w:val="20"/>
                <w:szCs w:val="20"/>
              </w:rPr>
              <w:t xml:space="preserve">industry members for information on other survey work and research underway to add to Section 6.3. and 6.4. </w:t>
            </w:r>
          </w:p>
          <w:p w14:paraId="4357B5FC" w14:textId="77777777" w:rsidR="00585AFE" w:rsidRPr="00585AFE" w:rsidRDefault="00585AFE" w:rsidP="00585AFE">
            <w:pPr>
              <w:pStyle w:val="ListParagraph"/>
              <w:numPr>
                <w:ilvl w:val="1"/>
                <w:numId w:val="31"/>
              </w:numPr>
              <w:rPr>
                <w:sz w:val="20"/>
                <w:szCs w:val="20"/>
              </w:rPr>
            </w:pPr>
            <w:r w:rsidRPr="00585AFE">
              <w:rPr>
                <w:sz w:val="20"/>
                <w:szCs w:val="20"/>
              </w:rPr>
              <w:t>Contact IFCA representatives for information on Section 7.</w:t>
            </w:r>
          </w:p>
          <w:p w14:paraId="0FEC528D" w14:textId="00AEC35E" w:rsidR="00585AFE" w:rsidRPr="00585AFE" w:rsidRDefault="00585AFE" w:rsidP="00585AFE">
            <w:pPr>
              <w:pStyle w:val="ListParagraph"/>
              <w:numPr>
                <w:ilvl w:val="0"/>
                <w:numId w:val="31"/>
              </w:numPr>
              <w:rPr>
                <w:sz w:val="20"/>
                <w:szCs w:val="20"/>
              </w:rPr>
            </w:pPr>
            <w:r w:rsidRPr="00585AFE">
              <w:rPr>
                <w:sz w:val="20"/>
                <w:szCs w:val="20"/>
              </w:rPr>
              <w:t xml:space="preserve">MJ to share Section 2 text, on policy and governance, with Secretariat. </w:t>
            </w:r>
          </w:p>
        </w:tc>
        <w:tc>
          <w:tcPr>
            <w:tcW w:w="1258" w:type="pct"/>
          </w:tcPr>
          <w:p w14:paraId="3BD5E4D4" w14:textId="77777777" w:rsidR="009D3BA9" w:rsidRDefault="009D3BA9" w:rsidP="00585AFE">
            <w:pPr>
              <w:pStyle w:val="TableText"/>
              <w:jc w:val="center"/>
              <w:rPr>
                <w:b/>
                <w:bCs/>
              </w:rPr>
            </w:pPr>
          </w:p>
          <w:p w14:paraId="009702B8" w14:textId="77777777" w:rsidR="00585AFE" w:rsidRDefault="00585AFE" w:rsidP="00585AFE">
            <w:pPr>
              <w:pStyle w:val="TableText"/>
              <w:jc w:val="center"/>
              <w:rPr>
                <w:b/>
                <w:bCs/>
              </w:rPr>
            </w:pPr>
            <w:r>
              <w:rPr>
                <w:b/>
                <w:bCs/>
              </w:rPr>
              <w:t xml:space="preserve">Secretariat </w:t>
            </w:r>
          </w:p>
          <w:p w14:paraId="64E9B2CC" w14:textId="77777777" w:rsidR="00585AFE" w:rsidRDefault="00585AFE" w:rsidP="00585AFE">
            <w:pPr>
              <w:pStyle w:val="TableText"/>
              <w:jc w:val="center"/>
              <w:rPr>
                <w:b/>
                <w:bCs/>
              </w:rPr>
            </w:pPr>
          </w:p>
          <w:p w14:paraId="7E4416FF" w14:textId="77777777" w:rsidR="00585AFE" w:rsidRDefault="00585AFE" w:rsidP="00585AFE">
            <w:pPr>
              <w:pStyle w:val="TableText"/>
              <w:jc w:val="center"/>
              <w:rPr>
                <w:b/>
                <w:bCs/>
              </w:rPr>
            </w:pPr>
          </w:p>
          <w:p w14:paraId="68C3EABF" w14:textId="77777777" w:rsidR="00585AFE" w:rsidRDefault="00585AFE" w:rsidP="00585AFE">
            <w:pPr>
              <w:pStyle w:val="TableText"/>
              <w:jc w:val="center"/>
              <w:rPr>
                <w:b/>
                <w:bCs/>
              </w:rPr>
            </w:pPr>
          </w:p>
          <w:p w14:paraId="20182A8F" w14:textId="77777777" w:rsidR="00585AFE" w:rsidRDefault="00585AFE" w:rsidP="00585AFE">
            <w:pPr>
              <w:pStyle w:val="TableText"/>
              <w:jc w:val="center"/>
              <w:rPr>
                <w:b/>
                <w:bCs/>
              </w:rPr>
            </w:pPr>
          </w:p>
          <w:p w14:paraId="69EAE12B" w14:textId="77777777" w:rsidR="00585AFE" w:rsidRDefault="00585AFE" w:rsidP="00585AFE">
            <w:pPr>
              <w:pStyle w:val="TableText"/>
              <w:jc w:val="center"/>
              <w:rPr>
                <w:b/>
                <w:bCs/>
              </w:rPr>
            </w:pPr>
          </w:p>
          <w:p w14:paraId="782792B5" w14:textId="627DDD58" w:rsidR="00585AFE" w:rsidRPr="00585AFE" w:rsidRDefault="00585AFE" w:rsidP="00585AFE">
            <w:pPr>
              <w:pStyle w:val="TableText"/>
              <w:jc w:val="center"/>
              <w:rPr>
                <w:b/>
                <w:bCs/>
              </w:rPr>
            </w:pPr>
            <w:r>
              <w:rPr>
                <w:b/>
                <w:bCs/>
              </w:rPr>
              <w:t>Matthew Johnson</w:t>
            </w:r>
          </w:p>
        </w:tc>
      </w:tr>
      <w:tr w:rsidR="009D3BA9" w14:paraId="3BC3B96A" w14:textId="77777777" w:rsidTr="009D3BA9">
        <w:tc>
          <w:tcPr>
            <w:tcW w:w="3742" w:type="pct"/>
          </w:tcPr>
          <w:p w14:paraId="00F65A05" w14:textId="77777777" w:rsidR="009D3BA9" w:rsidRDefault="00585AFE" w:rsidP="001C6D3C">
            <w:pPr>
              <w:pStyle w:val="TableText"/>
              <w:rPr>
                <w:b/>
                <w:bCs/>
                <w:u w:val="single"/>
              </w:rPr>
            </w:pPr>
            <w:r w:rsidRPr="00585AFE">
              <w:rPr>
                <w:b/>
                <w:bCs/>
                <w:u w:val="single"/>
              </w:rPr>
              <w:t>Debrief from Defra’s Western Waters workshop</w:t>
            </w:r>
          </w:p>
          <w:p w14:paraId="09449477" w14:textId="77777777" w:rsidR="00585AFE" w:rsidRPr="00585AFE" w:rsidRDefault="00585AFE" w:rsidP="00585AFE">
            <w:pPr>
              <w:pStyle w:val="ListParagraph"/>
              <w:numPr>
                <w:ilvl w:val="0"/>
                <w:numId w:val="32"/>
              </w:numPr>
              <w:rPr>
                <w:sz w:val="20"/>
                <w:szCs w:val="20"/>
              </w:rPr>
            </w:pPr>
            <w:r w:rsidRPr="00585AFE">
              <w:rPr>
                <w:sz w:val="20"/>
                <w:szCs w:val="20"/>
              </w:rPr>
              <w:t>CP to share suggestions for consultancy support on developing a harvest strategy</w:t>
            </w:r>
          </w:p>
          <w:p w14:paraId="27004417" w14:textId="77777777" w:rsidR="00585AFE" w:rsidRPr="00585AFE" w:rsidRDefault="00585AFE" w:rsidP="00585AFE">
            <w:pPr>
              <w:pStyle w:val="ListParagraph"/>
              <w:numPr>
                <w:ilvl w:val="0"/>
                <w:numId w:val="32"/>
              </w:numPr>
              <w:rPr>
                <w:sz w:val="20"/>
                <w:szCs w:val="20"/>
              </w:rPr>
            </w:pPr>
            <w:r w:rsidRPr="00585AFE">
              <w:rPr>
                <w:sz w:val="20"/>
                <w:szCs w:val="20"/>
              </w:rPr>
              <w:t>Secretariat to:</w:t>
            </w:r>
          </w:p>
          <w:p w14:paraId="5040FC4C" w14:textId="77777777" w:rsidR="00585AFE" w:rsidRPr="00585AFE" w:rsidRDefault="00585AFE" w:rsidP="00585AFE">
            <w:pPr>
              <w:pStyle w:val="ListParagraph"/>
              <w:numPr>
                <w:ilvl w:val="1"/>
                <w:numId w:val="32"/>
              </w:numPr>
              <w:rPr>
                <w:sz w:val="20"/>
                <w:szCs w:val="20"/>
              </w:rPr>
            </w:pPr>
            <w:r w:rsidRPr="00585AFE">
              <w:rPr>
                <w:sz w:val="20"/>
                <w:szCs w:val="20"/>
              </w:rPr>
              <w:t>arrange the development of a matrix of the pros and cons of different management options in the Cefas report.</w:t>
            </w:r>
          </w:p>
          <w:p w14:paraId="681BD68F" w14:textId="77777777" w:rsidR="00585AFE" w:rsidRPr="00585AFE" w:rsidRDefault="00585AFE" w:rsidP="00585AFE">
            <w:pPr>
              <w:pStyle w:val="ListParagraph"/>
              <w:numPr>
                <w:ilvl w:val="1"/>
                <w:numId w:val="32"/>
              </w:numPr>
              <w:rPr>
                <w:sz w:val="20"/>
                <w:szCs w:val="20"/>
              </w:rPr>
            </w:pPr>
            <w:r w:rsidRPr="00585AFE">
              <w:rPr>
                <w:sz w:val="20"/>
                <w:szCs w:val="20"/>
              </w:rPr>
              <w:t>arrange the strawman harvest strategy to include references to the MMO and IFCA management measures already in place.</w:t>
            </w:r>
          </w:p>
          <w:p w14:paraId="0F031BD2" w14:textId="77777777" w:rsidR="00585AFE" w:rsidRPr="00585AFE" w:rsidRDefault="00585AFE" w:rsidP="00585AFE">
            <w:pPr>
              <w:pStyle w:val="ListParagraph"/>
              <w:numPr>
                <w:ilvl w:val="1"/>
                <w:numId w:val="32"/>
              </w:numPr>
              <w:rPr>
                <w:sz w:val="20"/>
                <w:szCs w:val="20"/>
              </w:rPr>
            </w:pPr>
            <w:r w:rsidRPr="00585AFE">
              <w:rPr>
                <w:sz w:val="20"/>
                <w:szCs w:val="20"/>
              </w:rPr>
              <w:t xml:space="preserve">Speak to BP about organising workshops for industry to provide their suggestions for management, and summarise the outputs to submit to Defra as a request for management in the Southwest. </w:t>
            </w:r>
          </w:p>
          <w:p w14:paraId="4FEB8DC0" w14:textId="36BFA55D" w:rsidR="00585AFE" w:rsidRPr="00585AFE" w:rsidRDefault="00585AFE" w:rsidP="00585AFE">
            <w:pPr>
              <w:pStyle w:val="ListParagraph"/>
              <w:numPr>
                <w:ilvl w:val="1"/>
                <w:numId w:val="32"/>
              </w:numPr>
              <w:rPr>
                <w:sz w:val="20"/>
                <w:szCs w:val="20"/>
              </w:rPr>
            </w:pPr>
            <w:r w:rsidRPr="00585AFE">
              <w:rPr>
                <w:sz w:val="20"/>
                <w:szCs w:val="20"/>
              </w:rPr>
              <w:t>Start process for hiring a consultant to support the Steering Group to develop a harvest strategy.</w:t>
            </w:r>
          </w:p>
        </w:tc>
        <w:tc>
          <w:tcPr>
            <w:tcW w:w="1258" w:type="pct"/>
          </w:tcPr>
          <w:p w14:paraId="24B95371" w14:textId="77777777" w:rsidR="009D3BA9" w:rsidRDefault="009D3BA9" w:rsidP="00585AFE">
            <w:pPr>
              <w:pStyle w:val="TableText"/>
              <w:jc w:val="center"/>
              <w:rPr>
                <w:b/>
                <w:bCs/>
              </w:rPr>
            </w:pPr>
          </w:p>
          <w:p w14:paraId="24ED0D30" w14:textId="77777777" w:rsidR="00585AFE" w:rsidRDefault="00585AFE" w:rsidP="00585AFE">
            <w:pPr>
              <w:pStyle w:val="TableText"/>
              <w:jc w:val="center"/>
              <w:rPr>
                <w:b/>
                <w:bCs/>
              </w:rPr>
            </w:pPr>
            <w:r>
              <w:rPr>
                <w:b/>
                <w:bCs/>
              </w:rPr>
              <w:t>Claire Pescod</w:t>
            </w:r>
          </w:p>
          <w:p w14:paraId="1A167EE1" w14:textId="77777777" w:rsidR="00585AFE" w:rsidRDefault="00585AFE" w:rsidP="00585AFE">
            <w:pPr>
              <w:pStyle w:val="TableText"/>
              <w:jc w:val="center"/>
              <w:rPr>
                <w:b/>
                <w:bCs/>
              </w:rPr>
            </w:pPr>
          </w:p>
          <w:p w14:paraId="1AA9E135" w14:textId="5DF12A06" w:rsidR="00585AFE" w:rsidRPr="00585AFE" w:rsidRDefault="00585AFE" w:rsidP="00585AFE">
            <w:pPr>
              <w:pStyle w:val="TableText"/>
              <w:jc w:val="center"/>
              <w:rPr>
                <w:b/>
                <w:bCs/>
              </w:rPr>
            </w:pPr>
            <w:r>
              <w:rPr>
                <w:b/>
                <w:bCs/>
              </w:rPr>
              <w:t xml:space="preserve">Secretariat </w:t>
            </w:r>
          </w:p>
        </w:tc>
      </w:tr>
      <w:tr w:rsidR="009D3BA9" w14:paraId="55E38D0D" w14:textId="77777777" w:rsidTr="009D3BA9">
        <w:tc>
          <w:tcPr>
            <w:tcW w:w="3742" w:type="pct"/>
          </w:tcPr>
          <w:p w14:paraId="12321B31" w14:textId="77777777" w:rsidR="009D3BA9" w:rsidRPr="002D312B" w:rsidRDefault="002D312B" w:rsidP="001C6D3C">
            <w:pPr>
              <w:pStyle w:val="TableText"/>
              <w:rPr>
                <w:b/>
                <w:bCs/>
                <w:u w:val="single"/>
              </w:rPr>
            </w:pPr>
            <w:r w:rsidRPr="002D312B">
              <w:rPr>
                <w:b/>
                <w:bCs/>
                <w:u w:val="single"/>
              </w:rPr>
              <w:t>Effort information</w:t>
            </w:r>
          </w:p>
          <w:p w14:paraId="69C1205E" w14:textId="77777777" w:rsidR="002D312B" w:rsidRPr="002D312B" w:rsidRDefault="002D312B" w:rsidP="002D312B">
            <w:pPr>
              <w:pStyle w:val="ListParagraph"/>
              <w:numPr>
                <w:ilvl w:val="0"/>
                <w:numId w:val="33"/>
              </w:numPr>
              <w:rPr>
                <w:sz w:val="20"/>
                <w:szCs w:val="20"/>
              </w:rPr>
            </w:pPr>
            <w:r w:rsidRPr="002D312B">
              <w:rPr>
                <w:sz w:val="20"/>
                <w:szCs w:val="20"/>
              </w:rPr>
              <w:t>Secretariat to arrange a Steering Group meeting to discuss progress on the harvest strategy and HCRs, as well as the potential FIP extension timeline, in early 2022.</w:t>
            </w:r>
          </w:p>
          <w:p w14:paraId="3103AC63" w14:textId="77777777" w:rsidR="002D312B" w:rsidRPr="002D312B" w:rsidRDefault="002D312B" w:rsidP="002D312B">
            <w:pPr>
              <w:pStyle w:val="ListParagraph"/>
              <w:numPr>
                <w:ilvl w:val="0"/>
                <w:numId w:val="33"/>
              </w:numPr>
              <w:rPr>
                <w:sz w:val="20"/>
                <w:szCs w:val="20"/>
              </w:rPr>
            </w:pPr>
            <w:r w:rsidRPr="002D312B">
              <w:rPr>
                <w:sz w:val="20"/>
                <w:szCs w:val="20"/>
              </w:rPr>
              <w:t xml:space="preserve">HG to deliver formal presentation on effort data for the next Steering Group meeting in January. </w:t>
            </w:r>
          </w:p>
          <w:p w14:paraId="299A2D31" w14:textId="5B843451" w:rsidR="002D312B" w:rsidRPr="00A048AE" w:rsidRDefault="002D312B" w:rsidP="002D312B">
            <w:pPr>
              <w:pStyle w:val="ListParagraph"/>
              <w:numPr>
                <w:ilvl w:val="0"/>
                <w:numId w:val="33"/>
              </w:numPr>
            </w:pPr>
            <w:r w:rsidRPr="002D312B">
              <w:rPr>
                <w:sz w:val="20"/>
                <w:szCs w:val="20"/>
              </w:rPr>
              <w:t>All to send any specific questions about the MMO effort data to the Secretariat who will collate it and send to HG ahead of his presentation</w:t>
            </w:r>
            <w:r>
              <w:t xml:space="preserve">. </w:t>
            </w:r>
          </w:p>
        </w:tc>
        <w:tc>
          <w:tcPr>
            <w:tcW w:w="1258" w:type="pct"/>
          </w:tcPr>
          <w:p w14:paraId="69C95229" w14:textId="77777777" w:rsidR="009D3BA9" w:rsidRDefault="009D3BA9" w:rsidP="00585AFE">
            <w:pPr>
              <w:pStyle w:val="TableText"/>
              <w:jc w:val="center"/>
              <w:rPr>
                <w:b/>
                <w:bCs/>
              </w:rPr>
            </w:pPr>
          </w:p>
          <w:p w14:paraId="35F5209A" w14:textId="77777777" w:rsidR="002D312B" w:rsidRDefault="002D312B" w:rsidP="00585AFE">
            <w:pPr>
              <w:pStyle w:val="TableText"/>
              <w:jc w:val="center"/>
              <w:rPr>
                <w:b/>
                <w:bCs/>
              </w:rPr>
            </w:pPr>
            <w:r>
              <w:rPr>
                <w:b/>
                <w:bCs/>
              </w:rPr>
              <w:t xml:space="preserve">Secretariat </w:t>
            </w:r>
          </w:p>
          <w:p w14:paraId="7F8B0B92" w14:textId="77777777" w:rsidR="002D312B" w:rsidRDefault="002D312B" w:rsidP="00585AFE">
            <w:pPr>
              <w:pStyle w:val="TableText"/>
              <w:jc w:val="center"/>
              <w:rPr>
                <w:b/>
                <w:bCs/>
              </w:rPr>
            </w:pPr>
          </w:p>
          <w:p w14:paraId="2535F37A" w14:textId="77777777" w:rsidR="002D312B" w:rsidRDefault="002D312B" w:rsidP="00585AFE">
            <w:pPr>
              <w:pStyle w:val="TableText"/>
              <w:jc w:val="center"/>
              <w:rPr>
                <w:b/>
                <w:bCs/>
              </w:rPr>
            </w:pPr>
          </w:p>
          <w:p w14:paraId="5F3AB0A3" w14:textId="77777777" w:rsidR="002D312B" w:rsidRDefault="002D312B" w:rsidP="00585AFE">
            <w:pPr>
              <w:pStyle w:val="TableText"/>
              <w:jc w:val="center"/>
              <w:rPr>
                <w:b/>
                <w:bCs/>
              </w:rPr>
            </w:pPr>
            <w:r>
              <w:rPr>
                <w:b/>
                <w:bCs/>
              </w:rPr>
              <w:t xml:space="preserve">Hubert Gieschen </w:t>
            </w:r>
          </w:p>
          <w:p w14:paraId="6B752B3E" w14:textId="77777777" w:rsidR="002D312B" w:rsidRDefault="002D312B" w:rsidP="00585AFE">
            <w:pPr>
              <w:pStyle w:val="TableText"/>
              <w:jc w:val="center"/>
              <w:rPr>
                <w:b/>
                <w:bCs/>
              </w:rPr>
            </w:pPr>
          </w:p>
          <w:p w14:paraId="1AC46734" w14:textId="09DD90F5" w:rsidR="002D312B" w:rsidRPr="00585AFE" w:rsidRDefault="002D312B" w:rsidP="00585AFE">
            <w:pPr>
              <w:pStyle w:val="TableText"/>
              <w:jc w:val="center"/>
              <w:rPr>
                <w:b/>
                <w:bCs/>
              </w:rPr>
            </w:pPr>
            <w:r>
              <w:rPr>
                <w:b/>
                <w:bCs/>
              </w:rPr>
              <w:t>Steering Group</w:t>
            </w:r>
          </w:p>
        </w:tc>
      </w:tr>
      <w:tr w:rsidR="009D3BA9" w14:paraId="255699E3" w14:textId="77777777" w:rsidTr="009D3BA9">
        <w:tc>
          <w:tcPr>
            <w:tcW w:w="3742" w:type="pct"/>
          </w:tcPr>
          <w:p w14:paraId="04440B1F" w14:textId="77777777" w:rsidR="009D3BA9" w:rsidRDefault="007B6537" w:rsidP="001C6D3C">
            <w:pPr>
              <w:pStyle w:val="TableText"/>
              <w:rPr>
                <w:b/>
                <w:bCs/>
                <w:u w:val="single"/>
              </w:rPr>
            </w:pPr>
            <w:r>
              <w:rPr>
                <w:b/>
                <w:bCs/>
                <w:u w:val="single"/>
              </w:rPr>
              <w:t>AOB</w:t>
            </w:r>
          </w:p>
          <w:p w14:paraId="4786C934" w14:textId="2D5168ED" w:rsidR="007B6537" w:rsidRPr="007B6537" w:rsidRDefault="007B6537" w:rsidP="001C6D3C">
            <w:pPr>
              <w:pStyle w:val="TableText"/>
            </w:pPr>
            <w:r>
              <w:t>1. BP to conduct a survey to identify if any of her organisation’s vessels meet the risk assessment criteria, and inform the Secretariat of the results</w:t>
            </w:r>
          </w:p>
        </w:tc>
        <w:tc>
          <w:tcPr>
            <w:tcW w:w="1258" w:type="pct"/>
          </w:tcPr>
          <w:p w14:paraId="6E29B20A" w14:textId="77777777" w:rsidR="009D3BA9" w:rsidRDefault="009D3BA9" w:rsidP="00585AFE">
            <w:pPr>
              <w:pStyle w:val="TableText"/>
              <w:jc w:val="center"/>
              <w:rPr>
                <w:b/>
                <w:bCs/>
              </w:rPr>
            </w:pPr>
          </w:p>
          <w:p w14:paraId="18E1A83C" w14:textId="5B898C4B" w:rsidR="007B6537" w:rsidRPr="00585AFE" w:rsidRDefault="007B6537" w:rsidP="00585AFE">
            <w:pPr>
              <w:pStyle w:val="TableText"/>
              <w:jc w:val="center"/>
              <w:rPr>
                <w:b/>
                <w:bCs/>
              </w:rPr>
            </w:pPr>
            <w:r>
              <w:rPr>
                <w:b/>
                <w:bCs/>
              </w:rPr>
              <w:t>Beshlie Pool</w:t>
            </w:r>
          </w:p>
        </w:tc>
      </w:tr>
    </w:tbl>
    <w:p w14:paraId="10515F78" w14:textId="4B719E0F" w:rsidR="00120C87" w:rsidRDefault="00120C87" w:rsidP="00120C87">
      <w:pPr>
        <w:tabs>
          <w:tab w:val="left" w:pos="3670"/>
        </w:tabs>
      </w:pPr>
    </w:p>
    <w:p w14:paraId="1A0B00EE" w14:textId="77777777" w:rsidR="005459DD" w:rsidRPr="00120C87" w:rsidRDefault="005459DD" w:rsidP="00120C87">
      <w:pPr>
        <w:tabs>
          <w:tab w:val="left" w:pos="3670"/>
        </w:tabs>
      </w:pPr>
    </w:p>
    <w:sectPr w:rsidR="005459DD" w:rsidRPr="00120C87" w:rsidSect="009E261D">
      <w:headerReference w:type="even" r:id="rId14"/>
      <w:headerReference w:type="default" r:id="rId15"/>
      <w:footerReference w:type="default" r:id="rId16"/>
      <w:headerReference w:type="first" r:id="rId17"/>
      <w:footerReference w:type="first" r:id="rId18"/>
      <w:pgSz w:w="11906" w:h="16838"/>
      <w:pgMar w:top="2126" w:right="1440" w:bottom="1440" w:left="1440" w:header="851"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0C21" w14:textId="77777777" w:rsidR="0087070A" w:rsidRDefault="0087070A" w:rsidP="00F42911">
      <w:r>
        <w:separator/>
      </w:r>
    </w:p>
    <w:p w14:paraId="5D221F95" w14:textId="77777777" w:rsidR="0087070A" w:rsidRDefault="0087070A" w:rsidP="00F42911"/>
    <w:p w14:paraId="01228FEB" w14:textId="77777777" w:rsidR="0087070A" w:rsidRDefault="0087070A" w:rsidP="00F42911"/>
    <w:p w14:paraId="25F7D65B" w14:textId="77777777" w:rsidR="0087070A" w:rsidRDefault="0087070A" w:rsidP="00F42911"/>
  </w:endnote>
  <w:endnote w:type="continuationSeparator" w:id="0">
    <w:p w14:paraId="52A09FB0" w14:textId="77777777" w:rsidR="0087070A" w:rsidRDefault="0087070A" w:rsidP="00F42911">
      <w:r>
        <w:continuationSeparator/>
      </w:r>
    </w:p>
    <w:p w14:paraId="771B00B5" w14:textId="77777777" w:rsidR="0087070A" w:rsidRDefault="0087070A" w:rsidP="00F42911"/>
    <w:p w14:paraId="61F71923" w14:textId="77777777" w:rsidR="0087070A" w:rsidRDefault="0087070A" w:rsidP="00F42911"/>
    <w:p w14:paraId="5F8C3771" w14:textId="77777777" w:rsidR="0087070A" w:rsidRDefault="0087070A" w:rsidP="00F42911"/>
  </w:endnote>
  <w:endnote w:type="continuationNotice" w:id="1">
    <w:p w14:paraId="77C6C0EE" w14:textId="77777777" w:rsidR="007B70C1" w:rsidRDefault="007B7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6E9" w14:textId="4410E4DE" w:rsidR="00FB1413" w:rsidRPr="00FB1413" w:rsidRDefault="00A628C4" w:rsidP="00FB1413">
    <w:pPr>
      <w:pStyle w:val="Footer"/>
      <w:framePr w:wrap="auto" w:vAnchor="margin" w:yAlign="inline"/>
    </w:pPr>
    <w:r>
      <w:rPr>
        <w:noProof/>
      </w:rPr>
      <w:drawing>
        <wp:anchor distT="0" distB="0" distL="114300" distR="114300" simplePos="0" relativeHeight="251658244" behindDoc="1" locked="0" layoutInCell="1" allowOverlap="1" wp14:anchorId="0C6EDC87" wp14:editId="2526F76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FCA">
      <w:rPr>
        <w:noProof/>
      </w:rPr>
      <w:drawing>
        <wp:anchor distT="0" distB="0" distL="114300" distR="114300" simplePos="0" relativeHeight="251658247" behindDoc="0" locked="0" layoutInCell="1" allowOverlap="1" wp14:anchorId="50B57100" wp14:editId="217EA320">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AD9">
      <w:rPr>
        <w:noProof/>
      </w:rPr>
      <mc:AlternateContent>
        <mc:Choice Requires="wps">
          <w:drawing>
            <wp:anchor distT="45720" distB="45720" distL="114300" distR="114300" simplePos="0" relativeHeight="251658243" behindDoc="0" locked="0" layoutInCell="1" allowOverlap="1" wp14:anchorId="0F1ACDDA" wp14:editId="4B81AD59">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FE3AD9" w:rsidRPr="00FE3AD9" w:rsidRDefault="00FE3AD9">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GnDgIAAPU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" filled="f" stroked="f">
              <v:textbox style="mso-fit-shape-to-text:t">
                <w:txbxContent>
                  <w:p w14:paraId="17E5ADC0" w14:textId="27A2BE69" w:rsidR="00FE3AD9" w:rsidRPr="00FE3AD9" w:rsidRDefault="00FE3AD9">
                    <w:pPr>
                      <w:rPr>
                        <w:color w:val="FFFFFF" w:themeColor="background1"/>
                      </w:rPr>
                    </w:pPr>
                    <w:r w:rsidRPr="00FE3AD9">
                      <w:rPr>
                        <w:color w:val="FFFFFF" w:themeColor="background1"/>
                      </w:rPr>
                      <w:t>Minutes</w:t>
                    </w:r>
                  </w:p>
                </w:txbxContent>
              </v:textbox>
              <w10:wrap type="square"/>
            </v:shape>
          </w:pict>
        </mc:Fallback>
      </mc:AlternateContent>
    </w:r>
    <w:r w:rsidR="00FB1413">
      <w:rPr>
        <w:noProof/>
      </w:rPr>
      <w:drawing>
        <wp:anchor distT="0" distB="0" distL="114300" distR="114300" simplePos="0" relativeHeight="251658242" behindDoc="1" locked="0" layoutInCell="1" allowOverlap="1" wp14:anchorId="10FC7533" wp14:editId="5391EECC">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rsidR="00FE3AD9">
      <w:tab/>
    </w:r>
    <w:r w:rsidR="00FE3AD9">
      <w:tab/>
    </w:r>
    <w:r w:rsidR="00B46339">
      <w:t>14 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9BDA" w14:textId="26E0EB3E" w:rsidR="0090020D" w:rsidRDefault="00330FCA" w:rsidP="0090020D">
    <w:pPr>
      <w:pStyle w:val="Footer"/>
      <w:framePr w:wrap="auto" w:vAnchor="margin" w:yAlign="inline"/>
      <w:rPr>
        <w:noProof/>
      </w:rPr>
    </w:pPr>
    <w:r>
      <w:rPr>
        <w:noProof/>
      </w:rPr>
      <w:drawing>
        <wp:anchor distT="0" distB="0" distL="114300" distR="114300" simplePos="0" relativeHeight="251658246" behindDoc="0" locked="0" layoutInCell="1" allowOverlap="1" wp14:anchorId="3D9B2C93" wp14:editId="64181D48">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0D" w:rsidRPr="00E24EC2">
      <w:rPr>
        <w:noProof/>
      </w:rPr>
      <w:drawing>
        <wp:anchor distT="0" distB="0" distL="114300" distR="114300" simplePos="0" relativeHeight="251658240" behindDoc="1" locked="0" layoutInCell="1" allowOverlap="1" wp14:anchorId="22C9813E" wp14:editId="2B2B68B0">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90020D" w:rsidRDefault="0090020D"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F390" w14:textId="77777777" w:rsidR="0087070A" w:rsidRDefault="0087070A" w:rsidP="00F42911">
      <w:r>
        <w:separator/>
      </w:r>
    </w:p>
    <w:p w14:paraId="7AEFA99C" w14:textId="77777777" w:rsidR="0087070A" w:rsidRDefault="0087070A" w:rsidP="00F42911"/>
    <w:p w14:paraId="574ABEC1" w14:textId="77777777" w:rsidR="0087070A" w:rsidRDefault="0087070A" w:rsidP="00F42911"/>
    <w:p w14:paraId="6984E055" w14:textId="77777777" w:rsidR="0087070A" w:rsidRDefault="0087070A" w:rsidP="00F42911"/>
  </w:footnote>
  <w:footnote w:type="continuationSeparator" w:id="0">
    <w:p w14:paraId="538855B6" w14:textId="77777777" w:rsidR="0087070A" w:rsidRDefault="0087070A" w:rsidP="00F42911">
      <w:r>
        <w:continuationSeparator/>
      </w:r>
    </w:p>
    <w:p w14:paraId="304D0E85" w14:textId="77777777" w:rsidR="0087070A" w:rsidRDefault="0087070A" w:rsidP="00F42911"/>
    <w:p w14:paraId="1732D145" w14:textId="77777777" w:rsidR="0087070A" w:rsidRDefault="0087070A" w:rsidP="00F42911"/>
    <w:p w14:paraId="13930C73" w14:textId="77777777" w:rsidR="0087070A" w:rsidRDefault="0087070A" w:rsidP="00F42911"/>
  </w:footnote>
  <w:footnote w:type="continuationNotice" w:id="1">
    <w:p w14:paraId="4B6CEF81" w14:textId="77777777" w:rsidR="007B70C1" w:rsidRDefault="007B70C1">
      <w:pPr>
        <w:spacing w:after="0" w:line="240" w:lineRule="auto"/>
      </w:pPr>
    </w:p>
  </w:footnote>
  <w:footnote w:id="2">
    <w:p w14:paraId="6BECEC6A" w14:textId="3A3F4600" w:rsidR="003039EA" w:rsidRDefault="003039EA">
      <w:pPr>
        <w:pStyle w:val="FootnoteText"/>
      </w:pPr>
      <w:r>
        <w:rPr>
          <w:rStyle w:val="FootnoteReference"/>
        </w:rPr>
        <w:footnoteRef/>
      </w:r>
      <w:r>
        <w:t xml:space="preserve"> </w:t>
      </w:r>
      <w:r w:rsidRPr="003039EA">
        <w:t>http://sciencesearch.defra.gov.uk/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E491" w14:textId="2572C020" w:rsidR="00DD6617" w:rsidRDefault="00035A1F">
    <w:pPr>
      <w:pStyle w:val="Header"/>
    </w:pPr>
    <w:r>
      <w:rPr>
        <w:noProof/>
      </w:rPr>
      <w:pict w14:anchorId="74596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230;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5618" w14:textId="291A50F3" w:rsidR="00FB1413" w:rsidRDefault="00035A1F">
    <w:pPr>
      <w:pStyle w:val="Header"/>
    </w:pPr>
    <w:sdt>
      <w:sdtPr>
        <w:id w:val="-1644800772"/>
        <w:docPartObj>
          <w:docPartGallery w:val="Page Numbers (Top of Page)"/>
          <w:docPartUnique/>
        </w:docPartObj>
      </w:sdtPr>
      <w:sdtEndPr>
        <w:rPr>
          <w:noProof/>
          <w:color w:val="1B98C7"/>
        </w:rPr>
      </w:sdtEndPr>
      <w:sdtContent>
        <w:r w:rsidR="006A7639" w:rsidRPr="00653BCC">
          <w:rPr>
            <w:noProof/>
            <w:color w:val="1B98C7"/>
          </w:rPr>
          <w:drawing>
            <wp:anchor distT="0" distB="0" distL="114300" distR="114300" simplePos="0" relativeHeight="251658241" behindDoc="1" locked="0" layoutInCell="1" allowOverlap="1" wp14:anchorId="70F79581" wp14:editId="0F8F169C">
              <wp:simplePos x="0" y="0"/>
              <wp:positionH relativeFrom="column">
                <wp:posOffset>4509135</wp:posOffset>
              </wp:positionH>
              <wp:positionV relativeFrom="paragraph">
                <wp:posOffset>-247650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CF1472">
          <w:rPr>
            <w:noProof/>
          </w:rPr>
          <w:drawing>
            <wp:anchor distT="0" distB="0" distL="114300" distR="114300" simplePos="0" relativeHeight="251658245" behindDoc="1" locked="0" layoutInCell="1" allowOverlap="1" wp14:anchorId="74DB5479" wp14:editId="2C6FC3F4">
              <wp:simplePos x="0" y="0"/>
              <wp:positionH relativeFrom="column">
                <wp:posOffset>-158698</wp:posOffset>
              </wp:positionH>
              <wp:positionV relativeFrom="paragraph">
                <wp:posOffset>-79406</wp:posOffset>
              </wp:positionV>
              <wp:extent cx="385409" cy="36273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05" cy="378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413" w:rsidRPr="00653BCC">
          <w:rPr>
            <w:color w:val="1B98C7"/>
          </w:rPr>
          <w:fldChar w:fldCharType="begin"/>
        </w:r>
        <w:r w:rsidR="00FB1413" w:rsidRPr="00653BCC">
          <w:rPr>
            <w:color w:val="1B98C7"/>
          </w:rPr>
          <w:instrText xml:space="preserve"> PAGE   \* MERGEFORMAT </w:instrText>
        </w:r>
        <w:r w:rsidR="00FB1413" w:rsidRPr="00653BCC">
          <w:rPr>
            <w:color w:val="1B98C7"/>
          </w:rPr>
          <w:fldChar w:fldCharType="separate"/>
        </w:r>
        <w:r w:rsidR="00FB1413" w:rsidRPr="00653BCC">
          <w:rPr>
            <w:noProof/>
            <w:color w:val="1B98C7"/>
          </w:rPr>
          <w:t>2</w:t>
        </w:r>
        <w:r w:rsidR="00FB1413" w:rsidRPr="00653BCC">
          <w:rPr>
            <w:noProof/>
            <w:color w:val="1B98C7"/>
          </w:rPr>
          <w:fldChar w:fldCharType="end"/>
        </w:r>
      </w:sdtContent>
    </w:sdt>
  </w:p>
  <w:p w14:paraId="71634F97" w14:textId="5D98ED04" w:rsidR="00C857B2" w:rsidRDefault="00653BCC" w:rsidP="00CF1472">
    <w:pPr>
      <w:pStyle w:val="Header"/>
      <w:tabs>
        <w:tab w:val="clear" w:pos="4513"/>
        <w:tab w:val="clear" w:pos="9026"/>
        <w:tab w:val="left" w:pos="607"/>
        <w:tab w:val="left" w:pos="2285"/>
      </w:tabs>
    </w:pPr>
    <w:r>
      <w:tab/>
    </w:r>
    <w:r w:rsidR="00CF14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D137" w14:textId="4C606548" w:rsidR="00DB5CF2" w:rsidRDefault="00A628C4">
    <w:pPr>
      <w:pStyle w:val="Header"/>
      <w:rPr>
        <w:noProof/>
      </w:rPr>
    </w:pPr>
    <w:r w:rsidRPr="00653BCC">
      <w:rPr>
        <w:noProof/>
        <w:color w:val="1B98C7"/>
      </w:rPr>
      <w:drawing>
        <wp:anchor distT="0" distB="0" distL="114300" distR="114300" simplePos="0" relativeHeight="251658248" behindDoc="1" locked="0" layoutInCell="1" allowOverlap="1" wp14:anchorId="7610968C" wp14:editId="3A329AF4">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DB5CF2">
      <w:rPr>
        <w:noProof/>
      </w:rPr>
      <w:ptab w:relativeTo="margin" w:alignment="center" w:leader="none"/>
    </w:r>
  </w:p>
  <w:p w14:paraId="390FD3A0" w14:textId="1C4B2CEA" w:rsidR="00DB5CF2" w:rsidRDefault="00D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16A"/>
    <w:multiLevelType w:val="hybridMultilevel"/>
    <w:tmpl w:val="D28A9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E1A9F"/>
    <w:multiLevelType w:val="hybridMultilevel"/>
    <w:tmpl w:val="E7262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97591"/>
    <w:multiLevelType w:val="hybridMultilevel"/>
    <w:tmpl w:val="6198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07F3D"/>
    <w:multiLevelType w:val="hybridMultilevel"/>
    <w:tmpl w:val="F3ACD558"/>
    <w:lvl w:ilvl="0" w:tplc="24263570">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66A1987"/>
    <w:multiLevelType w:val="hybridMultilevel"/>
    <w:tmpl w:val="EA126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3114F"/>
    <w:multiLevelType w:val="hybridMultilevel"/>
    <w:tmpl w:val="4B7A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D34D7"/>
    <w:multiLevelType w:val="hybridMultilevel"/>
    <w:tmpl w:val="91F6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51FD2"/>
    <w:multiLevelType w:val="hybridMultilevel"/>
    <w:tmpl w:val="FC86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E67A2"/>
    <w:multiLevelType w:val="hybridMultilevel"/>
    <w:tmpl w:val="0496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94AB8"/>
    <w:multiLevelType w:val="hybridMultilevel"/>
    <w:tmpl w:val="49CC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0152B"/>
    <w:multiLevelType w:val="hybridMultilevel"/>
    <w:tmpl w:val="FAC4E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203C28"/>
    <w:multiLevelType w:val="hybridMultilevel"/>
    <w:tmpl w:val="136A1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7D18EA"/>
    <w:multiLevelType w:val="hybridMultilevel"/>
    <w:tmpl w:val="0894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D04E4"/>
    <w:multiLevelType w:val="hybridMultilevel"/>
    <w:tmpl w:val="F4E45020"/>
    <w:lvl w:ilvl="0" w:tplc="FFFFFFFF">
      <w:start w:val="1"/>
      <w:numFmt w:val="decimal"/>
      <w:lvlText w:val="%1."/>
      <w:lvlJc w:val="left"/>
      <w:pPr>
        <w:ind w:left="360" w:hanging="360"/>
      </w:pPr>
      <w:rPr>
        <w:rFonts w:hint="default"/>
      </w:rPr>
    </w:lvl>
    <w:lvl w:ilvl="1" w:tplc="FFFFFFFF">
      <w:start w:val="1"/>
      <w:numFmt w:val="lowerLetter"/>
      <w:lvlText w:val="%2."/>
      <w:lvlJc w:val="left"/>
      <w:pPr>
        <w:ind w:left="786"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3391E12"/>
    <w:multiLevelType w:val="hybridMultilevel"/>
    <w:tmpl w:val="BC62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B6A25"/>
    <w:multiLevelType w:val="hybridMultilevel"/>
    <w:tmpl w:val="9C9ECF76"/>
    <w:lvl w:ilvl="0" w:tplc="FFFFFFFF">
      <w:start w:val="1"/>
      <w:numFmt w:val="decimal"/>
      <w:lvlText w:val="%1."/>
      <w:lvlJc w:val="left"/>
      <w:pPr>
        <w:ind w:left="360" w:hanging="360"/>
      </w:pPr>
      <w:rPr>
        <w:rFonts w:hint="default"/>
      </w:rPr>
    </w:lvl>
    <w:lvl w:ilvl="1" w:tplc="FFFFFFFF">
      <w:start w:val="1"/>
      <w:numFmt w:val="lowerLetter"/>
      <w:lvlText w:val="%2."/>
      <w:lvlJc w:val="left"/>
      <w:pPr>
        <w:ind w:left="786"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B37381D"/>
    <w:multiLevelType w:val="hybridMultilevel"/>
    <w:tmpl w:val="E49E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DF49EF"/>
    <w:multiLevelType w:val="hybridMultilevel"/>
    <w:tmpl w:val="4310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27086"/>
    <w:multiLevelType w:val="hybridMultilevel"/>
    <w:tmpl w:val="1B46D4F8"/>
    <w:lvl w:ilvl="0" w:tplc="CCA6AA1E">
      <w:start w:val="1"/>
      <w:numFmt w:val="bullet"/>
      <w:lvlText w:val="•"/>
      <w:lvlJc w:val="left"/>
      <w:pPr>
        <w:tabs>
          <w:tab w:val="num" w:pos="720"/>
        </w:tabs>
        <w:ind w:left="720" w:hanging="360"/>
      </w:pPr>
      <w:rPr>
        <w:rFonts w:ascii="Arial" w:hAnsi="Arial" w:hint="default"/>
      </w:rPr>
    </w:lvl>
    <w:lvl w:ilvl="1" w:tplc="C2C0D466" w:tentative="1">
      <w:start w:val="1"/>
      <w:numFmt w:val="bullet"/>
      <w:lvlText w:val="•"/>
      <w:lvlJc w:val="left"/>
      <w:pPr>
        <w:tabs>
          <w:tab w:val="num" w:pos="1440"/>
        </w:tabs>
        <w:ind w:left="1440" w:hanging="360"/>
      </w:pPr>
      <w:rPr>
        <w:rFonts w:ascii="Arial" w:hAnsi="Arial" w:hint="default"/>
      </w:rPr>
    </w:lvl>
    <w:lvl w:ilvl="2" w:tplc="FEB042BA" w:tentative="1">
      <w:start w:val="1"/>
      <w:numFmt w:val="bullet"/>
      <w:lvlText w:val="•"/>
      <w:lvlJc w:val="left"/>
      <w:pPr>
        <w:tabs>
          <w:tab w:val="num" w:pos="2160"/>
        </w:tabs>
        <w:ind w:left="2160" w:hanging="360"/>
      </w:pPr>
      <w:rPr>
        <w:rFonts w:ascii="Arial" w:hAnsi="Arial" w:hint="default"/>
      </w:rPr>
    </w:lvl>
    <w:lvl w:ilvl="3" w:tplc="5B9CD95A" w:tentative="1">
      <w:start w:val="1"/>
      <w:numFmt w:val="bullet"/>
      <w:lvlText w:val="•"/>
      <w:lvlJc w:val="left"/>
      <w:pPr>
        <w:tabs>
          <w:tab w:val="num" w:pos="2880"/>
        </w:tabs>
        <w:ind w:left="2880" w:hanging="360"/>
      </w:pPr>
      <w:rPr>
        <w:rFonts w:ascii="Arial" w:hAnsi="Arial" w:hint="default"/>
      </w:rPr>
    </w:lvl>
    <w:lvl w:ilvl="4" w:tplc="FD041E92" w:tentative="1">
      <w:start w:val="1"/>
      <w:numFmt w:val="bullet"/>
      <w:lvlText w:val="•"/>
      <w:lvlJc w:val="left"/>
      <w:pPr>
        <w:tabs>
          <w:tab w:val="num" w:pos="3600"/>
        </w:tabs>
        <w:ind w:left="3600" w:hanging="360"/>
      </w:pPr>
      <w:rPr>
        <w:rFonts w:ascii="Arial" w:hAnsi="Arial" w:hint="default"/>
      </w:rPr>
    </w:lvl>
    <w:lvl w:ilvl="5" w:tplc="48AA1A66" w:tentative="1">
      <w:start w:val="1"/>
      <w:numFmt w:val="bullet"/>
      <w:lvlText w:val="•"/>
      <w:lvlJc w:val="left"/>
      <w:pPr>
        <w:tabs>
          <w:tab w:val="num" w:pos="4320"/>
        </w:tabs>
        <w:ind w:left="4320" w:hanging="360"/>
      </w:pPr>
      <w:rPr>
        <w:rFonts w:ascii="Arial" w:hAnsi="Arial" w:hint="default"/>
      </w:rPr>
    </w:lvl>
    <w:lvl w:ilvl="6" w:tplc="1152E384" w:tentative="1">
      <w:start w:val="1"/>
      <w:numFmt w:val="bullet"/>
      <w:lvlText w:val="•"/>
      <w:lvlJc w:val="left"/>
      <w:pPr>
        <w:tabs>
          <w:tab w:val="num" w:pos="5040"/>
        </w:tabs>
        <w:ind w:left="5040" w:hanging="360"/>
      </w:pPr>
      <w:rPr>
        <w:rFonts w:ascii="Arial" w:hAnsi="Arial" w:hint="default"/>
      </w:rPr>
    </w:lvl>
    <w:lvl w:ilvl="7" w:tplc="F8544E24" w:tentative="1">
      <w:start w:val="1"/>
      <w:numFmt w:val="bullet"/>
      <w:lvlText w:val="•"/>
      <w:lvlJc w:val="left"/>
      <w:pPr>
        <w:tabs>
          <w:tab w:val="num" w:pos="5760"/>
        </w:tabs>
        <w:ind w:left="5760" w:hanging="360"/>
      </w:pPr>
      <w:rPr>
        <w:rFonts w:ascii="Arial" w:hAnsi="Arial" w:hint="default"/>
      </w:rPr>
    </w:lvl>
    <w:lvl w:ilvl="8" w:tplc="0B448C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010E2F"/>
    <w:multiLevelType w:val="hybridMultilevel"/>
    <w:tmpl w:val="FAC4E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46D3E"/>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276455"/>
    <w:multiLevelType w:val="hybridMultilevel"/>
    <w:tmpl w:val="4306C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1F7BAB"/>
    <w:multiLevelType w:val="hybridMultilevel"/>
    <w:tmpl w:val="232C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2441A"/>
    <w:multiLevelType w:val="hybridMultilevel"/>
    <w:tmpl w:val="D2E2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55DCE"/>
    <w:multiLevelType w:val="hybridMultilevel"/>
    <w:tmpl w:val="FAC4E2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6071A7"/>
    <w:multiLevelType w:val="hybridMultilevel"/>
    <w:tmpl w:val="F4E450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F13A11"/>
    <w:multiLevelType w:val="hybridMultilevel"/>
    <w:tmpl w:val="7E8C5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262345"/>
    <w:multiLevelType w:val="hybridMultilevel"/>
    <w:tmpl w:val="9444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30C59"/>
    <w:multiLevelType w:val="hybridMultilevel"/>
    <w:tmpl w:val="9C9ECF76"/>
    <w:lvl w:ilvl="0" w:tplc="0809000F">
      <w:start w:val="1"/>
      <w:numFmt w:val="decimal"/>
      <w:lvlText w:val="%1."/>
      <w:lvlJc w:val="left"/>
      <w:pPr>
        <w:ind w:left="720" w:hanging="360"/>
      </w:pPr>
      <w:rPr>
        <w:rFonts w:hint="default"/>
      </w:rPr>
    </w:lvl>
    <w:lvl w:ilvl="1" w:tplc="08090019">
      <w:start w:val="1"/>
      <w:numFmt w:val="lowerLetter"/>
      <w:lvlText w:val="%2."/>
      <w:lvlJc w:val="left"/>
      <w:pPr>
        <w:ind w:left="220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F44E9E"/>
    <w:multiLevelType w:val="hybridMultilevel"/>
    <w:tmpl w:val="B718B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E28D4"/>
    <w:multiLevelType w:val="hybridMultilevel"/>
    <w:tmpl w:val="FB8A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206501"/>
    <w:multiLevelType w:val="hybridMultilevel"/>
    <w:tmpl w:val="ED28C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8C233A"/>
    <w:multiLevelType w:val="hybridMultilevel"/>
    <w:tmpl w:val="5A563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9"/>
  </w:num>
  <w:num w:numId="4">
    <w:abstractNumId w:val="7"/>
  </w:num>
  <w:num w:numId="5">
    <w:abstractNumId w:val="8"/>
  </w:num>
  <w:num w:numId="6">
    <w:abstractNumId w:val="29"/>
  </w:num>
  <w:num w:numId="7">
    <w:abstractNumId w:val="18"/>
  </w:num>
  <w:num w:numId="8">
    <w:abstractNumId w:val="16"/>
  </w:num>
  <w:num w:numId="9">
    <w:abstractNumId w:val="6"/>
  </w:num>
  <w:num w:numId="10">
    <w:abstractNumId w:val="27"/>
  </w:num>
  <w:num w:numId="11">
    <w:abstractNumId w:val="19"/>
  </w:num>
  <w:num w:numId="12">
    <w:abstractNumId w:val="24"/>
  </w:num>
  <w:num w:numId="13">
    <w:abstractNumId w:val="10"/>
  </w:num>
  <w:num w:numId="14">
    <w:abstractNumId w:val="31"/>
  </w:num>
  <w:num w:numId="15">
    <w:abstractNumId w:val="22"/>
  </w:num>
  <w:num w:numId="16">
    <w:abstractNumId w:val="12"/>
  </w:num>
  <w:num w:numId="17">
    <w:abstractNumId w:val="2"/>
  </w:num>
  <w:num w:numId="18">
    <w:abstractNumId w:val="5"/>
  </w:num>
  <w:num w:numId="19">
    <w:abstractNumId w:val="30"/>
  </w:num>
  <w:num w:numId="20">
    <w:abstractNumId w:val="14"/>
  </w:num>
  <w:num w:numId="21">
    <w:abstractNumId w:val="17"/>
  </w:num>
  <w:num w:numId="22">
    <w:abstractNumId w:val="32"/>
  </w:num>
  <w:num w:numId="23">
    <w:abstractNumId w:val="21"/>
  </w:num>
  <w:num w:numId="24">
    <w:abstractNumId w:val="1"/>
  </w:num>
  <w:num w:numId="25">
    <w:abstractNumId w:val="26"/>
  </w:num>
  <w:num w:numId="26">
    <w:abstractNumId w:val="23"/>
  </w:num>
  <w:num w:numId="27">
    <w:abstractNumId w:val="25"/>
  </w:num>
  <w:num w:numId="28">
    <w:abstractNumId w:val="28"/>
  </w:num>
  <w:num w:numId="29">
    <w:abstractNumId w:val="0"/>
  </w:num>
  <w:num w:numId="30">
    <w:abstractNumId w:val="4"/>
  </w:num>
  <w:num w:numId="31">
    <w:abstractNumId w:val="15"/>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02100"/>
    <w:rsid w:val="00002FE6"/>
    <w:rsid w:val="00004B77"/>
    <w:rsid w:val="00010F31"/>
    <w:rsid w:val="00013219"/>
    <w:rsid w:val="0001555F"/>
    <w:rsid w:val="000217E8"/>
    <w:rsid w:val="00022C91"/>
    <w:rsid w:val="00030913"/>
    <w:rsid w:val="00030F57"/>
    <w:rsid w:val="000318D6"/>
    <w:rsid w:val="000323F9"/>
    <w:rsid w:val="00032BF0"/>
    <w:rsid w:val="00032D26"/>
    <w:rsid w:val="000348F9"/>
    <w:rsid w:val="00035A1F"/>
    <w:rsid w:val="00035B92"/>
    <w:rsid w:val="00036B37"/>
    <w:rsid w:val="0004270A"/>
    <w:rsid w:val="00042BA9"/>
    <w:rsid w:val="00042C92"/>
    <w:rsid w:val="0004336A"/>
    <w:rsid w:val="00046499"/>
    <w:rsid w:val="000466C0"/>
    <w:rsid w:val="00046BF2"/>
    <w:rsid w:val="00047CA8"/>
    <w:rsid w:val="00047EDD"/>
    <w:rsid w:val="000512B2"/>
    <w:rsid w:val="000534C4"/>
    <w:rsid w:val="00053F1B"/>
    <w:rsid w:val="00057111"/>
    <w:rsid w:val="0006148C"/>
    <w:rsid w:val="00063558"/>
    <w:rsid w:val="00063FCA"/>
    <w:rsid w:val="00066B18"/>
    <w:rsid w:val="00075D74"/>
    <w:rsid w:val="00077C11"/>
    <w:rsid w:val="000802A5"/>
    <w:rsid w:val="000812EF"/>
    <w:rsid w:val="000819EE"/>
    <w:rsid w:val="00081D53"/>
    <w:rsid w:val="00083AC4"/>
    <w:rsid w:val="00083D67"/>
    <w:rsid w:val="000865AE"/>
    <w:rsid w:val="000900EE"/>
    <w:rsid w:val="00094127"/>
    <w:rsid w:val="0009644A"/>
    <w:rsid w:val="0009699A"/>
    <w:rsid w:val="000969C0"/>
    <w:rsid w:val="00097E76"/>
    <w:rsid w:val="000A1471"/>
    <w:rsid w:val="000A1CD2"/>
    <w:rsid w:val="000A2082"/>
    <w:rsid w:val="000A289B"/>
    <w:rsid w:val="000A2BA6"/>
    <w:rsid w:val="000A4085"/>
    <w:rsid w:val="000A5044"/>
    <w:rsid w:val="000A68DF"/>
    <w:rsid w:val="000B11B8"/>
    <w:rsid w:val="000B1840"/>
    <w:rsid w:val="000B5469"/>
    <w:rsid w:val="000B7AC2"/>
    <w:rsid w:val="000C0D78"/>
    <w:rsid w:val="000C22EE"/>
    <w:rsid w:val="000C4AE7"/>
    <w:rsid w:val="000D02EB"/>
    <w:rsid w:val="000D1624"/>
    <w:rsid w:val="000D38F1"/>
    <w:rsid w:val="000D541C"/>
    <w:rsid w:val="000D5E57"/>
    <w:rsid w:val="000E0049"/>
    <w:rsid w:val="000E20A3"/>
    <w:rsid w:val="000E51F8"/>
    <w:rsid w:val="000E6763"/>
    <w:rsid w:val="000E7435"/>
    <w:rsid w:val="000E7FD3"/>
    <w:rsid w:val="000F017F"/>
    <w:rsid w:val="000F073B"/>
    <w:rsid w:val="000F0C5C"/>
    <w:rsid w:val="000F0D07"/>
    <w:rsid w:val="000F1519"/>
    <w:rsid w:val="000F187B"/>
    <w:rsid w:val="000F2B2C"/>
    <w:rsid w:val="000F3BEC"/>
    <w:rsid w:val="000F3CD8"/>
    <w:rsid w:val="000F4CF0"/>
    <w:rsid w:val="000F4F13"/>
    <w:rsid w:val="000F6564"/>
    <w:rsid w:val="000F6654"/>
    <w:rsid w:val="000F6BE4"/>
    <w:rsid w:val="00100755"/>
    <w:rsid w:val="00100E3E"/>
    <w:rsid w:val="0010102B"/>
    <w:rsid w:val="00101A13"/>
    <w:rsid w:val="00101C48"/>
    <w:rsid w:val="001027BF"/>
    <w:rsid w:val="00102CDD"/>
    <w:rsid w:val="00106E75"/>
    <w:rsid w:val="0010707F"/>
    <w:rsid w:val="00107116"/>
    <w:rsid w:val="0010772C"/>
    <w:rsid w:val="00107D5B"/>
    <w:rsid w:val="0011006D"/>
    <w:rsid w:val="0011030C"/>
    <w:rsid w:val="00110DBE"/>
    <w:rsid w:val="00111F4C"/>
    <w:rsid w:val="00113401"/>
    <w:rsid w:val="001137A2"/>
    <w:rsid w:val="00113887"/>
    <w:rsid w:val="0012098C"/>
    <w:rsid w:val="00120C87"/>
    <w:rsid w:val="00122D3A"/>
    <w:rsid w:val="001248B2"/>
    <w:rsid w:val="0012524C"/>
    <w:rsid w:val="00130F0C"/>
    <w:rsid w:val="00132E42"/>
    <w:rsid w:val="00134625"/>
    <w:rsid w:val="00136B56"/>
    <w:rsid w:val="00136F3C"/>
    <w:rsid w:val="00141067"/>
    <w:rsid w:val="00141914"/>
    <w:rsid w:val="00142EB5"/>
    <w:rsid w:val="001454FD"/>
    <w:rsid w:val="00145F51"/>
    <w:rsid w:val="0014661C"/>
    <w:rsid w:val="00146B87"/>
    <w:rsid w:val="00147B02"/>
    <w:rsid w:val="00147FA6"/>
    <w:rsid w:val="001505C2"/>
    <w:rsid w:val="001541D8"/>
    <w:rsid w:val="0015447F"/>
    <w:rsid w:val="00164271"/>
    <w:rsid w:val="0016693D"/>
    <w:rsid w:val="00167C26"/>
    <w:rsid w:val="00170382"/>
    <w:rsid w:val="001710AC"/>
    <w:rsid w:val="00173784"/>
    <w:rsid w:val="0017528C"/>
    <w:rsid w:val="0017565D"/>
    <w:rsid w:val="00175780"/>
    <w:rsid w:val="00176BE8"/>
    <w:rsid w:val="00176F15"/>
    <w:rsid w:val="00181E10"/>
    <w:rsid w:val="00181FEC"/>
    <w:rsid w:val="001829AA"/>
    <w:rsid w:val="00183421"/>
    <w:rsid w:val="00183B63"/>
    <w:rsid w:val="00185C9E"/>
    <w:rsid w:val="00186951"/>
    <w:rsid w:val="00187CAA"/>
    <w:rsid w:val="00193EBF"/>
    <w:rsid w:val="00195B2E"/>
    <w:rsid w:val="00197330"/>
    <w:rsid w:val="001A11D1"/>
    <w:rsid w:val="001A1891"/>
    <w:rsid w:val="001A1E57"/>
    <w:rsid w:val="001A7DE9"/>
    <w:rsid w:val="001B2F72"/>
    <w:rsid w:val="001B4202"/>
    <w:rsid w:val="001B4469"/>
    <w:rsid w:val="001B48B5"/>
    <w:rsid w:val="001B6B4D"/>
    <w:rsid w:val="001B720F"/>
    <w:rsid w:val="001B78B1"/>
    <w:rsid w:val="001C06E4"/>
    <w:rsid w:val="001C0A40"/>
    <w:rsid w:val="001C0DDC"/>
    <w:rsid w:val="001C48EE"/>
    <w:rsid w:val="001C6080"/>
    <w:rsid w:val="001C61DD"/>
    <w:rsid w:val="001C63C8"/>
    <w:rsid w:val="001C67FE"/>
    <w:rsid w:val="001D1819"/>
    <w:rsid w:val="001D4A38"/>
    <w:rsid w:val="001D5DE8"/>
    <w:rsid w:val="001D66EE"/>
    <w:rsid w:val="001D778A"/>
    <w:rsid w:val="001E33BE"/>
    <w:rsid w:val="001E5161"/>
    <w:rsid w:val="001E6DCC"/>
    <w:rsid w:val="001E763D"/>
    <w:rsid w:val="001E7FFA"/>
    <w:rsid w:val="001F09F9"/>
    <w:rsid w:val="001F0CCB"/>
    <w:rsid w:val="001F2B27"/>
    <w:rsid w:val="001F3F7E"/>
    <w:rsid w:val="001F586A"/>
    <w:rsid w:val="001F67FD"/>
    <w:rsid w:val="001F7F66"/>
    <w:rsid w:val="0020190A"/>
    <w:rsid w:val="00201FEF"/>
    <w:rsid w:val="00205678"/>
    <w:rsid w:val="002104D3"/>
    <w:rsid w:val="00212A42"/>
    <w:rsid w:val="00214844"/>
    <w:rsid w:val="002157AB"/>
    <w:rsid w:val="00215F7B"/>
    <w:rsid w:val="002160A8"/>
    <w:rsid w:val="00216600"/>
    <w:rsid w:val="00220B2A"/>
    <w:rsid w:val="00224FA5"/>
    <w:rsid w:val="00226C6A"/>
    <w:rsid w:val="00227644"/>
    <w:rsid w:val="00231E17"/>
    <w:rsid w:val="00233382"/>
    <w:rsid w:val="00233BCE"/>
    <w:rsid w:val="0023593D"/>
    <w:rsid w:val="00235BAF"/>
    <w:rsid w:val="002373DF"/>
    <w:rsid w:val="00242922"/>
    <w:rsid w:val="00244E94"/>
    <w:rsid w:val="002467F3"/>
    <w:rsid w:val="00250E0C"/>
    <w:rsid w:val="002516AA"/>
    <w:rsid w:val="0025189A"/>
    <w:rsid w:val="0025392E"/>
    <w:rsid w:val="00254C7A"/>
    <w:rsid w:val="00256DD9"/>
    <w:rsid w:val="00257EEA"/>
    <w:rsid w:val="0026193D"/>
    <w:rsid w:val="0026201E"/>
    <w:rsid w:val="00262CC6"/>
    <w:rsid w:val="00263064"/>
    <w:rsid w:val="00267295"/>
    <w:rsid w:val="0027073A"/>
    <w:rsid w:val="00270CC1"/>
    <w:rsid w:val="0027102D"/>
    <w:rsid w:val="00271C03"/>
    <w:rsid w:val="00272B91"/>
    <w:rsid w:val="00273EC5"/>
    <w:rsid w:val="002743A1"/>
    <w:rsid w:val="002851ED"/>
    <w:rsid w:val="00286CEC"/>
    <w:rsid w:val="00290547"/>
    <w:rsid w:val="00291D28"/>
    <w:rsid w:val="00295935"/>
    <w:rsid w:val="002970C2"/>
    <w:rsid w:val="002A154F"/>
    <w:rsid w:val="002A26EA"/>
    <w:rsid w:val="002A57BA"/>
    <w:rsid w:val="002A5D24"/>
    <w:rsid w:val="002B0A76"/>
    <w:rsid w:val="002B40C8"/>
    <w:rsid w:val="002B4CB2"/>
    <w:rsid w:val="002B5710"/>
    <w:rsid w:val="002C226B"/>
    <w:rsid w:val="002C2D68"/>
    <w:rsid w:val="002C34B0"/>
    <w:rsid w:val="002C3956"/>
    <w:rsid w:val="002C5BE2"/>
    <w:rsid w:val="002C78C6"/>
    <w:rsid w:val="002D1276"/>
    <w:rsid w:val="002D28E7"/>
    <w:rsid w:val="002D312B"/>
    <w:rsid w:val="002D4819"/>
    <w:rsid w:val="002D53A5"/>
    <w:rsid w:val="002D5628"/>
    <w:rsid w:val="002E0947"/>
    <w:rsid w:val="002E2775"/>
    <w:rsid w:val="002E4286"/>
    <w:rsid w:val="002E4FEF"/>
    <w:rsid w:val="002E5B1B"/>
    <w:rsid w:val="002E60C8"/>
    <w:rsid w:val="002E6A3A"/>
    <w:rsid w:val="002F18B4"/>
    <w:rsid w:val="002F4A16"/>
    <w:rsid w:val="002F5A19"/>
    <w:rsid w:val="002F5C37"/>
    <w:rsid w:val="00301555"/>
    <w:rsid w:val="00302205"/>
    <w:rsid w:val="00302B5B"/>
    <w:rsid w:val="003039EA"/>
    <w:rsid w:val="00304296"/>
    <w:rsid w:val="003115D5"/>
    <w:rsid w:val="003130FB"/>
    <w:rsid w:val="00313475"/>
    <w:rsid w:val="003136D6"/>
    <w:rsid w:val="00313A7A"/>
    <w:rsid w:val="00314886"/>
    <w:rsid w:val="00315BEB"/>
    <w:rsid w:val="003160FF"/>
    <w:rsid w:val="003172F3"/>
    <w:rsid w:val="00320EB8"/>
    <w:rsid w:val="00322854"/>
    <w:rsid w:val="003245C0"/>
    <w:rsid w:val="00324AD2"/>
    <w:rsid w:val="00327E29"/>
    <w:rsid w:val="00330223"/>
    <w:rsid w:val="003308E2"/>
    <w:rsid w:val="00330D66"/>
    <w:rsid w:val="00330FCA"/>
    <w:rsid w:val="00332564"/>
    <w:rsid w:val="0033262B"/>
    <w:rsid w:val="0033380B"/>
    <w:rsid w:val="0033563C"/>
    <w:rsid w:val="00335E27"/>
    <w:rsid w:val="00336EFA"/>
    <w:rsid w:val="00337E3A"/>
    <w:rsid w:val="00341C8A"/>
    <w:rsid w:val="0035269A"/>
    <w:rsid w:val="00353049"/>
    <w:rsid w:val="003540B9"/>
    <w:rsid w:val="00354243"/>
    <w:rsid w:val="00354B15"/>
    <w:rsid w:val="00355368"/>
    <w:rsid w:val="00356731"/>
    <w:rsid w:val="00357886"/>
    <w:rsid w:val="00357A99"/>
    <w:rsid w:val="003601CF"/>
    <w:rsid w:val="003606B2"/>
    <w:rsid w:val="00360F1A"/>
    <w:rsid w:val="00361D56"/>
    <w:rsid w:val="00362F93"/>
    <w:rsid w:val="003631B7"/>
    <w:rsid w:val="00364C65"/>
    <w:rsid w:val="003652CA"/>
    <w:rsid w:val="00366B0B"/>
    <w:rsid w:val="003673E0"/>
    <w:rsid w:val="003679FD"/>
    <w:rsid w:val="0037100A"/>
    <w:rsid w:val="003712DC"/>
    <w:rsid w:val="003739D8"/>
    <w:rsid w:val="00374699"/>
    <w:rsid w:val="003764B9"/>
    <w:rsid w:val="00376A4E"/>
    <w:rsid w:val="00377F44"/>
    <w:rsid w:val="0038384B"/>
    <w:rsid w:val="003843A9"/>
    <w:rsid w:val="00385629"/>
    <w:rsid w:val="003917DB"/>
    <w:rsid w:val="0039261C"/>
    <w:rsid w:val="003927C5"/>
    <w:rsid w:val="00394A02"/>
    <w:rsid w:val="00395690"/>
    <w:rsid w:val="003A0574"/>
    <w:rsid w:val="003A0A92"/>
    <w:rsid w:val="003A2F34"/>
    <w:rsid w:val="003A53F1"/>
    <w:rsid w:val="003A7193"/>
    <w:rsid w:val="003B0C87"/>
    <w:rsid w:val="003B29F0"/>
    <w:rsid w:val="003B6BE8"/>
    <w:rsid w:val="003B6E2E"/>
    <w:rsid w:val="003B7788"/>
    <w:rsid w:val="003C0C70"/>
    <w:rsid w:val="003C0EA4"/>
    <w:rsid w:val="003C2490"/>
    <w:rsid w:val="003C3942"/>
    <w:rsid w:val="003C4092"/>
    <w:rsid w:val="003C4B2F"/>
    <w:rsid w:val="003C5695"/>
    <w:rsid w:val="003C6010"/>
    <w:rsid w:val="003C6749"/>
    <w:rsid w:val="003C7734"/>
    <w:rsid w:val="003C7B25"/>
    <w:rsid w:val="003D0918"/>
    <w:rsid w:val="003D113C"/>
    <w:rsid w:val="003D2565"/>
    <w:rsid w:val="003D28F0"/>
    <w:rsid w:val="003D6511"/>
    <w:rsid w:val="003D793A"/>
    <w:rsid w:val="003D7E85"/>
    <w:rsid w:val="003E0AA2"/>
    <w:rsid w:val="003E1436"/>
    <w:rsid w:val="003E2492"/>
    <w:rsid w:val="003E2779"/>
    <w:rsid w:val="003E2E56"/>
    <w:rsid w:val="003E3416"/>
    <w:rsid w:val="003E39AF"/>
    <w:rsid w:val="003F0ED2"/>
    <w:rsid w:val="003F1656"/>
    <w:rsid w:val="003F4562"/>
    <w:rsid w:val="003F6DFB"/>
    <w:rsid w:val="00401F02"/>
    <w:rsid w:val="0040434E"/>
    <w:rsid w:val="00404389"/>
    <w:rsid w:val="00404856"/>
    <w:rsid w:val="00407CEF"/>
    <w:rsid w:val="00411C61"/>
    <w:rsid w:val="00412B7B"/>
    <w:rsid w:val="00413399"/>
    <w:rsid w:val="00413411"/>
    <w:rsid w:val="004135E2"/>
    <w:rsid w:val="004138EE"/>
    <w:rsid w:val="00413F79"/>
    <w:rsid w:val="00417610"/>
    <w:rsid w:val="00417F22"/>
    <w:rsid w:val="0042000A"/>
    <w:rsid w:val="00420A34"/>
    <w:rsid w:val="00420DB2"/>
    <w:rsid w:val="00426BCC"/>
    <w:rsid w:val="00430388"/>
    <w:rsid w:val="004313D6"/>
    <w:rsid w:val="004317F5"/>
    <w:rsid w:val="00432ED4"/>
    <w:rsid w:val="00436D64"/>
    <w:rsid w:val="00437500"/>
    <w:rsid w:val="00441074"/>
    <w:rsid w:val="004421A1"/>
    <w:rsid w:val="004421FF"/>
    <w:rsid w:val="00442CA1"/>
    <w:rsid w:val="004437CB"/>
    <w:rsid w:val="00443AE8"/>
    <w:rsid w:val="00443C63"/>
    <w:rsid w:val="004440A5"/>
    <w:rsid w:val="00444875"/>
    <w:rsid w:val="004460FD"/>
    <w:rsid w:val="00446A6C"/>
    <w:rsid w:val="004474ED"/>
    <w:rsid w:val="00450D44"/>
    <w:rsid w:val="00451E7E"/>
    <w:rsid w:val="004525E7"/>
    <w:rsid w:val="004538AA"/>
    <w:rsid w:val="004612F3"/>
    <w:rsid w:val="004618F0"/>
    <w:rsid w:val="00461F61"/>
    <w:rsid w:val="00462572"/>
    <w:rsid w:val="004632C3"/>
    <w:rsid w:val="00466623"/>
    <w:rsid w:val="004666BC"/>
    <w:rsid w:val="004714FC"/>
    <w:rsid w:val="00471ECD"/>
    <w:rsid w:val="00472482"/>
    <w:rsid w:val="00477EC7"/>
    <w:rsid w:val="00482C7B"/>
    <w:rsid w:val="004866E7"/>
    <w:rsid w:val="00486EA7"/>
    <w:rsid w:val="00487087"/>
    <w:rsid w:val="004926B9"/>
    <w:rsid w:val="0049629A"/>
    <w:rsid w:val="00496455"/>
    <w:rsid w:val="00496923"/>
    <w:rsid w:val="00497367"/>
    <w:rsid w:val="004A1D43"/>
    <w:rsid w:val="004A2569"/>
    <w:rsid w:val="004A48AA"/>
    <w:rsid w:val="004A4E20"/>
    <w:rsid w:val="004A5C09"/>
    <w:rsid w:val="004A6AF2"/>
    <w:rsid w:val="004A7C7B"/>
    <w:rsid w:val="004B11D5"/>
    <w:rsid w:val="004B14C8"/>
    <w:rsid w:val="004B1601"/>
    <w:rsid w:val="004B3381"/>
    <w:rsid w:val="004B532C"/>
    <w:rsid w:val="004B54B6"/>
    <w:rsid w:val="004B72C1"/>
    <w:rsid w:val="004C32F3"/>
    <w:rsid w:val="004C6381"/>
    <w:rsid w:val="004C64BC"/>
    <w:rsid w:val="004D0EBD"/>
    <w:rsid w:val="004D3AC5"/>
    <w:rsid w:val="004D49AC"/>
    <w:rsid w:val="004D75B0"/>
    <w:rsid w:val="004E1F58"/>
    <w:rsid w:val="004E4DC7"/>
    <w:rsid w:val="004E5461"/>
    <w:rsid w:val="004E5A39"/>
    <w:rsid w:val="004E6666"/>
    <w:rsid w:val="004E6D19"/>
    <w:rsid w:val="004E6E76"/>
    <w:rsid w:val="004E702E"/>
    <w:rsid w:val="004E7978"/>
    <w:rsid w:val="004F1608"/>
    <w:rsid w:val="004F1A1F"/>
    <w:rsid w:val="004F2FA1"/>
    <w:rsid w:val="004F3E3B"/>
    <w:rsid w:val="004F485C"/>
    <w:rsid w:val="004F4C21"/>
    <w:rsid w:val="004F5C74"/>
    <w:rsid w:val="004F63DA"/>
    <w:rsid w:val="004F7324"/>
    <w:rsid w:val="00500392"/>
    <w:rsid w:val="005020E3"/>
    <w:rsid w:val="0050321D"/>
    <w:rsid w:val="00506B47"/>
    <w:rsid w:val="00507275"/>
    <w:rsid w:val="00507E3A"/>
    <w:rsid w:val="00511162"/>
    <w:rsid w:val="0051456C"/>
    <w:rsid w:val="00515E24"/>
    <w:rsid w:val="0051639C"/>
    <w:rsid w:val="00516994"/>
    <w:rsid w:val="00516BEA"/>
    <w:rsid w:val="005171E1"/>
    <w:rsid w:val="005201DE"/>
    <w:rsid w:val="0052026B"/>
    <w:rsid w:val="00523FD5"/>
    <w:rsid w:val="0052480A"/>
    <w:rsid w:val="005248B1"/>
    <w:rsid w:val="0052503D"/>
    <w:rsid w:val="00525692"/>
    <w:rsid w:val="00525DCD"/>
    <w:rsid w:val="00526B6E"/>
    <w:rsid w:val="00540328"/>
    <w:rsid w:val="005403ED"/>
    <w:rsid w:val="0054158C"/>
    <w:rsid w:val="00541879"/>
    <w:rsid w:val="00541E02"/>
    <w:rsid w:val="00542561"/>
    <w:rsid w:val="0054371D"/>
    <w:rsid w:val="005459DD"/>
    <w:rsid w:val="00545ADE"/>
    <w:rsid w:val="00546C65"/>
    <w:rsid w:val="005474BC"/>
    <w:rsid w:val="00547909"/>
    <w:rsid w:val="00547D41"/>
    <w:rsid w:val="005531E5"/>
    <w:rsid w:val="005533D0"/>
    <w:rsid w:val="00553E22"/>
    <w:rsid w:val="0055431F"/>
    <w:rsid w:val="005546B4"/>
    <w:rsid w:val="005571F4"/>
    <w:rsid w:val="00566676"/>
    <w:rsid w:val="00566D37"/>
    <w:rsid w:val="00567A47"/>
    <w:rsid w:val="005708DF"/>
    <w:rsid w:val="00570C13"/>
    <w:rsid w:val="005758DB"/>
    <w:rsid w:val="0057722B"/>
    <w:rsid w:val="005805A3"/>
    <w:rsid w:val="0058095E"/>
    <w:rsid w:val="00580B76"/>
    <w:rsid w:val="00580E05"/>
    <w:rsid w:val="005826AB"/>
    <w:rsid w:val="00583B3D"/>
    <w:rsid w:val="00585AFE"/>
    <w:rsid w:val="00591F21"/>
    <w:rsid w:val="005947E5"/>
    <w:rsid w:val="00596AD6"/>
    <w:rsid w:val="005974F8"/>
    <w:rsid w:val="0059757C"/>
    <w:rsid w:val="005A029B"/>
    <w:rsid w:val="005A2763"/>
    <w:rsid w:val="005A2A11"/>
    <w:rsid w:val="005A3320"/>
    <w:rsid w:val="005A4D0B"/>
    <w:rsid w:val="005A5F26"/>
    <w:rsid w:val="005B41B9"/>
    <w:rsid w:val="005B44D7"/>
    <w:rsid w:val="005C3AE4"/>
    <w:rsid w:val="005C41B3"/>
    <w:rsid w:val="005C52FC"/>
    <w:rsid w:val="005C5485"/>
    <w:rsid w:val="005C57AE"/>
    <w:rsid w:val="005C70B7"/>
    <w:rsid w:val="005C7399"/>
    <w:rsid w:val="005C7671"/>
    <w:rsid w:val="005D051D"/>
    <w:rsid w:val="005D0826"/>
    <w:rsid w:val="005D0D98"/>
    <w:rsid w:val="005D2101"/>
    <w:rsid w:val="005D4B82"/>
    <w:rsid w:val="005D7165"/>
    <w:rsid w:val="005D7FEA"/>
    <w:rsid w:val="005E66D0"/>
    <w:rsid w:val="005E6984"/>
    <w:rsid w:val="005E799B"/>
    <w:rsid w:val="005F2CD2"/>
    <w:rsid w:val="005F42B4"/>
    <w:rsid w:val="005F4D9F"/>
    <w:rsid w:val="005F6868"/>
    <w:rsid w:val="00600851"/>
    <w:rsid w:val="00600C04"/>
    <w:rsid w:val="00601FC1"/>
    <w:rsid w:val="006021C3"/>
    <w:rsid w:val="00605C0F"/>
    <w:rsid w:val="006109C8"/>
    <w:rsid w:val="00611A49"/>
    <w:rsid w:val="00611E5C"/>
    <w:rsid w:val="00614E0B"/>
    <w:rsid w:val="006179C8"/>
    <w:rsid w:val="006213F2"/>
    <w:rsid w:val="006225EA"/>
    <w:rsid w:val="006243A1"/>
    <w:rsid w:val="006305B9"/>
    <w:rsid w:val="006319A5"/>
    <w:rsid w:val="00632A97"/>
    <w:rsid w:val="00634A63"/>
    <w:rsid w:val="00635DD1"/>
    <w:rsid w:val="00636228"/>
    <w:rsid w:val="006427A2"/>
    <w:rsid w:val="00643B8D"/>
    <w:rsid w:val="006478F8"/>
    <w:rsid w:val="006518DA"/>
    <w:rsid w:val="00651AC5"/>
    <w:rsid w:val="00653BCC"/>
    <w:rsid w:val="00657ABC"/>
    <w:rsid w:val="00657DBF"/>
    <w:rsid w:val="00661DD5"/>
    <w:rsid w:val="006622C5"/>
    <w:rsid w:val="00662389"/>
    <w:rsid w:val="00665C4B"/>
    <w:rsid w:val="00666CB9"/>
    <w:rsid w:val="00672DF8"/>
    <w:rsid w:val="006730E3"/>
    <w:rsid w:val="00673A4E"/>
    <w:rsid w:val="00673D33"/>
    <w:rsid w:val="006746F7"/>
    <w:rsid w:val="00675AFD"/>
    <w:rsid w:val="00675D04"/>
    <w:rsid w:val="00676CF6"/>
    <w:rsid w:val="00680C65"/>
    <w:rsid w:val="00681C03"/>
    <w:rsid w:val="0068475F"/>
    <w:rsid w:val="00684907"/>
    <w:rsid w:val="00686661"/>
    <w:rsid w:val="0069250D"/>
    <w:rsid w:val="006928FB"/>
    <w:rsid w:val="006963C7"/>
    <w:rsid w:val="00696B8B"/>
    <w:rsid w:val="006976DC"/>
    <w:rsid w:val="006A0278"/>
    <w:rsid w:val="006A04AA"/>
    <w:rsid w:val="006A0A3A"/>
    <w:rsid w:val="006A4063"/>
    <w:rsid w:val="006A5AE2"/>
    <w:rsid w:val="006A619A"/>
    <w:rsid w:val="006A6F52"/>
    <w:rsid w:val="006A7639"/>
    <w:rsid w:val="006A7A3E"/>
    <w:rsid w:val="006B1753"/>
    <w:rsid w:val="006B3531"/>
    <w:rsid w:val="006B4620"/>
    <w:rsid w:val="006B64E3"/>
    <w:rsid w:val="006B6AF0"/>
    <w:rsid w:val="006B7107"/>
    <w:rsid w:val="006C0DA7"/>
    <w:rsid w:val="006C4A19"/>
    <w:rsid w:val="006C4B66"/>
    <w:rsid w:val="006C7888"/>
    <w:rsid w:val="006D192A"/>
    <w:rsid w:val="006E2A4C"/>
    <w:rsid w:val="006E3251"/>
    <w:rsid w:val="006E56B0"/>
    <w:rsid w:val="006E7041"/>
    <w:rsid w:val="006F06A9"/>
    <w:rsid w:val="006F2697"/>
    <w:rsid w:val="006F3176"/>
    <w:rsid w:val="006F408B"/>
    <w:rsid w:val="006F5F33"/>
    <w:rsid w:val="006F6D75"/>
    <w:rsid w:val="006F726A"/>
    <w:rsid w:val="006F7714"/>
    <w:rsid w:val="00703772"/>
    <w:rsid w:val="00703D9D"/>
    <w:rsid w:val="0070643C"/>
    <w:rsid w:val="00707B39"/>
    <w:rsid w:val="00707EA2"/>
    <w:rsid w:val="0071303A"/>
    <w:rsid w:val="00715202"/>
    <w:rsid w:val="00716E8A"/>
    <w:rsid w:val="00722919"/>
    <w:rsid w:val="007247EA"/>
    <w:rsid w:val="0073109C"/>
    <w:rsid w:val="00731E50"/>
    <w:rsid w:val="0073384A"/>
    <w:rsid w:val="00742ADF"/>
    <w:rsid w:val="00743527"/>
    <w:rsid w:val="00743575"/>
    <w:rsid w:val="0074397F"/>
    <w:rsid w:val="007442F4"/>
    <w:rsid w:val="00744318"/>
    <w:rsid w:val="00745175"/>
    <w:rsid w:val="007462E2"/>
    <w:rsid w:val="00751871"/>
    <w:rsid w:val="0075346B"/>
    <w:rsid w:val="00754BBB"/>
    <w:rsid w:val="00756A2F"/>
    <w:rsid w:val="00760479"/>
    <w:rsid w:val="00760C60"/>
    <w:rsid w:val="00763165"/>
    <w:rsid w:val="007676BC"/>
    <w:rsid w:val="00770274"/>
    <w:rsid w:val="007750A0"/>
    <w:rsid w:val="007750C8"/>
    <w:rsid w:val="00777042"/>
    <w:rsid w:val="00782F9D"/>
    <w:rsid w:val="00784460"/>
    <w:rsid w:val="0079019C"/>
    <w:rsid w:val="00794E39"/>
    <w:rsid w:val="007A1BC7"/>
    <w:rsid w:val="007A256A"/>
    <w:rsid w:val="007A46E8"/>
    <w:rsid w:val="007A5A43"/>
    <w:rsid w:val="007B1438"/>
    <w:rsid w:val="007B319D"/>
    <w:rsid w:val="007B3A5C"/>
    <w:rsid w:val="007B60E5"/>
    <w:rsid w:val="007B64E5"/>
    <w:rsid w:val="007B6537"/>
    <w:rsid w:val="007B70C1"/>
    <w:rsid w:val="007B7C4E"/>
    <w:rsid w:val="007C0F58"/>
    <w:rsid w:val="007C1107"/>
    <w:rsid w:val="007C18A3"/>
    <w:rsid w:val="007C7F3F"/>
    <w:rsid w:val="007D01F1"/>
    <w:rsid w:val="007D0BB9"/>
    <w:rsid w:val="007D220B"/>
    <w:rsid w:val="007D3F3C"/>
    <w:rsid w:val="007D4232"/>
    <w:rsid w:val="007D62CE"/>
    <w:rsid w:val="007D6AAB"/>
    <w:rsid w:val="007E08DB"/>
    <w:rsid w:val="007E539D"/>
    <w:rsid w:val="007E6098"/>
    <w:rsid w:val="007E75EA"/>
    <w:rsid w:val="007F03D9"/>
    <w:rsid w:val="007F1ED7"/>
    <w:rsid w:val="007F288E"/>
    <w:rsid w:val="007F44BE"/>
    <w:rsid w:val="007F4DFB"/>
    <w:rsid w:val="007F6DAB"/>
    <w:rsid w:val="007F70AB"/>
    <w:rsid w:val="00801852"/>
    <w:rsid w:val="00803950"/>
    <w:rsid w:val="00804968"/>
    <w:rsid w:val="00805212"/>
    <w:rsid w:val="00806BB4"/>
    <w:rsid w:val="0081065A"/>
    <w:rsid w:val="00812A23"/>
    <w:rsid w:val="008142DD"/>
    <w:rsid w:val="008152C2"/>
    <w:rsid w:val="00816999"/>
    <w:rsid w:val="0082021A"/>
    <w:rsid w:val="00820289"/>
    <w:rsid w:val="0082133A"/>
    <w:rsid w:val="0082386D"/>
    <w:rsid w:val="00824793"/>
    <w:rsid w:val="0082587A"/>
    <w:rsid w:val="0082653D"/>
    <w:rsid w:val="0082662C"/>
    <w:rsid w:val="0082663F"/>
    <w:rsid w:val="008301CA"/>
    <w:rsid w:val="008315A9"/>
    <w:rsid w:val="00836FC3"/>
    <w:rsid w:val="00840A1E"/>
    <w:rsid w:val="00843955"/>
    <w:rsid w:val="0084443B"/>
    <w:rsid w:val="00844590"/>
    <w:rsid w:val="00845600"/>
    <w:rsid w:val="008519C0"/>
    <w:rsid w:val="00852898"/>
    <w:rsid w:val="008541D0"/>
    <w:rsid w:val="00854B4B"/>
    <w:rsid w:val="00854FFA"/>
    <w:rsid w:val="00855BB1"/>
    <w:rsid w:val="0085603A"/>
    <w:rsid w:val="00856116"/>
    <w:rsid w:val="008565F4"/>
    <w:rsid w:val="00861250"/>
    <w:rsid w:val="00864B89"/>
    <w:rsid w:val="008706CE"/>
    <w:rsid w:val="0087070A"/>
    <w:rsid w:val="0087285C"/>
    <w:rsid w:val="00873DB3"/>
    <w:rsid w:val="008748CB"/>
    <w:rsid w:val="008749E3"/>
    <w:rsid w:val="00876DEA"/>
    <w:rsid w:val="008835EF"/>
    <w:rsid w:val="0088398E"/>
    <w:rsid w:val="008846B2"/>
    <w:rsid w:val="008868D7"/>
    <w:rsid w:val="008909C7"/>
    <w:rsid w:val="00892BD0"/>
    <w:rsid w:val="00894775"/>
    <w:rsid w:val="00894864"/>
    <w:rsid w:val="008966AB"/>
    <w:rsid w:val="008968EA"/>
    <w:rsid w:val="00896B85"/>
    <w:rsid w:val="00897C8D"/>
    <w:rsid w:val="008A29AB"/>
    <w:rsid w:val="008A4ABA"/>
    <w:rsid w:val="008A4D29"/>
    <w:rsid w:val="008A5660"/>
    <w:rsid w:val="008B0096"/>
    <w:rsid w:val="008B0CFA"/>
    <w:rsid w:val="008B146B"/>
    <w:rsid w:val="008B387B"/>
    <w:rsid w:val="008B3F96"/>
    <w:rsid w:val="008B5510"/>
    <w:rsid w:val="008B6401"/>
    <w:rsid w:val="008B650A"/>
    <w:rsid w:val="008B6C50"/>
    <w:rsid w:val="008B6EE2"/>
    <w:rsid w:val="008C005B"/>
    <w:rsid w:val="008C31C4"/>
    <w:rsid w:val="008D09F5"/>
    <w:rsid w:val="008D0FF5"/>
    <w:rsid w:val="008D44FD"/>
    <w:rsid w:val="008D7432"/>
    <w:rsid w:val="008D7866"/>
    <w:rsid w:val="008D7AD7"/>
    <w:rsid w:val="008E1666"/>
    <w:rsid w:val="008E1768"/>
    <w:rsid w:val="008E28BF"/>
    <w:rsid w:val="008E60FB"/>
    <w:rsid w:val="008E67D3"/>
    <w:rsid w:val="008E6BA7"/>
    <w:rsid w:val="008E7EFB"/>
    <w:rsid w:val="008F0A80"/>
    <w:rsid w:val="008F1B03"/>
    <w:rsid w:val="008F2481"/>
    <w:rsid w:val="008F2F90"/>
    <w:rsid w:val="008F57D0"/>
    <w:rsid w:val="008F5C04"/>
    <w:rsid w:val="008F7699"/>
    <w:rsid w:val="0090020D"/>
    <w:rsid w:val="00901856"/>
    <w:rsid w:val="00901FD6"/>
    <w:rsid w:val="00903470"/>
    <w:rsid w:val="0090659B"/>
    <w:rsid w:val="00907E2E"/>
    <w:rsid w:val="00910D8A"/>
    <w:rsid w:val="009131D2"/>
    <w:rsid w:val="00914F39"/>
    <w:rsid w:val="00917B48"/>
    <w:rsid w:val="00921112"/>
    <w:rsid w:val="00921641"/>
    <w:rsid w:val="009230A2"/>
    <w:rsid w:val="00923E50"/>
    <w:rsid w:val="009274DD"/>
    <w:rsid w:val="009275A7"/>
    <w:rsid w:val="00927FEB"/>
    <w:rsid w:val="009307FE"/>
    <w:rsid w:val="00931197"/>
    <w:rsid w:val="00933E10"/>
    <w:rsid w:val="00941CA6"/>
    <w:rsid w:val="009429F8"/>
    <w:rsid w:val="00942B8B"/>
    <w:rsid w:val="009432E0"/>
    <w:rsid w:val="009433BF"/>
    <w:rsid w:val="00945196"/>
    <w:rsid w:val="009473B0"/>
    <w:rsid w:val="00952384"/>
    <w:rsid w:val="00952456"/>
    <w:rsid w:val="00963450"/>
    <w:rsid w:val="00967994"/>
    <w:rsid w:val="00967A96"/>
    <w:rsid w:val="00967BB5"/>
    <w:rsid w:val="009719F5"/>
    <w:rsid w:val="00971DA0"/>
    <w:rsid w:val="00972782"/>
    <w:rsid w:val="009732F0"/>
    <w:rsid w:val="00974F27"/>
    <w:rsid w:val="009766AC"/>
    <w:rsid w:val="009825C2"/>
    <w:rsid w:val="009830D7"/>
    <w:rsid w:val="00984F28"/>
    <w:rsid w:val="00985908"/>
    <w:rsid w:val="00985CDF"/>
    <w:rsid w:val="009861B0"/>
    <w:rsid w:val="0098697F"/>
    <w:rsid w:val="00991B54"/>
    <w:rsid w:val="00993100"/>
    <w:rsid w:val="009940CA"/>
    <w:rsid w:val="00994E50"/>
    <w:rsid w:val="0099538D"/>
    <w:rsid w:val="0099654F"/>
    <w:rsid w:val="00997957"/>
    <w:rsid w:val="00997DC3"/>
    <w:rsid w:val="009A0265"/>
    <w:rsid w:val="009A14FD"/>
    <w:rsid w:val="009A1B8C"/>
    <w:rsid w:val="009A3369"/>
    <w:rsid w:val="009A366E"/>
    <w:rsid w:val="009A5031"/>
    <w:rsid w:val="009A5196"/>
    <w:rsid w:val="009A5FFB"/>
    <w:rsid w:val="009A773B"/>
    <w:rsid w:val="009B0056"/>
    <w:rsid w:val="009B0728"/>
    <w:rsid w:val="009B0CC5"/>
    <w:rsid w:val="009B21F7"/>
    <w:rsid w:val="009B23EA"/>
    <w:rsid w:val="009B2559"/>
    <w:rsid w:val="009B4D99"/>
    <w:rsid w:val="009B6721"/>
    <w:rsid w:val="009B6FC4"/>
    <w:rsid w:val="009B704F"/>
    <w:rsid w:val="009C315F"/>
    <w:rsid w:val="009C3340"/>
    <w:rsid w:val="009C5A41"/>
    <w:rsid w:val="009C62F4"/>
    <w:rsid w:val="009D12CE"/>
    <w:rsid w:val="009D185D"/>
    <w:rsid w:val="009D2023"/>
    <w:rsid w:val="009D23A0"/>
    <w:rsid w:val="009D3286"/>
    <w:rsid w:val="009D3BA9"/>
    <w:rsid w:val="009E06F1"/>
    <w:rsid w:val="009E261D"/>
    <w:rsid w:val="009E2ECC"/>
    <w:rsid w:val="009F13A9"/>
    <w:rsid w:val="009F4B25"/>
    <w:rsid w:val="009F5609"/>
    <w:rsid w:val="009F6EE6"/>
    <w:rsid w:val="00A01A72"/>
    <w:rsid w:val="00A02E50"/>
    <w:rsid w:val="00A03D06"/>
    <w:rsid w:val="00A048AE"/>
    <w:rsid w:val="00A05F31"/>
    <w:rsid w:val="00A06121"/>
    <w:rsid w:val="00A065D1"/>
    <w:rsid w:val="00A06633"/>
    <w:rsid w:val="00A11064"/>
    <w:rsid w:val="00A13577"/>
    <w:rsid w:val="00A14C05"/>
    <w:rsid w:val="00A153D1"/>
    <w:rsid w:val="00A16C46"/>
    <w:rsid w:val="00A20E84"/>
    <w:rsid w:val="00A21B70"/>
    <w:rsid w:val="00A24B9B"/>
    <w:rsid w:val="00A25620"/>
    <w:rsid w:val="00A27884"/>
    <w:rsid w:val="00A32E3A"/>
    <w:rsid w:val="00A33091"/>
    <w:rsid w:val="00A35BA6"/>
    <w:rsid w:val="00A40B47"/>
    <w:rsid w:val="00A43217"/>
    <w:rsid w:val="00A434ED"/>
    <w:rsid w:val="00A43F53"/>
    <w:rsid w:val="00A44A2F"/>
    <w:rsid w:val="00A4676A"/>
    <w:rsid w:val="00A46F47"/>
    <w:rsid w:val="00A4733A"/>
    <w:rsid w:val="00A47820"/>
    <w:rsid w:val="00A50D2E"/>
    <w:rsid w:val="00A54D24"/>
    <w:rsid w:val="00A555E1"/>
    <w:rsid w:val="00A578C8"/>
    <w:rsid w:val="00A6052D"/>
    <w:rsid w:val="00A616BA"/>
    <w:rsid w:val="00A61958"/>
    <w:rsid w:val="00A628C4"/>
    <w:rsid w:val="00A67198"/>
    <w:rsid w:val="00A674AE"/>
    <w:rsid w:val="00A674EB"/>
    <w:rsid w:val="00A7091F"/>
    <w:rsid w:val="00A716EE"/>
    <w:rsid w:val="00A71EBD"/>
    <w:rsid w:val="00A7234E"/>
    <w:rsid w:val="00A729E9"/>
    <w:rsid w:val="00A73EE4"/>
    <w:rsid w:val="00A73F6A"/>
    <w:rsid w:val="00A7582F"/>
    <w:rsid w:val="00A76461"/>
    <w:rsid w:val="00A804A8"/>
    <w:rsid w:val="00A854E0"/>
    <w:rsid w:val="00A85A75"/>
    <w:rsid w:val="00A90B71"/>
    <w:rsid w:val="00A9147B"/>
    <w:rsid w:val="00A9359B"/>
    <w:rsid w:val="00A9446F"/>
    <w:rsid w:val="00A978B2"/>
    <w:rsid w:val="00AA1427"/>
    <w:rsid w:val="00AA49E3"/>
    <w:rsid w:val="00AA7278"/>
    <w:rsid w:val="00AB001D"/>
    <w:rsid w:val="00AB193A"/>
    <w:rsid w:val="00AB1F34"/>
    <w:rsid w:val="00AB2961"/>
    <w:rsid w:val="00AC1AF1"/>
    <w:rsid w:val="00AC6F59"/>
    <w:rsid w:val="00AD172F"/>
    <w:rsid w:val="00AD192C"/>
    <w:rsid w:val="00AD1C29"/>
    <w:rsid w:val="00AD2F66"/>
    <w:rsid w:val="00AD3521"/>
    <w:rsid w:val="00AD37A6"/>
    <w:rsid w:val="00AD5FB0"/>
    <w:rsid w:val="00AD6517"/>
    <w:rsid w:val="00AE0C52"/>
    <w:rsid w:val="00AE2C52"/>
    <w:rsid w:val="00AE783C"/>
    <w:rsid w:val="00AE7B5C"/>
    <w:rsid w:val="00AF0456"/>
    <w:rsid w:val="00AF3BA2"/>
    <w:rsid w:val="00AF503E"/>
    <w:rsid w:val="00AF6BE4"/>
    <w:rsid w:val="00B014D1"/>
    <w:rsid w:val="00B02787"/>
    <w:rsid w:val="00B03CD7"/>
    <w:rsid w:val="00B0584A"/>
    <w:rsid w:val="00B0639F"/>
    <w:rsid w:val="00B1072B"/>
    <w:rsid w:val="00B10D3E"/>
    <w:rsid w:val="00B11A32"/>
    <w:rsid w:val="00B130D9"/>
    <w:rsid w:val="00B13435"/>
    <w:rsid w:val="00B14E2C"/>
    <w:rsid w:val="00B14ED2"/>
    <w:rsid w:val="00B15112"/>
    <w:rsid w:val="00B1637C"/>
    <w:rsid w:val="00B17532"/>
    <w:rsid w:val="00B21A9B"/>
    <w:rsid w:val="00B272E4"/>
    <w:rsid w:val="00B30675"/>
    <w:rsid w:val="00B310DB"/>
    <w:rsid w:val="00B318E1"/>
    <w:rsid w:val="00B3211E"/>
    <w:rsid w:val="00B334C0"/>
    <w:rsid w:val="00B345AD"/>
    <w:rsid w:val="00B3552D"/>
    <w:rsid w:val="00B36F40"/>
    <w:rsid w:val="00B41B31"/>
    <w:rsid w:val="00B424BD"/>
    <w:rsid w:val="00B4253C"/>
    <w:rsid w:val="00B42720"/>
    <w:rsid w:val="00B42767"/>
    <w:rsid w:val="00B4394F"/>
    <w:rsid w:val="00B4592F"/>
    <w:rsid w:val="00B46339"/>
    <w:rsid w:val="00B51318"/>
    <w:rsid w:val="00B5255E"/>
    <w:rsid w:val="00B5294D"/>
    <w:rsid w:val="00B52977"/>
    <w:rsid w:val="00B56FAE"/>
    <w:rsid w:val="00B572DF"/>
    <w:rsid w:val="00B576FA"/>
    <w:rsid w:val="00B60A64"/>
    <w:rsid w:val="00B61A37"/>
    <w:rsid w:val="00B651B9"/>
    <w:rsid w:val="00B676D8"/>
    <w:rsid w:val="00B679CD"/>
    <w:rsid w:val="00B70348"/>
    <w:rsid w:val="00B70D71"/>
    <w:rsid w:val="00B73CA5"/>
    <w:rsid w:val="00B73DE6"/>
    <w:rsid w:val="00B741A6"/>
    <w:rsid w:val="00B7654E"/>
    <w:rsid w:val="00B767A8"/>
    <w:rsid w:val="00B77F4E"/>
    <w:rsid w:val="00B809CE"/>
    <w:rsid w:val="00B826D1"/>
    <w:rsid w:val="00B84100"/>
    <w:rsid w:val="00B84E2B"/>
    <w:rsid w:val="00B915A5"/>
    <w:rsid w:val="00B9200E"/>
    <w:rsid w:val="00B9268A"/>
    <w:rsid w:val="00B9294E"/>
    <w:rsid w:val="00B946FE"/>
    <w:rsid w:val="00B958C4"/>
    <w:rsid w:val="00BA0DA6"/>
    <w:rsid w:val="00BA7CF2"/>
    <w:rsid w:val="00BB14B0"/>
    <w:rsid w:val="00BB6B08"/>
    <w:rsid w:val="00BB6E6C"/>
    <w:rsid w:val="00BC0B6C"/>
    <w:rsid w:val="00BC145F"/>
    <w:rsid w:val="00BC46FA"/>
    <w:rsid w:val="00BC5AE8"/>
    <w:rsid w:val="00BC6904"/>
    <w:rsid w:val="00BD2D24"/>
    <w:rsid w:val="00BD4E32"/>
    <w:rsid w:val="00BD7C42"/>
    <w:rsid w:val="00BE099E"/>
    <w:rsid w:val="00BE1ACB"/>
    <w:rsid w:val="00BE3F59"/>
    <w:rsid w:val="00BE50BB"/>
    <w:rsid w:val="00BE55AB"/>
    <w:rsid w:val="00BF2C9F"/>
    <w:rsid w:val="00BF327A"/>
    <w:rsid w:val="00BF41AF"/>
    <w:rsid w:val="00BF41D5"/>
    <w:rsid w:val="00BF4A92"/>
    <w:rsid w:val="00C01344"/>
    <w:rsid w:val="00C016B6"/>
    <w:rsid w:val="00C03D9F"/>
    <w:rsid w:val="00C03DED"/>
    <w:rsid w:val="00C0460E"/>
    <w:rsid w:val="00C05907"/>
    <w:rsid w:val="00C07D06"/>
    <w:rsid w:val="00C13C2B"/>
    <w:rsid w:val="00C15718"/>
    <w:rsid w:val="00C20530"/>
    <w:rsid w:val="00C208FE"/>
    <w:rsid w:val="00C23D5B"/>
    <w:rsid w:val="00C25049"/>
    <w:rsid w:val="00C265A0"/>
    <w:rsid w:val="00C319BB"/>
    <w:rsid w:val="00C33156"/>
    <w:rsid w:val="00C35F36"/>
    <w:rsid w:val="00C36D48"/>
    <w:rsid w:val="00C36F25"/>
    <w:rsid w:val="00C40044"/>
    <w:rsid w:val="00C4063B"/>
    <w:rsid w:val="00C40AF8"/>
    <w:rsid w:val="00C41364"/>
    <w:rsid w:val="00C41A42"/>
    <w:rsid w:val="00C42014"/>
    <w:rsid w:val="00C44693"/>
    <w:rsid w:val="00C46D5B"/>
    <w:rsid w:val="00C51F38"/>
    <w:rsid w:val="00C52B36"/>
    <w:rsid w:val="00C5337A"/>
    <w:rsid w:val="00C53A28"/>
    <w:rsid w:val="00C54231"/>
    <w:rsid w:val="00C56E88"/>
    <w:rsid w:val="00C608B8"/>
    <w:rsid w:val="00C608FD"/>
    <w:rsid w:val="00C622E0"/>
    <w:rsid w:val="00C63BDE"/>
    <w:rsid w:val="00C65B83"/>
    <w:rsid w:val="00C8456E"/>
    <w:rsid w:val="00C84C4A"/>
    <w:rsid w:val="00C857B2"/>
    <w:rsid w:val="00C92ADB"/>
    <w:rsid w:val="00C95102"/>
    <w:rsid w:val="00C95BF9"/>
    <w:rsid w:val="00C96B84"/>
    <w:rsid w:val="00CA0A0B"/>
    <w:rsid w:val="00CA16FD"/>
    <w:rsid w:val="00CA1AA1"/>
    <w:rsid w:val="00CA530B"/>
    <w:rsid w:val="00CA5F59"/>
    <w:rsid w:val="00CA60F2"/>
    <w:rsid w:val="00CA61BE"/>
    <w:rsid w:val="00CA690C"/>
    <w:rsid w:val="00CB3875"/>
    <w:rsid w:val="00CB3AA5"/>
    <w:rsid w:val="00CB3CB6"/>
    <w:rsid w:val="00CB769B"/>
    <w:rsid w:val="00CB78A1"/>
    <w:rsid w:val="00CC45F5"/>
    <w:rsid w:val="00CC611E"/>
    <w:rsid w:val="00CD0022"/>
    <w:rsid w:val="00CD4223"/>
    <w:rsid w:val="00CD4A02"/>
    <w:rsid w:val="00CE0089"/>
    <w:rsid w:val="00CE02CE"/>
    <w:rsid w:val="00CE1048"/>
    <w:rsid w:val="00CE19AA"/>
    <w:rsid w:val="00CE2BF5"/>
    <w:rsid w:val="00CE7DD4"/>
    <w:rsid w:val="00CF1472"/>
    <w:rsid w:val="00CF1A8A"/>
    <w:rsid w:val="00CF25A7"/>
    <w:rsid w:val="00CF286E"/>
    <w:rsid w:val="00CF37AE"/>
    <w:rsid w:val="00CF4260"/>
    <w:rsid w:val="00CF43B6"/>
    <w:rsid w:val="00CF539F"/>
    <w:rsid w:val="00CF734F"/>
    <w:rsid w:val="00D06BC0"/>
    <w:rsid w:val="00D111BC"/>
    <w:rsid w:val="00D11B09"/>
    <w:rsid w:val="00D13486"/>
    <w:rsid w:val="00D14D9C"/>
    <w:rsid w:val="00D15557"/>
    <w:rsid w:val="00D15793"/>
    <w:rsid w:val="00D16922"/>
    <w:rsid w:val="00D17C39"/>
    <w:rsid w:val="00D2096C"/>
    <w:rsid w:val="00D23081"/>
    <w:rsid w:val="00D23C96"/>
    <w:rsid w:val="00D23FF4"/>
    <w:rsid w:val="00D2410D"/>
    <w:rsid w:val="00D26677"/>
    <w:rsid w:val="00D268BD"/>
    <w:rsid w:val="00D351B9"/>
    <w:rsid w:val="00D353D4"/>
    <w:rsid w:val="00D35BB2"/>
    <w:rsid w:val="00D378A5"/>
    <w:rsid w:val="00D433F7"/>
    <w:rsid w:val="00D45A1E"/>
    <w:rsid w:val="00D45F78"/>
    <w:rsid w:val="00D46FAA"/>
    <w:rsid w:val="00D473CB"/>
    <w:rsid w:val="00D50BCF"/>
    <w:rsid w:val="00D55A58"/>
    <w:rsid w:val="00D55F57"/>
    <w:rsid w:val="00D61B57"/>
    <w:rsid w:val="00D62AB2"/>
    <w:rsid w:val="00D72EEA"/>
    <w:rsid w:val="00D73201"/>
    <w:rsid w:val="00D73BE2"/>
    <w:rsid w:val="00D74539"/>
    <w:rsid w:val="00D7667F"/>
    <w:rsid w:val="00D83692"/>
    <w:rsid w:val="00D85A22"/>
    <w:rsid w:val="00D86911"/>
    <w:rsid w:val="00D87D39"/>
    <w:rsid w:val="00D93C05"/>
    <w:rsid w:val="00D93D29"/>
    <w:rsid w:val="00D94133"/>
    <w:rsid w:val="00D94ECB"/>
    <w:rsid w:val="00D96F8E"/>
    <w:rsid w:val="00D977E6"/>
    <w:rsid w:val="00DA119F"/>
    <w:rsid w:val="00DA283D"/>
    <w:rsid w:val="00DA2BDC"/>
    <w:rsid w:val="00DB1844"/>
    <w:rsid w:val="00DB2009"/>
    <w:rsid w:val="00DB2599"/>
    <w:rsid w:val="00DB5103"/>
    <w:rsid w:val="00DB5CB1"/>
    <w:rsid w:val="00DB5CF2"/>
    <w:rsid w:val="00DC1565"/>
    <w:rsid w:val="00DC4369"/>
    <w:rsid w:val="00DC5E6B"/>
    <w:rsid w:val="00DC6FBF"/>
    <w:rsid w:val="00DC7CE9"/>
    <w:rsid w:val="00DD0380"/>
    <w:rsid w:val="00DD2BCB"/>
    <w:rsid w:val="00DD6617"/>
    <w:rsid w:val="00DE0164"/>
    <w:rsid w:val="00DE0DA0"/>
    <w:rsid w:val="00DE2078"/>
    <w:rsid w:val="00DE226B"/>
    <w:rsid w:val="00DE3FBB"/>
    <w:rsid w:val="00DE6EA3"/>
    <w:rsid w:val="00DE6F0F"/>
    <w:rsid w:val="00DE7349"/>
    <w:rsid w:val="00DE763A"/>
    <w:rsid w:val="00DF18DA"/>
    <w:rsid w:val="00DF73EE"/>
    <w:rsid w:val="00DF7997"/>
    <w:rsid w:val="00E00695"/>
    <w:rsid w:val="00E00997"/>
    <w:rsid w:val="00E0258D"/>
    <w:rsid w:val="00E05FB4"/>
    <w:rsid w:val="00E064DC"/>
    <w:rsid w:val="00E114B7"/>
    <w:rsid w:val="00E11B15"/>
    <w:rsid w:val="00E11B30"/>
    <w:rsid w:val="00E16803"/>
    <w:rsid w:val="00E16B63"/>
    <w:rsid w:val="00E206BE"/>
    <w:rsid w:val="00E21863"/>
    <w:rsid w:val="00E24EC2"/>
    <w:rsid w:val="00E27569"/>
    <w:rsid w:val="00E325BD"/>
    <w:rsid w:val="00E3383D"/>
    <w:rsid w:val="00E375A5"/>
    <w:rsid w:val="00E43627"/>
    <w:rsid w:val="00E4445B"/>
    <w:rsid w:val="00E447DC"/>
    <w:rsid w:val="00E4595E"/>
    <w:rsid w:val="00E50011"/>
    <w:rsid w:val="00E53D3F"/>
    <w:rsid w:val="00E53FD9"/>
    <w:rsid w:val="00E54F2A"/>
    <w:rsid w:val="00E57CC2"/>
    <w:rsid w:val="00E60724"/>
    <w:rsid w:val="00E63937"/>
    <w:rsid w:val="00E67D74"/>
    <w:rsid w:val="00E701AF"/>
    <w:rsid w:val="00E72BB9"/>
    <w:rsid w:val="00E74BE6"/>
    <w:rsid w:val="00E7749C"/>
    <w:rsid w:val="00E81D73"/>
    <w:rsid w:val="00E81F8B"/>
    <w:rsid w:val="00E82553"/>
    <w:rsid w:val="00E84AC0"/>
    <w:rsid w:val="00E84BF9"/>
    <w:rsid w:val="00E8760E"/>
    <w:rsid w:val="00E87ABF"/>
    <w:rsid w:val="00E90C9F"/>
    <w:rsid w:val="00E911A9"/>
    <w:rsid w:val="00E9286D"/>
    <w:rsid w:val="00E93A5E"/>
    <w:rsid w:val="00E947E6"/>
    <w:rsid w:val="00E94E46"/>
    <w:rsid w:val="00E97BD8"/>
    <w:rsid w:val="00EA0964"/>
    <w:rsid w:val="00EA1812"/>
    <w:rsid w:val="00EA18A5"/>
    <w:rsid w:val="00EA4F78"/>
    <w:rsid w:val="00EA58AC"/>
    <w:rsid w:val="00EA67D0"/>
    <w:rsid w:val="00EA7DF4"/>
    <w:rsid w:val="00EB052F"/>
    <w:rsid w:val="00EB5A5B"/>
    <w:rsid w:val="00EB61A7"/>
    <w:rsid w:val="00EC0E9E"/>
    <w:rsid w:val="00EC1079"/>
    <w:rsid w:val="00EC386A"/>
    <w:rsid w:val="00EC3B52"/>
    <w:rsid w:val="00EC466A"/>
    <w:rsid w:val="00EC4DED"/>
    <w:rsid w:val="00EC7014"/>
    <w:rsid w:val="00EC7237"/>
    <w:rsid w:val="00ED06B9"/>
    <w:rsid w:val="00ED1E46"/>
    <w:rsid w:val="00ED5045"/>
    <w:rsid w:val="00ED6EF1"/>
    <w:rsid w:val="00ED7072"/>
    <w:rsid w:val="00EE016B"/>
    <w:rsid w:val="00EE170D"/>
    <w:rsid w:val="00EE2E83"/>
    <w:rsid w:val="00EE3AB0"/>
    <w:rsid w:val="00EE56B7"/>
    <w:rsid w:val="00EE63CE"/>
    <w:rsid w:val="00EE7200"/>
    <w:rsid w:val="00EF0947"/>
    <w:rsid w:val="00EF212C"/>
    <w:rsid w:val="00EF2A19"/>
    <w:rsid w:val="00EF3DE2"/>
    <w:rsid w:val="00EF4A87"/>
    <w:rsid w:val="00EF731B"/>
    <w:rsid w:val="00F012B5"/>
    <w:rsid w:val="00F062BE"/>
    <w:rsid w:val="00F07134"/>
    <w:rsid w:val="00F07C10"/>
    <w:rsid w:val="00F13017"/>
    <w:rsid w:val="00F2036F"/>
    <w:rsid w:val="00F21F34"/>
    <w:rsid w:val="00F25362"/>
    <w:rsid w:val="00F27C04"/>
    <w:rsid w:val="00F30E06"/>
    <w:rsid w:val="00F31B41"/>
    <w:rsid w:val="00F331D7"/>
    <w:rsid w:val="00F3783C"/>
    <w:rsid w:val="00F404EA"/>
    <w:rsid w:val="00F42911"/>
    <w:rsid w:val="00F42CDB"/>
    <w:rsid w:val="00F430C3"/>
    <w:rsid w:val="00F47187"/>
    <w:rsid w:val="00F500DC"/>
    <w:rsid w:val="00F500F8"/>
    <w:rsid w:val="00F51BBA"/>
    <w:rsid w:val="00F55669"/>
    <w:rsid w:val="00F556A9"/>
    <w:rsid w:val="00F56027"/>
    <w:rsid w:val="00F6548C"/>
    <w:rsid w:val="00F66450"/>
    <w:rsid w:val="00F66BD3"/>
    <w:rsid w:val="00F7347E"/>
    <w:rsid w:val="00F74635"/>
    <w:rsid w:val="00F80289"/>
    <w:rsid w:val="00F8366B"/>
    <w:rsid w:val="00F84F67"/>
    <w:rsid w:val="00F871BD"/>
    <w:rsid w:val="00F87465"/>
    <w:rsid w:val="00F87495"/>
    <w:rsid w:val="00F875A3"/>
    <w:rsid w:val="00F87CCA"/>
    <w:rsid w:val="00F918CE"/>
    <w:rsid w:val="00F9444A"/>
    <w:rsid w:val="00F94A19"/>
    <w:rsid w:val="00FA270F"/>
    <w:rsid w:val="00FA2E0C"/>
    <w:rsid w:val="00FA4DD3"/>
    <w:rsid w:val="00FA5AA6"/>
    <w:rsid w:val="00FA67B4"/>
    <w:rsid w:val="00FA7335"/>
    <w:rsid w:val="00FB1413"/>
    <w:rsid w:val="00FB1AF8"/>
    <w:rsid w:val="00FB6952"/>
    <w:rsid w:val="00FB7495"/>
    <w:rsid w:val="00FC1241"/>
    <w:rsid w:val="00FC1FEC"/>
    <w:rsid w:val="00FC5E60"/>
    <w:rsid w:val="00FD07C9"/>
    <w:rsid w:val="00FD20D0"/>
    <w:rsid w:val="00FD20D5"/>
    <w:rsid w:val="00FE04E7"/>
    <w:rsid w:val="00FE138E"/>
    <w:rsid w:val="00FE17DE"/>
    <w:rsid w:val="00FE2831"/>
    <w:rsid w:val="00FE2F52"/>
    <w:rsid w:val="00FE3648"/>
    <w:rsid w:val="00FE3AD9"/>
    <w:rsid w:val="00FE5D34"/>
    <w:rsid w:val="00FE76A3"/>
    <w:rsid w:val="00FF101A"/>
    <w:rsid w:val="00FF15AE"/>
    <w:rsid w:val="00FF1DED"/>
    <w:rsid w:val="00FF31DD"/>
    <w:rsid w:val="00FF4D01"/>
    <w:rsid w:val="00FF542F"/>
    <w:rsid w:val="00FF54F2"/>
    <w:rsid w:val="00FF6BEF"/>
    <w:rsid w:val="407CB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5A520"/>
  <w15:chartTrackingRefBased/>
  <w15:docId w15:val="{13319AEC-1232-4DBF-B7A4-255DBD87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B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unhideWhenUsed/>
    <w:qFormat/>
    <w:rsid w:val="00D45A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rsid w:val="00D45A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character" w:styleId="CommentReference">
    <w:name w:val="annotation reference"/>
    <w:basedOn w:val="DefaultParagraphFont"/>
    <w:uiPriority w:val="99"/>
    <w:semiHidden/>
    <w:unhideWhenUsed/>
    <w:rsid w:val="000802A5"/>
    <w:rPr>
      <w:sz w:val="16"/>
      <w:szCs w:val="16"/>
    </w:rPr>
  </w:style>
  <w:style w:type="paragraph" w:styleId="CommentText">
    <w:name w:val="annotation text"/>
    <w:basedOn w:val="Normal"/>
    <w:link w:val="CommentTextChar"/>
    <w:uiPriority w:val="99"/>
    <w:unhideWhenUsed/>
    <w:rsid w:val="000802A5"/>
    <w:pPr>
      <w:spacing w:line="240" w:lineRule="auto"/>
    </w:pPr>
    <w:rPr>
      <w:sz w:val="20"/>
      <w:szCs w:val="20"/>
    </w:rPr>
  </w:style>
  <w:style w:type="character" w:customStyle="1" w:styleId="CommentTextChar">
    <w:name w:val="Comment Text Char"/>
    <w:basedOn w:val="DefaultParagraphFont"/>
    <w:link w:val="CommentText"/>
    <w:uiPriority w:val="99"/>
    <w:rsid w:val="000802A5"/>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0802A5"/>
    <w:rPr>
      <w:b/>
      <w:bCs/>
    </w:rPr>
  </w:style>
  <w:style w:type="character" w:customStyle="1" w:styleId="CommentSubjectChar">
    <w:name w:val="Comment Subject Char"/>
    <w:basedOn w:val="CommentTextChar"/>
    <w:link w:val="CommentSubject"/>
    <w:uiPriority w:val="99"/>
    <w:semiHidden/>
    <w:rsid w:val="000802A5"/>
    <w:rPr>
      <w:rFonts w:ascii="Calibri Light" w:hAnsi="Calibri Light" w:cs="Calibri Light"/>
      <w:b/>
      <w:bCs/>
      <w:color w:val="393938"/>
      <w:sz w:val="20"/>
      <w:szCs w:val="20"/>
    </w:rPr>
  </w:style>
  <w:style w:type="paragraph" w:styleId="BalloonText">
    <w:name w:val="Balloon Text"/>
    <w:basedOn w:val="Normal"/>
    <w:link w:val="BalloonTextChar"/>
    <w:uiPriority w:val="99"/>
    <w:semiHidden/>
    <w:unhideWhenUsed/>
    <w:rsid w:val="0008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2A5"/>
    <w:rPr>
      <w:rFonts w:ascii="Segoe UI" w:hAnsi="Segoe UI" w:cs="Segoe UI"/>
      <w:color w:val="393938"/>
      <w:sz w:val="18"/>
      <w:szCs w:val="18"/>
    </w:rPr>
  </w:style>
  <w:style w:type="paragraph" w:styleId="NormalWeb">
    <w:name w:val="Normal (Web)"/>
    <w:basedOn w:val="Normal"/>
    <w:uiPriority w:val="99"/>
    <w:semiHidden/>
    <w:unhideWhenUsed/>
    <w:rsid w:val="00707B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3Char">
    <w:name w:val="Heading 3 Char"/>
    <w:basedOn w:val="DefaultParagraphFont"/>
    <w:link w:val="Heading3"/>
    <w:uiPriority w:val="9"/>
    <w:rsid w:val="005D4B8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11B30"/>
    <w:rPr>
      <w:color w:val="0000FF"/>
      <w:u w:val="single"/>
    </w:rPr>
  </w:style>
  <w:style w:type="character" w:styleId="UnresolvedMention">
    <w:name w:val="Unresolved Mention"/>
    <w:basedOn w:val="DefaultParagraphFont"/>
    <w:uiPriority w:val="99"/>
    <w:semiHidden/>
    <w:unhideWhenUsed/>
    <w:rsid w:val="0040434E"/>
    <w:rPr>
      <w:color w:val="605E5C"/>
      <w:shd w:val="clear" w:color="auto" w:fill="E1DFDD"/>
    </w:rPr>
  </w:style>
  <w:style w:type="character" w:styleId="FollowedHyperlink">
    <w:name w:val="FollowedHyperlink"/>
    <w:basedOn w:val="DefaultParagraphFont"/>
    <w:uiPriority w:val="99"/>
    <w:semiHidden/>
    <w:unhideWhenUsed/>
    <w:rsid w:val="00D93D29"/>
    <w:rPr>
      <w:color w:val="954F72" w:themeColor="followedHyperlink"/>
      <w:u w:val="single"/>
    </w:rPr>
  </w:style>
  <w:style w:type="paragraph" w:styleId="FootnoteText">
    <w:name w:val="footnote text"/>
    <w:basedOn w:val="Normal"/>
    <w:link w:val="FootnoteTextChar"/>
    <w:uiPriority w:val="99"/>
    <w:semiHidden/>
    <w:unhideWhenUsed/>
    <w:rsid w:val="00303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9EA"/>
    <w:rPr>
      <w:rFonts w:ascii="Calibri Light" w:hAnsi="Calibri Light" w:cs="Calibri Light"/>
      <w:color w:val="393938"/>
      <w:sz w:val="20"/>
      <w:szCs w:val="20"/>
    </w:rPr>
  </w:style>
  <w:style w:type="character" w:styleId="FootnoteReference">
    <w:name w:val="footnote reference"/>
    <w:basedOn w:val="DefaultParagraphFont"/>
    <w:uiPriority w:val="99"/>
    <w:semiHidden/>
    <w:unhideWhenUsed/>
    <w:rsid w:val="003039EA"/>
    <w:rPr>
      <w:vertAlign w:val="superscript"/>
    </w:rPr>
  </w:style>
  <w:style w:type="paragraph" w:styleId="Revision">
    <w:name w:val="Revision"/>
    <w:hidden/>
    <w:uiPriority w:val="99"/>
    <w:semiHidden/>
    <w:rsid w:val="00566676"/>
    <w:pPr>
      <w:spacing w:after="0" w:line="240" w:lineRule="auto"/>
    </w:pPr>
    <w:rPr>
      <w:rFonts w:ascii="Calibri Light" w:hAnsi="Calibri Light" w:cs="Calibri Light"/>
      <w:color w:val="3939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264">
      <w:bodyDiv w:val="1"/>
      <w:marLeft w:val="0"/>
      <w:marRight w:val="0"/>
      <w:marTop w:val="0"/>
      <w:marBottom w:val="0"/>
      <w:divBdr>
        <w:top w:val="none" w:sz="0" w:space="0" w:color="auto"/>
        <w:left w:val="none" w:sz="0" w:space="0" w:color="auto"/>
        <w:bottom w:val="none" w:sz="0" w:space="0" w:color="auto"/>
        <w:right w:val="none" w:sz="0" w:space="0" w:color="auto"/>
      </w:divBdr>
      <w:divsChild>
        <w:div w:id="30422690">
          <w:marLeft w:val="0"/>
          <w:marRight w:val="0"/>
          <w:marTop w:val="0"/>
          <w:marBottom w:val="0"/>
          <w:divBdr>
            <w:top w:val="none" w:sz="0" w:space="0" w:color="auto"/>
            <w:left w:val="none" w:sz="0" w:space="0" w:color="auto"/>
            <w:bottom w:val="none" w:sz="0" w:space="0" w:color="auto"/>
            <w:right w:val="none" w:sz="0" w:space="0" w:color="auto"/>
          </w:divBdr>
          <w:divsChild>
            <w:div w:id="722170401">
              <w:marLeft w:val="0"/>
              <w:marRight w:val="0"/>
              <w:marTop w:val="0"/>
              <w:marBottom w:val="0"/>
              <w:divBdr>
                <w:top w:val="none" w:sz="0" w:space="0" w:color="auto"/>
                <w:left w:val="none" w:sz="0" w:space="0" w:color="auto"/>
                <w:bottom w:val="none" w:sz="0" w:space="0" w:color="auto"/>
                <w:right w:val="none" w:sz="0" w:space="0" w:color="auto"/>
              </w:divBdr>
              <w:divsChild>
                <w:div w:id="70734064">
                  <w:marLeft w:val="0"/>
                  <w:marRight w:val="0"/>
                  <w:marTop w:val="0"/>
                  <w:marBottom w:val="0"/>
                  <w:divBdr>
                    <w:top w:val="none" w:sz="0" w:space="0" w:color="auto"/>
                    <w:left w:val="none" w:sz="0" w:space="0" w:color="auto"/>
                    <w:bottom w:val="none" w:sz="0" w:space="0" w:color="auto"/>
                    <w:right w:val="none" w:sz="0" w:space="0" w:color="auto"/>
                  </w:divBdr>
                  <w:divsChild>
                    <w:div w:id="159933093">
                      <w:marLeft w:val="0"/>
                      <w:marRight w:val="0"/>
                      <w:marTop w:val="0"/>
                      <w:marBottom w:val="0"/>
                      <w:divBdr>
                        <w:top w:val="none" w:sz="0" w:space="0" w:color="auto"/>
                        <w:left w:val="none" w:sz="0" w:space="0" w:color="auto"/>
                        <w:bottom w:val="none" w:sz="0" w:space="0" w:color="auto"/>
                        <w:right w:val="none" w:sz="0" w:space="0" w:color="auto"/>
                      </w:divBdr>
                      <w:divsChild>
                        <w:div w:id="6598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586758">
      <w:bodyDiv w:val="1"/>
      <w:marLeft w:val="0"/>
      <w:marRight w:val="0"/>
      <w:marTop w:val="0"/>
      <w:marBottom w:val="0"/>
      <w:divBdr>
        <w:top w:val="none" w:sz="0" w:space="0" w:color="auto"/>
        <w:left w:val="none" w:sz="0" w:space="0" w:color="auto"/>
        <w:bottom w:val="none" w:sz="0" w:space="0" w:color="auto"/>
        <w:right w:val="none" w:sz="0" w:space="0" w:color="auto"/>
      </w:divBdr>
      <w:divsChild>
        <w:div w:id="2065131531">
          <w:marLeft w:val="0"/>
          <w:marRight w:val="0"/>
          <w:marTop w:val="0"/>
          <w:marBottom w:val="0"/>
          <w:divBdr>
            <w:top w:val="none" w:sz="0" w:space="0" w:color="auto"/>
            <w:left w:val="none" w:sz="0" w:space="0" w:color="auto"/>
            <w:bottom w:val="none" w:sz="0" w:space="0" w:color="auto"/>
            <w:right w:val="none" w:sz="0" w:space="0" w:color="auto"/>
          </w:divBdr>
          <w:divsChild>
            <w:div w:id="1319918628">
              <w:marLeft w:val="0"/>
              <w:marRight w:val="0"/>
              <w:marTop w:val="0"/>
              <w:marBottom w:val="0"/>
              <w:divBdr>
                <w:top w:val="none" w:sz="0" w:space="0" w:color="auto"/>
                <w:left w:val="none" w:sz="0" w:space="0" w:color="auto"/>
                <w:bottom w:val="none" w:sz="0" w:space="0" w:color="auto"/>
                <w:right w:val="none" w:sz="0" w:space="0" w:color="auto"/>
              </w:divBdr>
              <w:divsChild>
                <w:div w:id="314142209">
                  <w:marLeft w:val="0"/>
                  <w:marRight w:val="0"/>
                  <w:marTop w:val="0"/>
                  <w:marBottom w:val="0"/>
                  <w:divBdr>
                    <w:top w:val="none" w:sz="0" w:space="0" w:color="auto"/>
                    <w:left w:val="none" w:sz="0" w:space="0" w:color="auto"/>
                    <w:bottom w:val="none" w:sz="0" w:space="0" w:color="auto"/>
                    <w:right w:val="none" w:sz="0" w:space="0" w:color="auto"/>
                  </w:divBdr>
                  <w:divsChild>
                    <w:div w:id="1963536084">
                      <w:marLeft w:val="0"/>
                      <w:marRight w:val="0"/>
                      <w:marTop w:val="0"/>
                      <w:marBottom w:val="0"/>
                      <w:divBdr>
                        <w:top w:val="none" w:sz="0" w:space="0" w:color="auto"/>
                        <w:left w:val="none" w:sz="0" w:space="0" w:color="auto"/>
                        <w:bottom w:val="none" w:sz="0" w:space="0" w:color="auto"/>
                        <w:right w:val="none" w:sz="0" w:space="0" w:color="auto"/>
                      </w:divBdr>
                      <w:divsChild>
                        <w:div w:id="7722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74425">
      <w:bodyDiv w:val="1"/>
      <w:marLeft w:val="0"/>
      <w:marRight w:val="0"/>
      <w:marTop w:val="0"/>
      <w:marBottom w:val="0"/>
      <w:divBdr>
        <w:top w:val="none" w:sz="0" w:space="0" w:color="auto"/>
        <w:left w:val="none" w:sz="0" w:space="0" w:color="auto"/>
        <w:bottom w:val="none" w:sz="0" w:space="0" w:color="auto"/>
        <w:right w:val="none" w:sz="0" w:space="0" w:color="auto"/>
      </w:divBdr>
      <w:divsChild>
        <w:div w:id="1067724931">
          <w:marLeft w:val="0"/>
          <w:marRight w:val="0"/>
          <w:marTop w:val="0"/>
          <w:marBottom w:val="0"/>
          <w:divBdr>
            <w:top w:val="none" w:sz="0" w:space="0" w:color="auto"/>
            <w:left w:val="none" w:sz="0" w:space="0" w:color="auto"/>
            <w:bottom w:val="none" w:sz="0" w:space="0" w:color="auto"/>
            <w:right w:val="none" w:sz="0" w:space="0" w:color="auto"/>
          </w:divBdr>
          <w:divsChild>
            <w:div w:id="1972862349">
              <w:marLeft w:val="0"/>
              <w:marRight w:val="0"/>
              <w:marTop w:val="0"/>
              <w:marBottom w:val="0"/>
              <w:divBdr>
                <w:top w:val="none" w:sz="0" w:space="0" w:color="auto"/>
                <w:left w:val="none" w:sz="0" w:space="0" w:color="auto"/>
                <w:bottom w:val="none" w:sz="0" w:space="0" w:color="auto"/>
                <w:right w:val="none" w:sz="0" w:space="0" w:color="auto"/>
              </w:divBdr>
              <w:divsChild>
                <w:div w:id="1018236361">
                  <w:marLeft w:val="0"/>
                  <w:marRight w:val="0"/>
                  <w:marTop w:val="0"/>
                  <w:marBottom w:val="0"/>
                  <w:divBdr>
                    <w:top w:val="none" w:sz="0" w:space="0" w:color="auto"/>
                    <w:left w:val="none" w:sz="0" w:space="0" w:color="auto"/>
                    <w:bottom w:val="none" w:sz="0" w:space="0" w:color="auto"/>
                    <w:right w:val="none" w:sz="0" w:space="0" w:color="auto"/>
                  </w:divBdr>
                  <w:divsChild>
                    <w:div w:id="922567396">
                      <w:marLeft w:val="0"/>
                      <w:marRight w:val="0"/>
                      <w:marTop w:val="0"/>
                      <w:marBottom w:val="0"/>
                      <w:divBdr>
                        <w:top w:val="none" w:sz="0" w:space="0" w:color="auto"/>
                        <w:left w:val="none" w:sz="0" w:space="0" w:color="auto"/>
                        <w:bottom w:val="none" w:sz="0" w:space="0" w:color="auto"/>
                        <w:right w:val="none" w:sz="0" w:space="0" w:color="auto"/>
                      </w:divBdr>
                      <w:divsChild>
                        <w:div w:id="4833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15108">
      <w:bodyDiv w:val="1"/>
      <w:marLeft w:val="0"/>
      <w:marRight w:val="0"/>
      <w:marTop w:val="0"/>
      <w:marBottom w:val="0"/>
      <w:divBdr>
        <w:top w:val="none" w:sz="0" w:space="0" w:color="auto"/>
        <w:left w:val="none" w:sz="0" w:space="0" w:color="auto"/>
        <w:bottom w:val="none" w:sz="0" w:space="0" w:color="auto"/>
        <w:right w:val="none" w:sz="0" w:space="0" w:color="auto"/>
      </w:divBdr>
    </w:div>
    <w:div w:id="754669858">
      <w:bodyDiv w:val="1"/>
      <w:marLeft w:val="0"/>
      <w:marRight w:val="0"/>
      <w:marTop w:val="0"/>
      <w:marBottom w:val="0"/>
      <w:divBdr>
        <w:top w:val="none" w:sz="0" w:space="0" w:color="auto"/>
        <w:left w:val="none" w:sz="0" w:space="0" w:color="auto"/>
        <w:bottom w:val="none" w:sz="0" w:space="0" w:color="auto"/>
        <w:right w:val="none" w:sz="0" w:space="0" w:color="auto"/>
      </w:divBdr>
      <w:divsChild>
        <w:div w:id="186410563">
          <w:marLeft w:val="547"/>
          <w:marRight w:val="0"/>
          <w:marTop w:val="0"/>
          <w:marBottom w:val="0"/>
          <w:divBdr>
            <w:top w:val="none" w:sz="0" w:space="0" w:color="auto"/>
            <w:left w:val="none" w:sz="0" w:space="0" w:color="auto"/>
            <w:bottom w:val="none" w:sz="0" w:space="0" w:color="auto"/>
            <w:right w:val="none" w:sz="0" w:space="0" w:color="auto"/>
          </w:divBdr>
        </w:div>
        <w:div w:id="426123884">
          <w:marLeft w:val="547"/>
          <w:marRight w:val="0"/>
          <w:marTop w:val="0"/>
          <w:marBottom w:val="0"/>
          <w:divBdr>
            <w:top w:val="none" w:sz="0" w:space="0" w:color="auto"/>
            <w:left w:val="none" w:sz="0" w:space="0" w:color="auto"/>
            <w:bottom w:val="none" w:sz="0" w:space="0" w:color="auto"/>
            <w:right w:val="none" w:sz="0" w:space="0" w:color="auto"/>
          </w:divBdr>
        </w:div>
        <w:div w:id="862402813">
          <w:marLeft w:val="547"/>
          <w:marRight w:val="0"/>
          <w:marTop w:val="0"/>
          <w:marBottom w:val="0"/>
          <w:divBdr>
            <w:top w:val="none" w:sz="0" w:space="0" w:color="auto"/>
            <w:left w:val="none" w:sz="0" w:space="0" w:color="auto"/>
            <w:bottom w:val="none" w:sz="0" w:space="0" w:color="auto"/>
            <w:right w:val="none" w:sz="0" w:space="0" w:color="auto"/>
          </w:divBdr>
        </w:div>
        <w:div w:id="2020352344">
          <w:marLeft w:val="547"/>
          <w:marRight w:val="0"/>
          <w:marTop w:val="0"/>
          <w:marBottom w:val="0"/>
          <w:divBdr>
            <w:top w:val="none" w:sz="0" w:space="0" w:color="auto"/>
            <w:left w:val="none" w:sz="0" w:space="0" w:color="auto"/>
            <w:bottom w:val="none" w:sz="0" w:space="0" w:color="auto"/>
            <w:right w:val="none" w:sz="0" w:space="0" w:color="auto"/>
          </w:divBdr>
        </w:div>
      </w:divsChild>
    </w:div>
    <w:div w:id="1038092293">
      <w:bodyDiv w:val="1"/>
      <w:marLeft w:val="0"/>
      <w:marRight w:val="0"/>
      <w:marTop w:val="0"/>
      <w:marBottom w:val="0"/>
      <w:divBdr>
        <w:top w:val="none" w:sz="0" w:space="0" w:color="auto"/>
        <w:left w:val="none" w:sz="0" w:space="0" w:color="auto"/>
        <w:bottom w:val="none" w:sz="0" w:space="0" w:color="auto"/>
        <w:right w:val="none" w:sz="0" w:space="0" w:color="auto"/>
      </w:divBdr>
    </w:div>
    <w:div w:id="1193809337">
      <w:bodyDiv w:val="1"/>
      <w:marLeft w:val="0"/>
      <w:marRight w:val="0"/>
      <w:marTop w:val="0"/>
      <w:marBottom w:val="0"/>
      <w:divBdr>
        <w:top w:val="none" w:sz="0" w:space="0" w:color="auto"/>
        <w:left w:val="none" w:sz="0" w:space="0" w:color="auto"/>
        <w:bottom w:val="none" w:sz="0" w:space="0" w:color="auto"/>
        <w:right w:val="none" w:sz="0" w:space="0" w:color="auto"/>
      </w:divBdr>
    </w:div>
    <w:div w:id="1245459391">
      <w:bodyDiv w:val="1"/>
      <w:marLeft w:val="0"/>
      <w:marRight w:val="0"/>
      <w:marTop w:val="0"/>
      <w:marBottom w:val="0"/>
      <w:divBdr>
        <w:top w:val="none" w:sz="0" w:space="0" w:color="auto"/>
        <w:left w:val="none" w:sz="0" w:space="0" w:color="auto"/>
        <w:bottom w:val="none" w:sz="0" w:space="0" w:color="auto"/>
        <w:right w:val="none" w:sz="0" w:space="0" w:color="auto"/>
      </w:divBdr>
    </w:div>
    <w:div w:id="1521819551">
      <w:bodyDiv w:val="1"/>
      <w:marLeft w:val="0"/>
      <w:marRight w:val="0"/>
      <w:marTop w:val="0"/>
      <w:marBottom w:val="0"/>
      <w:divBdr>
        <w:top w:val="none" w:sz="0" w:space="0" w:color="auto"/>
        <w:left w:val="none" w:sz="0" w:space="0" w:color="auto"/>
        <w:bottom w:val="none" w:sz="0" w:space="0" w:color="auto"/>
        <w:right w:val="none" w:sz="0" w:space="0" w:color="auto"/>
      </w:divBdr>
    </w:div>
    <w:div w:id="1555462310">
      <w:bodyDiv w:val="1"/>
      <w:marLeft w:val="0"/>
      <w:marRight w:val="0"/>
      <w:marTop w:val="0"/>
      <w:marBottom w:val="0"/>
      <w:divBdr>
        <w:top w:val="none" w:sz="0" w:space="0" w:color="auto"/>
        <w:left w:val="none" w:sz="0" w:space="0" w:color="auto"/>
        <w:bottom w:val="none" w:sz="0" w:space="0" w:color="auto"/>
        <w:right w:val="none" w:sz="0" w:space="0" w:color="auto"/>
      </w:divBdr>
    </w:div>
    <w:div w:id="1634024271">
      <w:bodyDiv w:val="1"/>
      <w:marLeft w:val="0"/>
      <w:marRight w:val="0"/>
      <w:marTop w:val="0"/>
      <w:marBottom w:val="0"/>
      <w:divBdr>
        <w:top w:val="none" w:sz="0" w:space="0" w:color="auto"/>
        <w:left w:val="none" w:sz="0" w:space="0" w:color="auto"/>
        <w:bottom w:val="none" w:sz="0" w:space="0" w:color="auto"/>
        <w:right w:val="none" w:sz="0" w:space="0" w:color="auto"/>
      </w:divBdr>
    </w:div>
    <w:div w:id="1779135655">
      <w:bodyDiv w:val="1"/>
      <w:marLeft w:val="0"/>
      <w:marRight w:val="0"/>
      <w:marTop w:val="0"/>
      <w:marBottom w:val="0"/>
      <w:divBdr>
        <w:top w:val="none" w:sz="0" w:space="0" w:color="auto"/>
        <w:left w:val="none" w:sz="0" w:space="0" w:color="auto"/>
        <w:bottom w:val="none" w:sz="0" w:space="0" w:color="auto"/>
        <w:right w:val="none" w:sz="0" w:space="0" w:color="auto"/>
      </w:divBdr>
      <w:divsChild>
        <w:div w:id="1497265967">
          <w:marLeft w:val="446"/>
          <w:marRight w:val="0"/>
          <w:marTop w:val="0"/>
          <w:marBottom w:val="0"/>
          <w:divBdr>
            <w:top w:val="none" w:sz="0" w:space="0" w:color="auto"/>
            <w:left w:val="none" w:sz="0" w:space="0" w:color="auto"/>
            <w:bottom w:val="none" w:sz="0" w:space="0" w:color="auto"/>
            <w:right w:val="none" w:sz="0" w:space="0" w:color="auto"/>
          </w:divBdr>
        </w:div>
      </w:divsChild>
    </w:div>
    <w:div w:id="1861507387">
      <w:bodyDiv w:val="1"/>
      <w:marLeft w:val="0"/>
      <w:marRight w:val="0"/>
      <w:marTop w:val="0"/>
      <w:marBottom w:val="0"/>
      <w:divBdr>
        <w:top w:val="none" w:sz="0" w:space="0" w:color="auto"/>
        <w:left w:val="none" w:sz="0" w:space="0" w:color="auto"/>
        <w:bottom w:val="none" w:sz="0" w:space="0" w:color="auto"/>
        <w:right w:val="none" w:sz="0" w:space="0" w:color="auto"/>
      </w:divBdr>
      <w:divsChild>
        <w:div w:id="1461001030">
          <w:marLeft w:val="0"/>
          <w:marRight w:val="0"/>
          <w:marTop w:val="0"/>
          <w:marBottom w:val="0"/>
          <w:divBdr>
            <w:top w:val="none" w:sz="0" w:space="0" w:color="auto"/>
            <w:left w:val="none" w:sz="0" w:space="0" w:color="auto"/>
            <w:bottom w:val="none" w:sz="0" w:space="0" w:color="auto"/>
            <w:right w:val="none" w:sz="0" w:space="0" w:color="auto"/>
          </w:divBdr>
          <w:divsChild>
            <w:div w:id="792943828">
              <w:marLeft w:val="0"/>
              <w:marRight w:val="0"/>
              <w:marTop w:val="0"/>
              <w:marBottom w:val="0"/>
              <w:divBdr>
                <w:top w:val="none" w:sz="0" w:space="0" w:color="auto"/>
                <w:left w:val="none" w:sz="0" w:space="0" w:color="auto"/>
                <w:bottom w:val="none" w:sz="0" w:space="0" w:color="auto"/>
                <w:right w:val="none" w:sz="0" w:space="0" w:color="auto"/>
              </w:divBdr>
              <w:divsChild>
                <w:div w:id="1948465888">
                  <w:marLeft w:val="0"/>
                  <w:marRight w:val="0"/>
                  <w:marTop w:val="0"/>
                  <w:marBottom w:val="0"/>
                  <w:divBdr>
                    <w:top w:val="none" w:sz="0" w:space="0" w:color="auto"/>
                    <w:left w:val="none" w:sz="0" w:space="0" w:color="auto"/>
                    <w:bottom w:val="none" w:sz="0" w:space="0" w:color="auto"/>
                    <w:right w:val="none" w:sz="0" w:space="0" w:color="auto"/>
                  </w:divBdr>
                  <w:divsChild>
                    <w:div w:id="484711315">
                      <w:marLeft w:val="0"/>
                      <w:marRight w:val="0"/>
                      <w:marTop w:val="0"/>
                      <w:marBottom w:val="0"/>
                      <w:divBdr>
                        <w:top w:val="none" w:sz="0" w:space="0" w:color="auto"/>
                        <w:left w:val="none" w:sz="0" w:space="0" w:color="auto"/>
                        <w:bottom w:val="none" w:sz="0" w:space="0" w:color="auto"/>
                        <w:right w:val="none" w:sz="0" w:space="0" w:color="auto"/>
                      </w:divBdr>
                      <w:divsChild>
                        <w:div w:id="456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5860">
      <w:bodyDiv w:val="1"/>
      <w:marLeft w:val="0"/>
      <w:marRight w:val="0"/>
      <w:marTop w:val="0"/>
      <w:marBottom w:val="0"/>
      <w:divBdr>
        <w:top w:val="none" w:sz="0" w:space="0" w:color="auto"/>
        <w:left w:val="none" w:sz="0" w:space="0" w:color="auto"/>
        <w:bottom w:val="none" w:sz="0" w:space="0" w:color="auto"/>
        <w:right w:val="none" w:sz="0" w:space="0" w:color="auto"/>
      </w:divBdr>
      <w:divsChild>
        <w:div w:id="1953049896">
          <w:marLeft w:val="0"/>
          <w:marRight w:val="0"/>
          <w:marTop w:val="0"/>
          <w:marBottom w:val="0"/>
          <w:divBdr>
            <w:top w:val="none" w:sz="0" w:space="0" w:color="auto"/>
            <w:left w:val="none" w:sz="0" w:space="0" w:color="auto"/>
            <w:bottom w:val="none" w:sz="0" w:space="0" w:color="auto"/>
            <w:right w:val="none" w:sz="0" w:space="0" w:color="auto"/>
          </w:divBdr>
          <w:divsChild>
            <w:div w:id="1566524474">
              <w:marLeft w:val="0"/>
              <w:marRight w:val="0"/>
              <w:marTop w:val="0"/>
              <w:marBottom w:val="0"/>
              <w:divBdr>
                <w:top w:val="none" w:sz="0" w:space="0" w:color="auto"/>
                <w:left w:val="none" w:sz="0" w:space="0" w:color="auto"/>
                <w:bottom w:val="none" w:sz="0" w:space="0" w:color="auto"/>
                <w:right w:val="none" w:sz="0" w:space="0" w:color="auto"/>
              </w:divBdr>
              <w:divsChild>
                <w:div w:id="600603976">
                  <w:marLeft w:val="0"/>
                  <w:marRight w:val="0"/>
                  <w:marTop w:val="0"/>
                  <w:marBottom w:val="0"/>
                  <w:divBdr>
                    <w:top w:val="none" w:sz="0" w:space="0" w:color="auto"/>
                    <w:left w:val="none" w:sz="0" w:space="0" w:color="auto"/>
                    <w:bottom w:val="none" w:sz="0" w:space="0" w:color="auto"/>
                    <w:right w:val="none" w:sz="0" w:space="0" w:color="auto"/>
                  </w:divBdr>
                  <w:divsChild>
                    <w:div w:id="18578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iencesearch.defra.gov.uk/Default.aspx?Location=None&amp;Module=FilterSearchNewLook&amp;Completed=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MSCOUTREACH-166638024-14484</_dlc_DocId>
    <_dlc_DocIdUrl xmlns="230c30b3-5bf2-4424-b964-6b55c85701d3">
      <Url>https://marinestewardshipcouncil.sharepoint.com/sites/outreach/NE_Atlantic/_layouts/15/DocIdRedir.aspx?ID=MSCOUTREACH-166638024-14484</Url>
      <Description>MSCOUTREACH-166638024-14484</Description>
    </_dlc_DocIdUrl>
    <SharedWithUsers xmlns="230c30b3-5bf2-4424-b964-6b55c85701d3">
      <UserInfo>
        <DisplayName>Matthew Spencer</DisplayName>
        <AccountId>2907</AccountId>
        <AccountType/>
      </UserInfo>
      <UserInfo>
        <DisplayName>Katie Keay</DisplayName>
        <AccountId>3081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2" ma:contentTypeDescription="" ma:contentTypeScope="" ma:versionID="c736382cd22100a0852bb2a838c8fb88">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7f01d7a962caec7a1404e74850e98114"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EDDB0B-E223-4081-B351-B72E821F167F}">
  <ds:schemaRefs>
    <ds:schemaRef ds:uri="http://schemas.microsoft.com/sharepoint/v3/contenttype/forms"/>
  </ds:schemaRefs>
</ds:datastoreItem>
</file>

<file path=customXml/itemProps2.xml><?xml version="1.0" encoding="utf-8"?>
<ds:datastoreItem xmlns:ds="http://schemas.openxmlformats.org/officeDocument/2006/customXml" ds:itemID="{97DD395B-1B9A-4564-BD00-905D77A3FE0E}">
  <ds:schemaRefs>
    <ds:schemaRef ds:uri="http://www.w3.org/XML/1998/namespace"/>
    <ds:schemaRef ds:uri="http://purl.org/dc/dcmitype/"/>
    <ds:schemaRef ds:uri="3a894303-5bae-4b34-a633-f72b06b6225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230c30b3-5bf2-4424-b964-6b55c85701d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595E055-6BDF-453F-AAA1-9B365B169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FD7CA-8DA0-4DA0-9E99-E5ED6C5173F9}">
  <ds:schemaRefs>
    <ds:schemaRef ds:uri="http://schemas.openxmlformats.org/officeDocument/2006/bibliography"/>
  </ds:schemaRefs>
</ds:datastoreItem>
</file>

<file path=customXml/itemProps5.xml><?xml version="1.0" encoding="utf-8"?>
<ds:datastoreItem xmlns:ds="http://schemas.openxmlformats.org/officeDocument/2006/customXml" ds:itemID="{21EF37B9-96EE-45A9-8D6F-C03438271F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Links>
    <vt:vector size="6" baseType="variant">
      <vt:variant>
        <vt:i4>2687020</vt:i4>
      </vt:variant>
      <vt:variant>
        <vt:i4>0</vt:i4>
      </vt:variant>
      <vt:variant>
        <vt:i4>0</vt:i4>
      </vt:variant>
      <vt:variant>
        <vt:i4>5</vt:i4>
      </vt:variant>
      <vt:variant>
        <vt:lpwstr>http://sciencesearch.defra.gov.uk/Default.aspx?Location=None&amp;Module=FilterSearchNewLook&amp;Completed=0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Matthew Spencer</cp:lastModifiedBy>
  <cp:revision>3</cp:revision>
  <cp:lastPrinted>2021-05-05T14:34:00Z</cp:lastPrinted>
  <dcterms:created xsi:type="dcterms:W3CDTF">2021-12-09T15:05:00Z</dcterms:created>
  <dcterms:modified xsi:type="dcterms:W3CDTF">2021-12-09T15:05:00Z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73d6cd55-f37b-4062-92d0-744d04bc2985</vt:lpwstr>
  </property>
  <property fmtid="{D5CDD505-2E9C-101B-9397-08002B2CF9AE}" pid="5" name="Outreach Doc Type">
    <vt:lpwstr/>
  </property>
  <property fmtid="{D5CDD505-2E9C-101B-9397-08002B2CF9AE}" pid="6" name="Outreach Category">
    <vt:lpwstr/>
  </property>
</Properties>
</file>