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36DB9C7D" w:rsidR="00EC1079" w:rsidRDefault="006A7639" w:rsidP="006A7639">
      <w:pPr>
        <w:pStyle w:val="Title"/>
      </w:pPr>
      <w:r>
        <w:t>Minutes</w:t>
      </w:r>
      <w:r w:rsidR="006944D7">
        <w:t>:</w:t>
      </w:r>
      <w:r w:rsidR="00963097">
        <w:t xml:space="preserve"> </w:t>
      </w:r>
      <w:r w:rsidR="000809A3" w:rsidRPr="006944D7">
        <w:t>plaice and lemon sole</w:t>
      </w:r>
      <w:r w:rsidR="00963097">
        <w:rPr>
          <w:i/>
          <w:iCs/>
        </w:rPr>
        <w:t xml:space="preserve"> </w:t>
      </w:r>
      <w:r w:rsidR="006944D7">
        <w:t xml:space="preserve">principle 1 and </w:t>
      </w:r>
      <w:r w:rsidR="00E93CBA">
        <w:t>2</w:t>
      </w:r>
      <w:r w:rsidR="006944D7">
        <w:t xml:space="preserve"> </w:t>
      </w:r>
      <w:r w:rsidR="0082653D">
        <w:rPr>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A81CF" w14:textId="25FA59A1" w:rsidR="005171E1" w:rsidRPr="0082653D" w:rsidRDefault="005171E1" w:rsidP="0082653D">
      <w:pPr>
        <w:pStyle w:val="DateandLocation"/>
      </w:pPr>
      <w:r w:rsidRPr="0082653D">
        <w:t>Meeting Date:</w:t>
      </w:r>
      <w:r w:rsidR="000C30FC">
        <w:t xml:space="preserve"> 3</w:t>
      </w:r>
      <w:r w:rsidR="000C30FC" w:rsidRPr="000C30FC">
        <w:rPr>
          <w:vertAlign w:val="superscript"/>
        </w:rPr>
        <w:t>rd</w:t>
      </w:r>
      <w:r w:rsidR="000C30FC">
        <w:t xml:space="preserve"> February 2021</w:t>
      </w:r>
    </w:p>
    <w:p w14:paraId="7961ABF2" w14:textId="599BEBDA" w:rsidR="005171E1" w:rsidRPr="0082653D" w:rsidRDefault="005171E1" w:rsidP="0082653D">
      <w:pPr>
        <w:pStyle w:val="DateandLocation"/>
      </w:pPr>
      <w:r w:rsidRPr="0082653D">
        <w:t>Location:</w:t>
      </w:r>
      <w:r w:rsidR="000C30FC">
        <w:t xml:space="preserve"> Teams call</w:t>
      </w:r>
    </w:p>
    <w:p w14:paraId="1A14F2A5" w14:textId="6E1E3822" w:rsidR="00083AC4" w:rsidRDefault="00083AC4" w:rsidP="00F42911"/>
    <w:tbl>
      <w:tblPr>
        <w:tblStyle w:val="TableGrid"/>
        <w:tblW w:w="9209" w:type="dxa"/>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4143"/>
        <w:gridCol w:w="5066"/>
      </w:tblGrid>
      <w:tr w:rsidR="001A2BFD" w:rsidRPr="00A85A75" w14:paraId="6AF34D88" w14:textId="77777777" w:rsidTr="000C30FC">
        <w:trPr>
          <w:trHeight w:val="408"/>
        </w:trPr>
        <w:tc>
          <w:tcPr>
            <w:tcW w:w="4143" w:type="dxa"/>
            <w:shd w:val="clear" w:color="auto" w:fill="1B98C7"/>
          </w:tcPr>
          <w:p w14:paraId="5679F1C1" w14:textId="77777777" w:rsidR="001A2BFD" w:rsidRPr="00A85A75" w:rsidRDefault="001A2BFD" w:rsidP="002876FA">
            <w:pPr>
              <w:pStyle w:val="TableHeading"/>
              <w:spacing w:before="120" w:after="120"/>
            </w:pPr>
            <w:r w:rsidRPr="00A85A75">
              <w:t>Attendees</w:t>
            </w:r>
          </w:p>
        </w:tc>
        <w:tc>
          <w:tcPr>
            <w:tcW w:w="5066" w:type="dxa"/>
            <w:shd w:val="clear" w:color="auto" w:fill="1B98C7"/>
          </w:tcPr>
          <w:p w14:paraId="1F3C64CA" w14:textId="220F36C3" w:rsidR="001A2BFD" w:rsidRPr="00A85A75" w:rsidRDefault="00C20840" w:rsidP="002876FA">
            <w:pPr>
              <w:pStyle w:val="TableHeading"/>
              <w:spacing w:before="120" w:after="120"/>
            </w:pPr>
            <w:r>
              <w:t>Organisation</w:t>
            </w:r>
          </w:p>
        </w:tc>
      </w:tr>
      <w:tr w:rsidR="000C30FC" w14:paraId="4B6C2226" w14:textId="77777777" w:rsidTr="000C30FC">
        <w:trPr>
          <w:trHeight w:val="218"/>
        </w:trPr>
        <w:tc>
          <w:tcPr>
            <w:tcW w:w="4143" w:type="dxa"/>
          </w:tcPr>
          <w:p w14:paraId="7C882D71" w14:textId="3C16F402" w:rsidR="000C30FC" w:rsidRDefault="000C30FC" w:rsidP="002876FA">
            <w:pPr>
              <w:pStyle w:val="TableText"/>
            </w:pPr>
            <w:r>
              <w:t>AJ: Aisla Jones</w:t>
            </w:r>
          </w:p>
        </w:tc>
        <w:tc>
          <w:tcPr>
            <w:tcW w:w="5066" w:type="dxa"/>
          </w:tcPr>
          <w:p w14:paraId="0F44548B" w14:textId="54E659A7" w:rsidR="000C30FC" w:rsidRDefault="000C30FC" w:rsidP="002876FA">
            <w:pPr>
              <w:pStyle w:val="TableText"/>
            </w:pPr>
            <w:r>
              <w:t>Co-op</w:t>
            </w:r>
          </w:p>
        </w:tc>
      </w:tr>
      <w:tr w:rsidR="001A2BFD" w14:paraId="47FF4D98" w14:textId="77777777" w:rsidTr="000C30FC">
        <w:trPr>
          <w:trHeight w:val="218"/>
        </w:trPr>
        <w:tc>
          <w:tcPr>
            <w:tcW w:w="4143" w:type="dxa"/>
          </w:tcPr>
          <w:p w14:paraId="12F2446F" w14:textId="77777777" w:rsidR="001A2BFD" w:rsidRPr="00A048AE" w:rsidRDefault="001A2BFD" w:rsidP="002876FA">
            <w:pPr>
              <w:pStyle w:val="TableText"/>
            </w:pPr>
            <w:r>
              <w:t xml:space="preserve">AB: Andy Boulton </w:t>
            </w:r>
          </w:p>
        </w:tc>
        <w:tc>
          <w:tcPr>
            <w:tcW w:w="5066" w:type="dxa"/>
          </w:tcPr>
          <w:p w14:paraId="73380AB2" w14:textId="77777777" w:rsidR="001A2BFD" w:rsidRPr="00A048AE" w:rsidRDefault="001A2BFD" w:rsidP="002876FA">
            <w:pPr>
              <w:pStyle w:val="TableText"/>
            </w:pPr>
            <w:r>
              <w:t xml:space="preserve">Waitrose </w:t>
            </w:r>
          </w:p>
        </w:tc>
      </w:tr>
      <w:tr w:rsidR="001A2BFD" w14:paraId="413CB645" w14:textId="77777777" w:rsidTr="000C30FC">
        <w:trPr>
          <w:trHeight w:val="203"/>
        </w:trPr>
        <w:tc>
          <w:tcPr>
            <w:tcW w:w="4143" w:type="dxa"/>
          </w:tcPr>
          <w:p w14:paraId="28508EAC" w14:textId="77777777" w:rsidR="001A2BFD" w:rsidRDefault="001A2BFD" w:rsidP="002876FA">
            <w:pPr>
              <w:pStyle w:val="TableText"/>
            </w:pPr>
            <w:r>
              <w:t>BL: Bill Lart</w:t>
            </w:r>
          </w:p>
        </w:tc>
        <w:tc>
          <w:tcPr>
            <w:tcW w:w="5066" w:type="dxa"/>
          </w:tcPr>
          <w:p w14:paraId="357E16C8" w14:textId="77777777" w:rsidR="001A2BFD" w:rsidRDefault="001A2BFD" w:rsidP="002876FA">
            <w:pPr>
              <w:pStyle w:val="TableText"/>
            </w:pPr>
            <w:proofErr w:type="spellStart"/>
            <w:r>
              <w:t>Seafish</w:t>
            </w:r>
            <w:proofErr w:type="spellEnd"/>
            <w:r>
              <w:t xml:space="preserve"> </w:t>
            </w:r>
          </w:p>
        </w:tc>
      </w:tr>
      <w:tr w:rsidR="001A2BFD" w14:paraId="6997DF1C" w14:textId="77777777" w:rsidTr="000C30FC">
        <w:trPr>
          <w:trHeight w:val="203"/>
        </w:trPr>
        <w:tc>
          <w:tcPr>
            <w:tcW w:w="4143" w:type="dxa"/>
          </w:tcPr>
          <w:p w14:paraId="51295712" w14:textId="77777777" w:rsidR="001A2BFD" w:rsidRPr="00A048AE" w:rsidRDefault="001A2BFD" w:rsidP="002876FA">
            <w:pPr>
              <w:pStyle w:val="TableText"/>
            </w:pPr>
            <w:r>
              <w:t>CM: Cameron Moffat</w:t>
            </w:r>
          </w:p>
        </w:tc>
        <w:tc>
          <w:tcPr>
            <w:tcW w:w="5066" w:type="dxa"/>
          </w:tcPr>
          <w:p w14:paraId="39FE3DDB" w14:textId="77777777" w:rsidR="001A2BFD" w:rsidRPr="00A048AE" w:rsidRDefault="001A2BFD" w:rsidP="002876FA">
            <w:pPr>
              <w:pStyle w:val="TableText"/>
            </w:pPr>
            <w:r>
              <w:t>Young’s Seafood</w:t>
            </w:r>
          </w:p>
        </w:tc>
      </w:tr>
      <w:tr w:rsidR="001A2BFD" w14:paraId="33C6DE97" w14:textId="77777777" w:rsidTr="000C30FC">
        <w:trPr>
          <w:trHeight w:val="203"/>
        </w:trPr>
        <w:tc>
          <w:tcPr>
            <w:tcW w:w="4143" w:type="dxa"/>
          </w:tcPr>
          <w:p w14:paraId="02572C3D" w14:textId="77777777" w:rsidR="001A2BFD" w:rsidRPr="00A048AE" w:rsidRDefault="001A2BFD" w:rsidP="002876FA">
            <w:pPr>
              <w:pStyle w:val="TableText"/>
            </w:pPr>
            <w:r>
              <w:t>HS: Hayley Swanlund</w:t>
            </w:r>
          </w:p>
        </w:tc>
        <w:tc>
          <w:tcPr>
            <w:tcW w:w="5066" w:type="dxa"/>
          </w:tcPr>
          <w:p w14:paraId="6548C553" w14:textId="77777777" w:rsidR="001A2BFD" w:rsidRPr="00A048AE" w:rsidRDefault="001A2BFD" w:rsidP="002876FA">
            <w:pPr>
              <w:pStyle w:val="TableText"/>
            </w:pPr>
            <w:r>
              <w:t>WWF-UK</w:t>
            </w:r>
          </w:p>
        </w:tc>
      </w:tr>
      <w:tr w:rsidR="001A2BFD" w14:paraId="783FF8B9" w14:textId="77777777" w:rsidTr="000C30FC">
        <w:trPr>
          <w:trHeight w:val="203"/>
        </w:trPr>
        <w:tc>
          <w:tcPr>
            <w:tcW w:w="4143" w:type="dxa"/>
          </w:tcPr>
          <w:p w14:paraId="6F5624BD" w14:textId="77777777" w:rsidR="001A2BFD" w:rsidRPr="00A048AE" w:rsidRDefault="001A2BFD" w:rsidP="002876FA">
            <w:pPr>
              <w:pStyle w:val="TableText"/>
            </w:pPr>
            <w:r>
              <w:t>JP: Jo Pollett</w:t>
            </w:r>
          </w:p>
        </w:tc>
        <w:tc>
          <w:tcPr>
            <w:tcW w:w="5066" w:type="dxa"/>
          </w:tcPr>
          <w:p w14:paraId="56CC575A" w14:textId="77777777" w:rsidR="001A2BFD" w:rsidRPr="00A048AE" w:rsidRDefault="001A2BFD" w:rsidP="002876FA">
            <w:pPr>
              <w:pStyle w:val="TableText"/>
            </w:pPr>
            <w:r>
              <w:t xml:space="preserve">Marine Stewardship Council </w:t>
            </w:r>
          </w:p>
        </w:tc>
      </w:tr>
      <w:tr w:rsidR="001A2BFD" w14:paraId="60AECE7B" w14:textId="77777777" w:rsidTr="000C30FC">
        <w:trPr>
          <w:trHeight w:val="278"/>
        </w:trPr>
        <w:tc>
          <w:tcPr>
            <w:tcW w:w="4143" w:type="dxa"/>
          </w:tcPr>
          <w:p w14:paraId="4935DA07" w14:textId="77777777" w:rsidR="001A2BFD" w:rsidRPr="00A048AE" w:rsidRDefault="001A2BFD" w:rsidP="002876FA">
            <w:pPr>
              <w:pStyle w:val="TableText"/>
            </w:pPr>
            <w:r>
              <w:t>KC: Kenny Coull</w:t>
            </w:r>
          </w:p>
        </w:tc>
        <w:tc>
          <w:tcPr>
            <w:tcW w:w="5066" w:type="dxa"/>
          </w:tcPr>
          <w:p w14:paraId="31FA0C18" w14:textId="77777777" w:rsidR="001A2BFD" w:rsidRPr="00A048AE" w:rsidRDefault="001A2BFD" w:rsidP="002876FA">
            <w:pPr>
              <w:pStyle w:val="TableText"/>
            </w:pPr>
            <w:r>
              <w:t xml:space="preserve">Scottish White Fish Producers Association </w:t>
            </w:r>
          </w:p>
        </w:tc>
      </w:tr>
      <w:tr w:rsidR="001A2BFD" w14:paraId="3B87AC31" w14:textId="77777777" w:rsidTr="000C30FC">
        <w:trPr>
          <w:trHeight w:val="203"/>
        </w:trPr>
        <w:tc>
          <w:tcPr>
            <w:tcW w:w="4143" w:type="dxa"/>
          </w:tcPr>
          <w:p w14:paraId="2D3435C0" w14:textId="77777777" w:rsidR="001A2BFD" w:rsidRDefault="001A2BFD" w:rsidP="002876FA">
            <w:pPr>
              <w:pStyle w:val="TableText"/>
            </w:pPr>
            <w:r>
              <w:t>KK: Katie Keay</w:t>
            </w:r>
          </w:p>
        </w:tc>
        <w:tc>
          <w:tcPr>
            <w:tcW w:w="5066" w:type="dxa"/>
          </w:tcPr>
          <w:p w14:paraId="46FEE443" w14:textId="77777777" w:rsidR="001A2BFD" w:rsidRPr="00A048AE" w:rsidRDefault="001A2BFD" w:rsidP="002876FA">
            <w:pPr>
              <w:pStyle w:val="TableText"/>
            </w:pPr>
            <w:r>
              <w:t xml:space="preserve">Marine Stewardship Council </w:t>
            </w:r>
          </w:p>
        </w:tc>
      </w:tr>
      <w:tr w:rsidR="001A2BFD" w14:paraId="6DEFA40E" w14:textId="77777777" w:rsidTr="000C30FC">
        <w:trPr>
          <w:trHeight w:val="203"/>
        </w:trPr>
        <w:tc>
          <w:tcPr>
            <w:tcW w:w="4143" w:type="dxa"/>
          </w:tcPr>
          <w:p w14:paraId="5EE5A313" w14:textId="77777777" w:rsidR="001A2BFD" w:rsidRPr="00A048AE" w:rsidRDefault="001A2BFD" w:rsidP="002876FA">
            <w:pPr>
              <w:pStyle w:val="TableText"/>
            </w:pPr>
            <w:r>
              <w:t>LH: Leendert Hakvoort</w:t>
            </w:r>
          </w:p>
        </w:tc>
        <w:tc>
          <w:tcPr>
            <w:tcW w:w="5066" w:type="dxa"/>
          </w:tcPr>
          <w:p w14:paraId="2AADF07D" w14:textId="77777777" w:rsidR="001A2BFD" w:rsidRPr="00A048AE" w:rsidRDefault="001A2BFD" w:rsidP="002876FA">
            <w:pPr>
              <w:pStyle w:val="TableText"/>
            </w:pPr>
            <w:r>
              <w:t xml:space="preserve">Lowestoft Producer Organisation </w:t>
            </w:r>
          </w:p>
        </w:tc>
      </w:tr>
      <w:tr w:rsidR="007864E7" w14:paraId="4F0FD48F" w14:textId="77777777" w:rsidTr="000C30FC">
        <w:trPr>
          <w:trHeight w:val="208"/>
        </w:trPr>
        <w:tc>
          <w:tcPr>
            <w:tcW w:w="4143" w:type="dxa"/>
          </w:tcPr>
          <w:p w14:paraId="5834C6DF" w14:textId="5119CB9E" w:rsidR="007864E7" w:rsidRPr="000C30FC" w:rsidRDefault="007864E7" w:rsidP="007864E7">
            <w:pPr>
              <w:rPr>
                <w:sz w:val="20"/>
                <w:szCs w:val="20"/>
              </w:rPr>
            </w:pPr>
            <w:r w:rsidRPr="000C30FC">
              <w:rPr>
                <w:sz w:val="20"/>
                <w:szCs w:val="20"/>
              </w:rPr>
              <w:t>LR: Lisa Readdy</w:t>
            </w:r>
          </w:p>
        </w:tc>
        <w:tc>
          <w:tcPr>
            <w:tcW w:w="5066" w:type="dxa"/>
          </w:tcPr>
          <w:p w14:paraId="7BBE4FFF" w14:textId="10545F76" w:rsidR="007864E7" w:rsidRDefault="00210423" w:rsidP="002876FA">
            <w:pPr>
              <w:pStyle w:val="TableText"/>
            </w:pPr>
            <w:r>
              <w:t>C</w:t>
            </w:r>
            <w:r w:rsidR="000C30FC">
              <w:rPr>
                <w:rStyle w:val="normaltextrun"/>
                <w:bdr w:val="none" w:sz="0" w:space="0" w:color="auto" w:frame="1"/>
              </w:rPr>
              <w:t>entre for Environment, Fisheries and Aquaculture Science</w:t>
            </w:r>
            <w:r>
              <w:t xml:space="preserve"> </w:t>
            </w:r>
          </w:p>
        </w:tc>
      </w:tr>
      <w:tr w:rsidR="001A2BFD" w14:paraId="2CAA2BE6" w14:textId="77777777" w:rsidTr="000C30FC">
        <w:trPr>
          <w:trHeight w:val="218"/>
        </w:trPr>
        <w:tc>
          <w:tcPr>
            <w:tcW w:w="4143" w:type="dxa"/>
          </w:tcPr>
          <w:p w14:paraId="1D759337" w14:textId="77777777" w:rsidR="001A2BFD" w:rsidRDefault="001A2BFD" w:rsidP="002876FA">
            <w:pPr>
              <w:pStyle w:val="TableText"/>
            </w:pPr>
            <w:r>
              <w:t>MS: Matt Spencer</w:t>
            </w:r>
          </w:p>
        </w:tc>
        <w:tc>
          <w:tcPr>
            <w:tcW w:w="5066" w:type="dxa"/>
          </w:tcPr>
          <w:p w14:paraId="429D6EA3" w14:textId="77777777" w:rsidR="001A2BFD" w:rsidRPr="00A048AE" w:rsidRDefault="001A2BFD" w:rsidP="002876FA">
            <w:pPr>
              <w:pStyle w:val="TableText"/>
            </w:pPr>
            <w:r>
              <w:t xml:space="preserve">Marine Stewardship Council </w:t>
            </w:r>
          </w:p>
        </w:tc>
      </w:tr>
      <w:tr w:rsidR="000C30FC" w14:paraId="29B02071" w14:textId="77777777" w:rsidTr="000C30FC">
        <w:trPr>
          <w:trHeight w:val="218"/>
        </w:trPr>
        <w:tc>
          <w:tcPr>
            <w:tcW w:w="4143" w:type="dxa"/>
          </w:tcPr>
          <w:p w14:paraId="5F298FFF" w14:textId="694F7F7F" w:rsidR="000C30FC" w:rsidRDefault="000C30FC" w:rsidP="002876FA">
            <w:pPr>
              <w:pStyle w:val="TableText"/>
            </w:pPr>
            <w:r>
              <w:t>MM: Mike Mitchell</w:t>
            </w:r>
          </w:p>
        </w:tc>
        <w:tc>
          <w:tcPr>
            <w:tcW w:w="5066" w:type="dxa"/>
          </w:tcPr>
          <w:p w14:paraId="58860D11" w14:textId="07424146" w:rsidR="000C30FC" w:rsidRDefault="000C30FC" w:rsidP="002876FA">
            <w:pPr>
              <w:pStyle w:val="TableText"/>
            </w:pPr>
            <w:r>
              <w:t>Young’s Seafood</w:t>
            </w:r>
          </w:p>
        </w:tc>
      </w:tr>
      <w:tr w:rsidR="001A2BFD" w14:paraId="3C799E71" w14:textId="77777777" w:rsidTr="000C30FC">
        <w:trPr>
          <w:trHeight w:val="203"/>
        </w:trPr>
        <w:tc>
          <w:tcPr>
            <w:tcW w:w="4143" w:type="dxa"/>
          </w:tcPr>
          <w:p w14:paraId="1762D160" w14:textId="77777777" w:rsidR="001A2BFD" w:rsidRPr="00A048AE" w:rsidRDefault="001A2BFD" w:rsidP="002876FA">
            <w:pPr>
              <w:pStyle w:val="TableText"/>
            </w:pPr>
            <w:r>
              <w:t>RC: Rod Cappell</w:t>
            </w:r>
          </w:p>
        </w:tc>
        <w:tc>
          <w:tcPr>
            <w:tcW w:w="5066" w:type="dxa"/>
          </w:tcPr>
          <w:p w14:paraId="450719E7" w14:textId="77777777" w:rsidR="001A2BFD" w:rsidRPr="00A048AE" w:rsidRDefault="001A2BFD" w:rsidP="002876FA">
            <w:pPr>
              <w:pStyle w:val="TableText"/>
            </w:pPr>
            <w:r>
              <w:t xml:space="preserve">Poseidon </w:t>
            </w:r>
          </w:p>
        </w:tc>
      </w:tr>
      <w:tr w:rsidR="001A2BFD" w14:paraId="20C47B3F" w14:textId="77777777" w:rsidTr="000C30FC">
        <w:trPr>
          <w:trHeight w:val="203"/>
        </w:trPr>
        <w:tc>
          <w:tcPr>
            <w:tcW w:w="4143" w:type="dxa"/>
          </w:tcPr>
          <w:p w14:paraId="20C021A1" w14:textId="77777777" w:rsidR="001A2BFD" w:rsidRPr="00A048AE" w:rsidRDefault="001A2BFD" w:rsidP="002876FA">
            <w:pPr>
              <w:pStyle w:val="TableText"/>
            </w:pPr>
            <w:r>
              <w:t xml:space="preserve">WD: William Davies </w:t>
            </w:r>
          </w:p>
        </w:tc>
        <w:tc>
          <w:tcPr>
            <w:tcW w:w="5066" w:type="dxa"/>
          </w:tcPr>
          <w:p w14:paraId="05D6E965" w14:textId="77777777" w:rsidR="001A2BFD" w:rsidRPr="00A048AE" w:rsidRDefault="001A2BFD" w:rsidP="002876FA">
            <w:pPr>
              <w:pStyle w:val="TableText"/>
            </w:pPr>
            <w:r>
              <w:t xml:space="preserve">Hilton Seafood UK </w:t>
            </w:r>
          </w:p>
        </w:tc>
      </w:tr>
    </w:tbl>
    <w:p w14:paraId="185C6EAF" w14:textId="527E9CC8" w:rsidR="008E589A" w:rsidRDefault="008E589A" w:rsidP="00F42911"/>
    <w:p w14:paraId="50BBDC76" w14:textId="52058B2F" w:rsidR="001A2BFD" w:rsidRDefault="001A2BFD" w:rsidP="00F42911"/>
    <w:p w14:paraId="3368A485" w14:textId="0B19F0AB" w:rsidR="00330FCA" w:rsidRDefault="00330FCA" w:rsidP="00A628C4">
      <w:pPr>
        <w:pStyle w:val="TItleofAgendaItem"/>
      </w:pPr>
      <w:r>
        <w:t>Purpose of the meeting</w:t>
      </w:r>
    </w:p>
    <w:p w14:paraId="600699F0" w14:textId="281472EB" w:rsidR="000809A3" w:rsidRDefault="00CE4B80" w:rsidP="000809A3">
      <w:r>
        <w:t xml:space="preserve">This call was an opportunity for the Steering Group to review progress made against each of the actions under Principle 1 and </w:t>
      </w:r>
      <w:r w:rsidR="00151B60">
        <w:t>2</w:t>
      </w:r>
      <w:r>
        <w:t xml:space="preserve"> in the Project UK </w:t>
      </w:r>
      <w:r w:rsidR="00C50862">
        <w:t>plaice and lemon sole</w:t>
      </w:r>
      <w:r>
        <w:t xml:space="preserve"> Fishery Improvement Project (FIP) action plan and </w:t>
      </w:r>
      <w:r w:rsidR="00C50862">
        <w:t>determine key prioritie</w:t>
      </w:r>
      <w:r w:rsidR="00EB2138">
        <w:t>s</w:t>
      </w:r>
      <w:r w:rsidR="00C50862">
        <w:t xml:space="preserve"> ahead of the annual review in March. </w:t>
      </w:r>
    </w:p>
    <w:p w14:paraId="07AFA0A2" w14:textId="77777777" w:rsidR="00C50862" w:rsidRPr="000809A3" w:rsidRDefault="00C50862" w:rsidP="000809A3"/>
    <w:p w14:paraId="2B422F8E" w14:textId="6253D6D4" w:rsidR="00AF503E" w:rsidRPr="00FC1241" w:rsidRDefault="00A85A75" w:rsidP="00FC1241">
      <w:pPr>
        <w:pStyle w:val="AgendaItemNumber"/>
      </w:pPr>
      <w:r w:rsidRPr="00FC1241">
        <w:t xml:space="preserve">Agenda Item 1: </w:t>
      </w:r>
      <w:r w:rsidR="00E9127D">
        <w:t>stock</w:t>
      </w:r>
      <w:r w:rsidR="00C84024" w:rsidRPr="00282C9F">
        <w:t xml:space="preserve"> status</w:t>
      </w:r>
    </w:p>
    <w:p w14:paraId="3D897B91" w14:textId="5A2A8FB9" w:rsidR="00820F84" w:rsidRDefault="00372B00" w:rsidP="00F42911">
      <w:r>
        <w:t>T</w:t>
      </w:r>
      <w:r w:rsidR="002822AB">
        <w:t xml:space="preserve">he </w:t>
      </w:r>
      <w:r w:rsidR="00CE0D71">
        <w:t xml:space="preserve">North Sea lemon sole fishery </w:t>
      </w:r>
      <w:r w:rsidR="00380FCA">
        <w:t xml:space="preserve">previously had </w:t>
      </w:r>
      <w:r w:rsidR="00821C84">
        <w:t xml:space="preserve">biological </w:t>
      </w:r>
      <w:r w:rsidR="00380FCA">
        <w:t>reference points</w:t>
      </w:r>
      <w:r w:rsidR="00233AAD">
        <w:t xml:space="preserve"> for stock management</w:t>
      </w:r>
      <w:r w:rsidR="00380FCA">
        <w:t>, but</w:t>
      </w:r>
      <w:r w:rsidR="002822AB">
        <w:t xml:space="preserve"> these were removed </w:t>
      </w:r>
      <w:r w:rsidR="008C2EA9">
        <w:t>after an ICES benchmarking exercise</w:t>
      </w:r>
      <w:r w:rsidR="007018C7">
        <w:t xml:space="preserve"> in 2018</w:t>
      </w:r>
      <w:r w:rsidR="00233AAD">
        <w:t xml:space="preserve">. </w:t>
      </w:r>
      <w:r w:rsidR="00AB4692">
        <w:t xml:space="preserve">LR informed the Steering Group that </w:t>
      </w:r>
      <w:r w:rsidR="00A16350">
        <w:t xml:space="preserve">only proxy reference points </w:t>
      </w:r>
      <w:r w:rsidR="008A0075">
        <w:t xml:space="preserve">for lemon sole </w:t>
      </w:r>
      <w:r w:rsidR="00A16350">
        <w:t>are available</w:t>
      </w:r>
      <w:r w:rsidR="008A0075">
        <w:t>,</w:t>
      </w:r>
      <w:r w:rsidR="00A16350">
        <w:t xml:space="preserve"> </w:t>
      </w:r>
      <w:r w:rsidR="000304E9">
        <w:t>based on</w:t>
      </w:r>
      <w:r w:rsidR="00A16350">
        <w:t xml:space="preserve"> fishing pressure</w:t>
      </w:r>
      <w:r w:rsidR="00A64946">
        <w:t xml:space="preserve">. </w:t>
      </w:r>
      <w:r w:rsidR="0014622E">
        <w:t>T</w:t>
      </w:r>
      <w:r w:rsidR="00E458A2">
        <w:t xml:space="preserve">here are </w:t>
      </w:r>
      <w:r w:rsidR="00F47E64">
        <w:t xml:space="preserve">currently </w:t>
      </w:r>
      <w:r w:rsidR="00E458A2">
        <w:t xml:space="preserve">no plans for another </w:t>
      </w:r>
      <w:r w:rsidR="0014622E">
        <w:t>benchmarking for lemon sole</w:t>
      </w:r>
      <w:r w:rsidR="00E458A2">
        <w:t xml:space="preserve"> so </w:t>
      </w:r>
      <w:r w:rsidR="008A1439">
        <w:t xml:space="preserve">the fishery will have to </w:t>
      </w:r>
      <w:r w:rsidR="003B6D20">
        <w:t>use the</w:t>
      </w:r>
      <w:r w:rsidR="000A411A">
        <w:t xml:space="preserve"> fishing pressure proxy reference points</w:t>
      </w:r>
      <w:r w:rsidR="00E25CDE">
        <w:t xml:space="preserve"> </w:t>
      </w:r>
      <w:r w:rsidR="0041653A">
        <w:t>for any management measures</w:t>
      </w:r>
      <w:r w:rsidR="000A411A">
        <w:t xml:space="preserve">. </w:t>
      </w:r>
    </w:p>
    <w:p w14:paraId="1E1D3B90" w14:textId="45F4819D" w:rsidR="00B56D38" w:rsidRDefault="00FC7B7E" w:rsidP="00F42911">
      <w:r>
        <w:t>RC explained that this is not the ideal si</w:t>
      </w:r>
      <w:r w:rsidR="001A6612">
        <w:t>t</w:t>
      </w:r>
      <w:r>
        <w:t xml:space="preserve">uation for the </w:t>
      </w:r>
      <w:proofErr w:type="gramStart"/>
      <w:r>
        <w:t>fishery, but</w:t>
      </w:r>
      <w:proofErr w:type="gramEnd"/>
      <w:r>
        <w:t xml:space="preserve"> </w:t>
      </w:r>
      <w:r w:rsidR="00897E94">
        <w:t xml:space="preserve">using the </w:t>
      </w:r>
      <w:r w:rsidR="00252075">
        <w:t xml:space="preserve">MSC Standard </w:t>
      </w:r>
      <w:r w:rsidR="00897E94">
        <w:t>Ri</w:t>
      </w:r>
      <w:r w:rsidR="001A6612">
        <w:t>s</w:t>
      </w:r>
      <w:r w:rsidR="00897E94">
        <w:t xml:space="preserve">k Based Framework (RBF) approach </w:t>
      </w:r>
      <w:r w:rsidR="001A6612">
        <w:t>for</w:t>
      </w:r>
      <w:r w:rsidR="00897E94">
        <w:t xml:space="preserve"> data limited stocks, the </w:t>
      </w:r>
      <w:r w:rsidR="00D4102B">
        <w:t>fishery should still reach</w:t>
      </w:r>
      <w:r w:rsidR="001A6612">
        <w:t xml:space="preserve"> </w:t>
      </w:r>
      <w:r w:rsidR="00D4102B">
        <w:t>the SG80 level</w:t>
      </w:r>
      <w:r w:rsidR="00587770">
        <w:t xml:space="preserve">. Assessors can </w:t>
      </w:r>
      <w:r w:rsidR="00335CD0">
        <w:t>cho</w:t>
      </w:r>
      <w:r w:rsidR="00D021D4">
        <w:t>o</w:t>
      </w:r>
      <w:r w:rsidR="00335CD0">
        <w:t xml:space="preserve">se to assess </w:t>
      </w:r>
      <w:r w:rsidR="00BD3BEF">
        <w:t xml:space="preserve">a fishery </w:t>
      </w:r>
      <w:r w:rsidR="00587770">
        <w:t>us</w:t>
      </w:r>
      <w:r w:rsidR="00BD3BEF">
        <w:t>ing</w:t>
      </w:r>
      <w:r w:rsidR="00587770">
        <w:t xml:space="preserve"> proxy ref</w:t>
      </w:r>
      <w:r w:rsidR="00E5122D">
        <w:t>erence</w:t>
      </w:r>
      <w:r w:rsidR="00587770">
        <w:t xml:space="preserve"> points, </w:t>
      </w:r>
      <w:r w:rsidR="00E5122D">
        <w:t xml:space="preserve">so </w:t>
      </w:r>
      <w:r w:rsidR="00BD3BEF">
        <w:t>it is</w:t>
      </w:r>
      <w:r w:rsidR="00E5122D">
        <w:t xml:space="preserve"> the decision of the </w:t>
      </w:r>
      <w:r w:rsidR="00587770">
        <w:t xml:space="preserve">P1 assessor </w:t>
      </w:r>
      <w:r w:rsidR="00B56D38">
        <w:t xml:space="preserve">as to whether they want to use the </w:t>
      </w:r>
      <w:r w:rsidR="00335CD0">
        <w:t>R</w:t>
      </w:r>
      <w:r w:rsidR="00B56D38">
        <w:t xml:space="preserve">BF </w:t>
      </w:r>
      <w:proofErr w:type="gramStart"/>
      <w:r w:rsidR="00B56D38">
        <w:t>methodology</w:t>
      </w:r>
      <w:proofErr w:type="gramEnd"/>
      <w:r w:rsidR="00B56D38">
        <w:t xml:space="preserve"> or the </w:t>
      </w:r>
      <w:r w:rsidR="00C74DC1">
        <w:t xml:space="preserve">fishing mortality (F) </w:t>
      </w:r>
      <w:r w:rsidR="00B56D38">
        <w:t>proxy reference points provided by ICES.</w:t>
      </w:r>
      <w:r w:rsidR="00C06653">
        <w:t xml:space="preserve"> The current ICES advice indicates a positive view </w:t>
      </w:r>
      <w:r w:rsidR="00690BC7">
        <w:t>for</w:t>
      </w:r>
      <w:r w:rsidR="00C06653">
        <w:t xml:space="preserve"> stock status and fishing pressure</w:t>
      </w:r>
      <w:r w:rsidR="00DE38C5">
        <w:t xml:space="preserve">, </w:t>
      </w:r>
      <w:proofErr w:type="gramStart"/>
      <w:r w:rsidR="00DE38C5">
        <w:t>similar to</w:t>
      </w:r>
      <w:proofErr w:type="gramEnd"/>
      <w:r w:rsidR="00DE38C5">
        <w:t xml:space="preserve"> the results</w:t>
      </w:r>
      <w:r w:rsidR="00BC02F7">
        <w:t xml:space="preserve"> expected</w:t>
      </w:r>
      <w:r w:rsidR="00DE38C5">
        <w:t xml:space="preserve"> </w:t>
      </w:r>
      <w:r w:rsidR="00BC02F7">
        <w:t>using</w:t>
      </w:r>
      <w:r w:rsidR="00DE38C5">
        <w:t xml:space="preserve"> RB</w:t>
      </w:r>
      <w:r w:rsidR="00793417">
        <w:t>F, so either way the fishery has possibilities</w:t>
      </w:r>
      <w:r w:rsidR="004D4CA0">
        <w:t xml:space="preserve"> </w:t>
      </w:r>
      <w:r w:rsidR="00477339">
        <w:t xml:space="preserve">for passing an MSC assessment, </w:t>
      </w:r>
      <w:r w:rsidR="004D4CA0">
        <w:t>even if there is a condition attached</w:t>
      </w:r>
      <w:r w:rsidR="00793417">
        <w:t xml:space="preserve">. </w:t>
      </w:r>
      <w:r w:rsidR="00C06653">
        <w:t xml:space="preserve"> </w:t>
      </w:r>
    </w:p>
    <w:p w14:paraId="04885D89" w14:textId="596D624D" w:rsidR="007845BF" w:rsidRDefault="005924DA" w:rsidP="00F42911">
      <w:r>
        <w:t xml:space="preserve">LR explained </w:t>
      </w:r>
      <w:r w:rsidR="00BF1862">
        <w:t xml:space="preserve">that ICES use </w:t>
      </w:r>
      <w:r>
        <w:t>a ranking system to determine which species</w:t>
      </w:r>
      <w:r w:rsidR="00756F42">
        <w:t xml:space="preserve"> should be benchmarked each </w:t>
      </w:r>
      <w:r w:rsidR="00001026">
        <w:t xml:space="preserve">year. Lemon sole is quite low on the list as </w:t>
      </w:r>
      <w:r w:rsidR="009D45AC">
        <w:t xml:space="preserve">there has been </w:t>
      </w:r>
      <w:r w:rsidR="00001026">
        <w:t xml:space="preserve">no new information </w:t>
      </w:r>
      <w:r w:rsidR="009D45AC">
        <w:t xml:space="preserve">since the </w:t>
      </w:r>
      <w:r w:rsidR="00001026">
        <w:t xml:space="preserve">2018 </w:t>
      </w:r>
      <w:r w:rsidR="009D45AC">
        <w:lastRenderedPageBreak/>
        <w:t>benchmarking exercise</w:t>
      </w:r>
      <w:r w:rsidR="00001026">
        <w:t>.</w:t>
      </w:r>
      <w:r w:rsidR="00174703">
        <w:t xml:space="preserve"> </w:t>
      </w:r>
      <w:r w:rsidR="007845BF">
        <w:t xml:space="preserve">If </w:t>
      </w:r>
      <w:r w:rsidR="00DD44DF">
        <w:t>additional</w:t>
      </w:r>
      <w:r w:rsidR="007845BF">
        <w:t xml:space="preserve"> age-length info</w:t>
      </w:r>
      <w:r w:rsidR="00174703">
        <w:t>rmation</w:t>
      </w:r>
      <w:r w:rsidR="007845BF">
        <w:t xml:space="preserve"> </w:t>
      </w:r>
      <w:r w:rsidR="000E19F1">
        <w:t xml:space="preserve">becomes </w:t>
      </w:r>
      <w:r w:rsidR="00261EC5">
        <w:t>available,</w:t>
      </w:r>
      <w:r w:rsidR="00C4234B">
        <w:t xml:space="preserve"> </w:t>
      </w:r>
      <w:r w:rsidR="007845BF">
        <w:t>then there</w:t>
      </w:r>
      <w:r w:rsidR="00174703">
        <w:t xml:space="preserve"> i</w:t>
      </w:r>
      <w:r w:rsidR="007845BF">
        <w:t xml:space="preserve">s a possibility </w:t>
      </w:r>
      <w:r w:rsidR="00C4234B">
        <w:t>lemon sole</w:t>
      </w:r>
      <w:r w:rsidR="007845BF">
        <w:t xml:space="preserve"> could </w:t>
      </w:r>
      <w:r w:rsidR="00174703">
        <w:t>be moved</w:t>
      </w:r>
      <w:r w:rsidR="007845BF">
        <w:t xml:space="preserve"> up the </w:t>
      </w:r>
      <w:r w:rsidR="00C4234B">
        <w:t xml:space="preserve">priority </w:t>
      </w:r>
      <w:r w:rsidR="007845BF">
        <w:t xml:space="preserve">list. </w:t>
      </w:r>
      <w:r w:rsidR="00C4234B">
        <w:t>ICES also need</w:t>
      </w:r>
      <w:r w:rsidR="0024265E">
        <w:t>s</w:t>
      </w:r>
      <w:r w:rsidR="00C4234B">
        <w:t xml:space="preserve"> to</w:t>
      </w:r>
      <w:r w:rsidR="007845BF">
        <w:t xml:space="preserve"> consider </w:t>
      </w:r>
      <w:r w:rsidR="004A586B">
        <w:t xml:space="preserve">its </w:t>
      </w:r>
      <w:r w:rsidR="007845BF">
        <w:t xml:space="preserve">resource capacity to host </w:t>
      </w:r>
      <w:r w:rsidR="000E19F1">
        <w:t>benchmarking</w:t>
      </w:r>
      <w:r w:rsidR="007845BF">
        <w:t xml:space="preserve"> workshops</w:t>
      </w:r>
      <w:r w:rsidR="005448CA">
        <w:t xml:space="preserve">, which </w:t>
      </w:r>
      <w:r w:rsidR="009D4047">
        <w:t>limits</w:t>
      </w:r>
      <w:r w:rsidR="00425DD5">
        <w:t xml:space="preserve"> how many can be h</w:t>
      </w:r>
      <w:r w:rsidR="009D4047">
        <w:t>eld</w:t>
      </w:r>
      <w:r w:rsidR="00425DD5">
        <w:t xml:space="preserve"> per year. </w:t>
      </w:r>
    </w:p>
    <w:p w14:paraId="03A07543" w14:textId="27606CF6" w:rsidR="00660E8E" w:rsidRDefault="00425DD5" w:rsidP="00F42911">
      <w:r>
        <w:t>RC</w:t>
      </w:r>
      <w:r w:rsidR="00E0065E">
        <w:t xml:space="preserve"> asked whether</w:t>
      </w:r>
      <w:r>
        <w:t xml:space="preserve"> any fisherie</w:t>
      </w:r>
      <w:r w:rsidR="00B41638">
        <w:t>s</w:t>
      </w:r>
      <w:r w:rsidR="00E0065E">
        <w:t xml:space="preserve"> </w:t>
      </w:r>
      <w:r w:rsidR="00626905">
        <w:t xml:space="preserve">dependent </w:t>
      </w:r>
      <w:r>
        <w:t>info</w:t>
      </w:r>
      <w:r w:rsidR="00B41638">
        <w:t>rmation</w:t>
      </w:r>
      <w:r>
        <w:t xml:space="preserve"> could be provided</w:t>
      </w:r>
      <w:r w:rsidR="001162DB">
        <w:t xml:space="preserve"> by Steering Group members</w:t>
      </w:r>
      <w:r>
        <w:t xml:space="preserve"> </w:t>
      </w:r>
      <w:r w:rsidR="0027532F">
        <w:t xml:space="preserve">to help </w:t>
      </w:r>
      <w:r w:rsidR="00E0065E">
        <w:t>ICES reconsider the stock assessment</w:t>
      </w:r>
      <w:r w:rsidR="0098669C">
        <w:t xml:space="preserve"> methodology</w:t>
      </w:r>
      <w:r w:rsidR="00433071">
        <w:t>.</w:t>
      </w:r>
      <w:r w:rsidR="00A732E4">
        <w:t xml:space="preserve"> </w:t>
      </w:r>
      <w:r w:rsidR="00F91D57">
        <w:t xml:space="preserve">LR explained that the </w:t>
      </w:r>
      <w:r w:rsidR="00C72789">
        <w:t>benchmark</w:t>
      </w:r>
      <w:r w:rsidR="00F91D57">
        <w:t>ing</w:t>
      </w:r>
      <w:r w:rsidR="00C72789">
        <w:t xml:space="preserve"> </w:t>
      </w:r>
      <w:r w:rsidR="00F91D57">
        <w:t>tested</w:t>
      </w:r>
      <w:r w:rsidR="00C72789">
        <w:t xml:space="preserve"> as many assessment types as possible</w:t>
      </w:r>
      <w:r w:rsidR="008A1C48">
        <w:t xml:space="preserve">, including a full </w:t>
      </w:r>
      <w:r w:rsidR="00C72789">
        <w:t>stock assessment</w:t>
      </w:r>
      <w:r w:rsidR="00F034F8">
        <w:t>. D</w:t>
      </w:r>
      <w:r w:rsidR="00C72789">
        <w:t>ue to lack of age information</w:t>
      </w:r>
      <w:r w:rsidR="00233033">
        <w:t xml:space="preserve"> available to </w:t>
      </w:r>
      <w:r w:rsidR="00CF78AC">
        <w:t>determine</w:t>
      </w:r>
      <w:r w:rsidR="00233033">
        <w:t xml:space="preserve"> a stock size indicator</w:t>
      </w:r>
      <w:r w:rsidR="00C72789">
        <w:t xml:space="preserve"> </w:t>
      </w:r>
      <w:r w:rsidR="00F034F8">
        <w:t>the assessment</w:t>
      </w:r>
      <w:r w:rsidR="00BA7B43">
        <w:t xml:space="preserve"> </w:t>
      </w:r>
      <w:r w:rsidR="00F034F8">
        <w:t xml:space="preserve">reverted to the </w:t>
      </w:r>
      <w:r w:rsidR="001316B4">
        <w:t>s</w:t>
      </w:r>
      <w:r w:rsidR="001316B4" w:rsidRPr="001316B4">
        <w:t>urvey trends-based assessment</w:t>
      </w:r>
      <w:r w:rsidR="001316B4">
        <w:t xml:space="preserve"> (</w:t>
      </w:r>
      <w:r w:rsidR="00F034F8">
        <w:t>SURBAR</w:t>
      </w:r>
      <w:r w:rsidR="001316B4">
        <w:t>)</w:t>
      </w:r>
      <w:r w:rsidR="00F034F8">
        <w:t xml:space="preserve"> </w:t>
      </w:r>
      <w:r w:rsidR="00C27D5A">
        <w:t>methodology</w:t>
      </w:r>
      <w:r w:rsidR="00233033">
        <w:t xml:space="preserve">. </w:t>
      </w:r>
      <w:r w:rsidR="002536F0">
        <w:t xml:space="preserve">The ICES working group, </w:t>
      </w:r>
      <w:r w:rsidR="007A75EA">
        <w:t>WKLIFE</w:t>
      </w:r>
      <w:r w:rsidR="002536F0">
        <w:t>,</w:t>
      </w:r>
      <w:r w:rsidR="007A75EA">
        <w:t xml:space="preserve"> may be able to provide suggestions for alternative assessment models </w:t>
      </w:r>
      <w:r w:rsidR="007A374B">
        <w:t xml:space="preserve">for Category 3 stocks, </w:t>
      </w:r>
      <w:r w:rsidR="00073BAA">
        <w:t>otherwise</w:t>
      </w:r>
      <w:r w:rsidR="007A374B">
        <w:t xml:space="preserve"> a full assessment is needed to provide the </w:t>
      </w:r>
      <w:r w:rsidR="00073BAA">
        <w:t xml:space="preserve">stock size indicators and reference points. </w:t>
      </w:r>
      <w:r w:rsidR="005B3DDE">
        <w:t xml:space="preserve">The </w:t>
      </w:r>
      <w:r w:rsidR="00E8368F">
        <w:t xml:space="preserve">onboard observer programs and market samples </w:t>
      </w:r>
      <w:proofErr w:type="gramStart"/>
      <w:r w:rsidR="00E8368F">
        <w:t>don’t</w:t>
      </w:r>
      <w:proofErr w:type="gramEnd"/>
      <w:r w:rsidR="00E8368F">
        <w:t xml:space="preserve"> </w:t>
      </w:r>
      <w:r w:rsidR="005B3DDE">
        <w:t xml:space="preserve">provide enough </w:t>
      </w:r>
      <w:r w:rsidR="006131D2">
        <w:t>age or length data</w:t>
      </w:r>
      <w:r w:rsidR="008D2C1B">
        <w:t xml:space="preserve"> for a full assessment yet</w:t>
      </w:r>
      <w:r w:rsidR="00457BA6">
        <w:t xml:space="preserve">. </w:t>
      </w:r>
      <w:r w:rsidR="00C720B8">
        <w:t xml:space="preserve">Based on the benchmarking report, a full assessment </w:t>
      </w:r>
      <w:r w:rsidR="00820728">
        <w:t xml:space="preserve">is not feasible so stock management will continue to </w:t>
      </w:r>
      <w:r w:rsidR="00B0425F">
        <w:t xml:space="preserve">be based on the </w:t>
      </w:r>
      <w:r w:rsidR="00DB4AC6">
        <w:t xml:space="preserve">current data limited </w:t>
      </w:r>
      <w:r w:rsidR="00B0425F">
        <w:t xml:space="preserve">assessment methodology. </w:t>
      </w:r>
    </w:p>
    <w:p w14:paraId="5AC91446" w14:textId="6157EDC7" w:rsidR="00D6066F" w:rsidRDefault="00BB75FB" w:rsidP="00F42911">
      <w:r>
        <w:t>If</w:t>
      </w:r>
      <w:r w:rsidR="007C3BC6">
        <w:t xml:space="preserve"> this </w:t>
      </w:r>
      <w:r w:rsidR="00D6066F">
        <w:t xml:space="preserve">fishery </w:t>
      </w:r>
      <w:r w:rsidR="003B5B25">
        <w:t>became certified</w:t>
      </w:r>
      <w:r w:rsidR="00D6066F">
        <w:t xml:space="preserve"> with a condition on stock status, </w:t>
      </w:r>
      <w:r w:rsidR="000E62BA">
        <w:t>the client action plan would need to detail proactive steps t</w:t>
      </w:r>
      <w:r w:rsidR="00227A61">
        <w:t>o take</w:t>
      </w:r>
      <w:r w:rsidR="008B51F2">
        <w:t>, rather than listing a ‘watching brief’ on ICES advice each year.</w:t>
      </w:r>
      <w:r w:rsidR="00BF3FCC">
        <w:t xml:space="preserve"> LR suggested speaking to the</w:t>
      </w:r>
      <w:r w:rsidR="00F66D90">
        <w:t xml:space="preserve"> ICES</w:t>
      </w:r>
      <w:r w:rsidR="00BF3FCC">
        <w:t xml:space="preserve"> stock assessment coordinator to understand whether there is anything the Steering Group could do to support a full assessment for lemon sole</w:t>
      </w:r>
      <w:r w:rsidR="002D1971">
        <w:t xml:space="preserve">, or </w:t>
      </w:r>
      <w:r w:rsidR="001B5941">
        <w:t xml:space="preserve">to </w:t>
      </w:r>
      <w:r w:rsidR="002D1971">
        <w:t xml:space="preserve">develop new data limited methods to </w:t>
      </w:r>
      <w:r w:rsidR="00341549">
        <w:t xml:space="preserve">address </w:t>
      </w:r>
      <w:r w:rsidR="002D1971">
        <w:t>data deficiencies for this fishery</w:t>
      </w:r>
      <w:r w:rsidR="00BF3FCC">
        <w:t xml:space="preserve">. </w:t>
      </w:r>
      <w:r w:rsidR="001B5941">
        <w:t xml:space="preserve">KC attended the </w:t>
      </w:r>
      <w:r w:rsidR="00341549">
        <w:t xml:space="preserve">2018 </w:t>
      </w:r>
      <w:r w:rsidR="001B5941">
        <w:t>benchmarking</w:t>
      </w:r>
      <w:r w:rsidR="00AE1832">
        <w:t xml:space="preserve"> </w:t>
      </w:r>
      <w:proofErr w:type="gramStart"/>
      <w:r w:rsidR="00AE1832">
        <w:t>workshop</w:t>
      </w:r>
      <w:r w:rsidR="001B5941">
        <w:t>, and</w:t>
      </w:r>
      <w:proofErr w:type="gramEnd"/>
      <w:r w:rsidR="001B5941">
        <w:t xml:space="preserve"> noted that there was a lack of </w:t>
      </w:r>
      <w:r w:rsidR="00FA47BF">
        <w:t xml:space="preserve">historic data </w:t>
      </w:r>
      <w:r w:rsidR="00341549">
        <w:t xml:space="preserve">for the assessment </w:t>
      </w:r>
      <w:r w:rsidR="00FA47BF">
        <w:t>to fall back on.</w:t>
      </w:r>
      <w:r w:rsidR="00A13D97">
        <w:t xml:space="preserve"> </w:t>
      </w:r>
      <w:r w:rsidR="00172609">
        <w:t>BL suggested asking a P1 specialis</w:t>
      </w:r>
      <w:r w:rsidR="00A13D97">
        <w:t>t</w:t>
      </w:r>
      <w:r w:rsidR="00172609">
        <w:t xml:space="preserve"> to review the WKLIFE assessment methods and consider how they would score in an MSC assessment.</w:t>
      </w:r>
      <w:r w:rsidR="00743FB9">
        <w:t xml:space="preserve"> JP</w:t>
      </w:r>
      <w:r>
        <w:t xml:space="preserve"> </w:t>
      </w:r>
      <w:r w:rsidR="00743FB9">
        <w:t xml:space="preserve">agreed to help the Steering Group draft a Terms of Reference for this work, and RC offered to provide </w:t>
      </w:r>
      <w:r w:rsidR="00B30E40">
        <w:t>recommendations for P1 assessors to deliver this review.</w:t>
      </w:r>
    </w:p>
    <w:p w14:paraId="14C98D95" w14:textId="344AB2DD" w:rsidR="00D6066F" w:rsidRDefault="0028701A" w:rsidP="00F42911">
      <w:r>
        <w:t>LR explained that a benchmarking exercise is</w:t>
      </w:r>
      <w:r w:rsidR="00FE2C6B">
        <w:t xml:space="preserve"> not</w:t>
      </w:r>
      <w:r>
        <w:t xml:space="preserve"> necessarily needed to change </w:t>
      </w:r>
      <w:r w:rsidR="001D581A">
        <w:t>the</w:t>
      </w:r>
      <w:r>
        <w:t xml:space="preserve"> stock assessment </w:t>
      </w:r>
      <w:r w:rsidR="001D581A">
        <w:t xml:space="preserve">methodology for a fishery. When a new proxy reference point for stock size or fishing </w:t>
      </w:r>
      <w:r w:rsidR="00C3699B">
        <w:t>mortality</w:t>
      </w:r>
      <w:r w:rsidR="001D581A">
        <w:t xml:space="preserve"> </w:t>
      </w:r>
      <w:r w:rsidR="00A10CA7">
        <w:t xml:space="preserve">is developed for </w:t>
      </w:r>
      <w:r w:rsidR="00C3699B">
        <w:t xml:space="preserve">a </w:t>
      </w:r>
      <w:r w:rsidR="009E3618">
        <w:t>Category</w:t>
      </w:r>
      <w:r w:rsidR="00A10CA7">
        <w:t xml:space="preserve"> 3 species, </w:t>
      </w:r>
      <w:r w:rsidR="001D581A">
        <w:t>it goes to an inter</w:t>
      </w:r>
      <w:r w:rsidR="00A10CA7">
        <w:t>-</w:t>
      </w:r>
      <w:r w:rsidR="001D581A">
        <w:t>benchmark</w:t>
      </w:r>
      <w:r w:rsidR="00A10CA7">
        <w:t>.</w:t>
      </w:r>
      <w:r w:rsidR="0003799F" w:rsidRPr="0003799F">
        <w:t xml:space="preserve"> </w:t>
      </w:r>
      <w:r w:rsidR="00856B49">
        <w:t>This does</w:t>
      </w:r>
      <w:r w:rsidR="00FE2C6B">
        <w:t xml:space="preserve"> </w:t>
      </w:r>
      <w:r w:rsidR="00856B49">
        <w:t>n</w:t>
      </w:r>
      <w:r w:rsidR="00FE2C6B">
        <w:t>o</w:t>
      </w:r>
      <w:r w:rsidR="00856B49">
        <w:t xml:space="preserve">t involve a workshop, so </w:t>
      </w:r>
      <w:r w:rsidR="0003799F">
        <w:t xml:space="preserve">can be put forward any time of year </w:t>
      </w:r>
      <w:proofErr w:type="gramStart"/>
      <w:r w:rsidR="00836E45">
        <w:t>as</w:t>
      </w:r>
      <w:r w:rsidR="0003799F">
        <w:t xml:space="preserve"> long as</w:t>
      </w:r>
      <w:proofErr w:type="gramEnd"/>
      <w:r w:rsidR="0003799F">
        <w:t xml:space="preserve"> all information needed is in a</w:t>
      </w:r>
      <w:r w:rsidR="00836E45">
        <w:t>n externally reviewed</w:t>
      </w:r>
      <w:r w:rsidR="0003799F">
        <w:t xml:space="preserve"> paper.</w:t>
      </w:r>
      <w:r w:rsidR="0072684A">
        <w:t xml:space="preserve"> </w:t>
      </w:r>
    </w:p>
    <w:p w14:paraId="1BCAC432" w14:textId="77777777" w:rsidR="00F47E64" w:rsidRPr="00F47E64" w:rsidRDefault="00F47E64" w:rsidP="00F47E64">
      <w:pPr>
        <w:pStyle w:val="ActionsArisingTitle"/>
        <w:rPr>
          <w:sz w:val="22"/>
          <w:szCs w:val="22"/>
        </w:rPr>
      </w:pPr>
      <w:r w:rsidRPr="00F47E64">
        <w:rPr>
          <w:sz w:val="22"/>
          <w:szCs w:val="22"/>
        </w:rPr>
        <w:t>Actions from Item 1:</w:t>
      </w:r>
    </w:p>
    <w:p w14:paraId="5A976D72" w14:textId="1EC6DB90" w:rsidR="001149F4" w:rsidRPr="009028CD" w:rsidRDefault="001149F4" w:rsidP="001149F4">
      <w:pPr>
        <w:pStyle w:val="ListParagraph"/>
        <w:numPr>
          <w:ilvl w:val="0"/>
          <w:numId w:val="3"/>
        </w:numPr>
      </w:pPr>
      <w:r w:rsidRPr="009028CD">
        <w:t xml:space="preserve">Secretariat to </w:t>
      </w:r>
      <w:r w:rsidR="00A55116" w:rsidRPr="009028CD">
        <w:t>help the Steering Group draft a Terms of Reference for a P1 expert to review</w:t>
      </w:r>
      <w:r w:rsidR="001441A2" w:rsidRPr="009028CD">
        <w:t xml:space="preserve"> the WKLIFE Category three assessment methodologies and the redrafted DLS methodology</w:t>
      </w:r>
      <w:r w:rsidR="0046002D" w:rsidRPr="009028CD">
        <w:t xml:space="preserve">, including whether the latest ICES report (fig.2) </w:t>
      </w:r>
      <w:r w:rsidR="00A75A23" w:rsidRPr="009028CD">
        <w:t xml:space="preserve">would be sufficient to score lemon sole without the RBF </w:t>
      </w:r>
      <w:r w:rsidR="00E702FF" w:rsidRPr="009028CD">
        <w:t>methodology.</w:t>
      </w:r>
      <w:r w:rsidR="00A75A23" w:rsidRPr="009028CD">
        <w:t xml:space="preserve"> </w:t>
      </w:r>
    </w:p>
    <w:p w14:paraId="08081874" w14:textId="16AD15B7" w:rsidR="00332561" w:rsidRPr="001149F4" w:rsidRDefault="00332561" w:rsidP="001149F4">
      <w:pPr>
        <w:pStyle w:val="ListParagraph"/>
        <w:numPr>
          <w:ilvl w:val="0"/>
          <w:numId w:val="3"/>
        </w:numPr>
        <w:rPr>
          <w:b/>
          <w:bCs/>
        </w:rPr>
      </w:pPr>
      <w:r w:rsidRPr="009028CD">
        <w:t xml:space="preserve">RC to provide recommendations for P1 assessors to </w:t>
      </w:r>
      <w:r w:rsidR="005200A2" w:rsidRPr="009028CD">
        <w:t>undertake the assessment review</w:t>
      </w:r>
      <w:r w:rsidR="00E324FF" w:rsidRPr="00757B51">
        <w:t>.</w:t>
      </w:r>
    </w:p>
    <w:p w14:paraId="0344BFF4" w14:textId="77777777" w:rsidR="005200A2" w:rsidRPr="002837A3" w:rsidRDefault="005200A2" w:rsidP="00F42911">
      <w:pPr>
        <w:rPr>
          <w:b/>
          <w:bCs/>
        </w:rPr>
      </w:pPr>
    </w:p>
    <w:p w14:paraId="292925DB" w14:textId="175B7820" w:rsidR="00A4538F" w:rsidRDefault="00A85A75" w:rsidP="001C2B21">
      <w:pPr>
        <w:pStyle w:val="AgendaItemNumber"/>
      </w:pPr>
      <w:r w:rsidRPr="00AF503E">
        <w:t xml:space="preserve">Agenda Item 2: </w:t>
      </w:r>
      <w:r w:rsidR="00DE0C31">
        <w:t>h</w:t>
      </w:r>
      <w:r w:rsidR="002C04D4">
        <w:t>arvest strategy</w:t>
      </w:r>
    </w:p>
    <w:p w14:paraId="303634DE" w14:textId="77777777" w:rsidR="002245E0" w:rsidRPr="00E36E3A" w:rsidRDefault="001E6FA3" w:rsidP="00A4538F">
      <w:pPr>
        <w:rPr>
          <w:i/>
          <w:iCs/>
        </w:rPr>
      </w:pPr>
      <w:r w:rsidRPr="00E36E3A">
        <w:rPr>
          <w:i/>
          <w:iCs/>
        </w:rPr>
        <w:t xml:space="preserve">Total allowable catch </w:t>
      </w:r>
    </w:p>
    <w:p w14:paraId="6B578560" w14:textId="6A509377" w:rsidR="000F28A6" w:rsidRDefault="009028CD" w:rsidP="00A4538F">
      <w:r>
        <w:t>As</w:t>
      </w:r>
      <w:r w:rsidR="005C45CE">
        <w:t xml:space="preserve"> it </w:t>
      </w:r>
      <w:r>
        <w:t>is</w:t>
      </w:r>
      <w:r w:rsidR="005C45CE">
        <w:t xml:space="preserve"> unlikely that there will be a single species TAC for lemon sole in the foreseeable future</w:t>
      </w:r>
      <w:r w:rsidR="00015BBA">
        <w:t xml:space="preserve"> the Steering Group agreed to consider an </w:t>
      </w:r>
      <w:r w:rsidR="00D164CA">
        <w:t>alternative</w:t>
      </w:r>
      <w:r w:rsidR="00015BBA">
        <w:t xml:space="preserve"> harvest strategy</w:t>
      </w:r>
      <w:r w:rsidR="005C45CE">
        <w:t xml:space="preserve">. </w:t>
      </w:r>
      <w:r w:rsidR="00EB4244">
        <w:t>ICES provide</w:t>
      </w:r>
      <w:r w:rsidR="00384105">
        <w:t>s</w:t>
      </w:r>
      <w:r w:rsidR="00EB4244">
        <w:t xml:space="preserve"> annual advice based on the precautionary approach, and catches are consistently below this advice. </w:t>
      </w:r>
      <w:r w:rsidR="001C2B21">
        <w:t xml:space="preserve">KC </w:t>
      </w:r>
      <w:r w:rsidR="00D164CA">
        <w:t>reviewed</w:t>
      </w:r>
      <w:r w:rsidR="001C2B21">
        <w:t xml:space="preserve"> the ICES advice alongside the </w:t>
      </w:r>
      <w:r w:rsidR="00937640">
        <w:t>spatial</w:t>
      </w:r>
      <w:r w:rsidR="00DC7424">
        <w:t xml:space="preserve"> and temporal </w:t>
      </w:r>
      <w:r w:rsidR="001C2B21">
        <w:t xml:space="preserve">distribution of lemon sole catches across the </w:t>
      </w:r>
      <w:r w:rsidR="00DD45FC">
        <w:t>Unit of Assessment (</w:t>
      </w:r>
      <w:proofErr w:type="spellStart"/>
      <w:r w:rsidR="001C2B21">
        <w:t>UoA</w:t>
      </w:r>
      <w:proofErr w:type="spellEnd"/>
      <w:r w:rsidR="00DD45FC">
        <w:t>)</w:t>
      </w:r>
      <w:r w:rsidR="003C3B61">
        <w:t xml:space="preserve"> to help </w:t>
      </w:r>
      <w:r w:rsidR="004748FF">
        <w:t>develop a</w:t>
      </w:r>
      <w:r w:rsidR="00504647">
        <w:t xml:space="preserve">n alternative harvest strategy that could meet the MSC Standard </w:t>
      </w:r>
      <w:r w:rsidR="00504647">
        <w:lastRenderedPageBreak/>
        <w:t xml:space="preserve">requirements. </w:t>
      </w:r>
      <w:r w:rsidR="007F25B2">
        <w:t>KC explained that m</w:t>
      </w:r>
      <w:r w:rsidR="00937640">
        <w:t>anagement of hotspot areas would require real</w:t>
      </w:r>
      <w:r w:rsidR="002E17FC">
        <w:t>-</w:t>
      </w:r>
      <w:r w:rsidR="00937640">
        <w:t xml:space="preserve">time information </w:t>
      </w:r>
      <w:r w:rsidR="00412A48">
        <w:t xml:space="preserve">on the location of hotspots. </w:t>
      </w:r>
      <w:r w:rsidR="00A8544C">
        <w:t xml:space="preserve">As lemon sole is considered a bycatch species, </w:t>
      </w:r>
      <w:r w:rsidR="00F303E2">
        <w:t xml:space="preserve">introducing additional </w:t>
      </w:r>
      <w:r w:rsidR="00A8544C">
        <w:t>management</w:t>
      </w:r>
      <w:r w:rsidR="00F303E2">
        <w:t xml:space="preserve"> measures</w:t>
      </w:r>
      <w:r w:rsidR="00A8544C">
        <w:t xml:space="preserve"> could result in significant losses</w:t>
      </w:r>
      <w:r w:rsidR="00F303E2">
        <w:t xml:space="preserve"> for the target fishery and lead to non-</w:t>
      </w:r>
      <w:r w:rsidR="00D54611">
        <w:t>compliance</w:t>
      </w:r>
      <w:r w:rsidR="00F303E2">
        <w:t xml:space="preserve">. </w:t>
      </w:r>
      <w:r w:rsidR="00A8544C">
        <w:t xml:space="preserve"> </w:t>
      </w:r>
    </w:p>
    <w:p w14:paraId="4ED25D9B" w14:textId="77777777" w:rsidR="00DA6360" w:rsidRDefault="002245E0" w:rsidP="002245E0">
      <w:r>
        <w:t xml:space="preserve">BL presented figures on the TAC uptake in the North Sea: Belgium 400t, Denmark 900t, England and Wales 300t, Scotland 900t, Netherlands 350t, France, Germany, Northern </w:t>
      </w:r>
      <w:proofErr w:type="gramStart"/>
      <w:r>
        <w:t>Ireland</w:t>
      </w:r>
      <w:proofErr w:type="gramEnd"/>
      <w:r>
        <w:t xml:space="preserve"> and Sweden all take very small amounts. England, </w:t>
      </w:r>
      <w:proofErr w:type="gramStart"/>
      <w:r>
        <w:t>Wales</w:t>
      </w:r>
      <w:proofErr w:type="gramEnd"/>
      <w:r>
        <w:t xml:space="preserve"> and Scotland together take approximately 50%, and the Netherland also take a significant amount. RC highlighted that the P1 aspects of the MSC Standard are related to overall stock management so it is important to understand whether actions taken by the client group will have an overall impact on the exploitation of the stock. </w:t>
      </w:r>
    </w:p>
    <w:p w14:paraId="11984757" w14:textId="2C0AA2E2" w:rsidR="00207508" w:rsidRDefault="002245E0" w:rsidP="00207508">
      <w:r>
        <w:t>LH estimated Osprey lemon sole catch to be around 200t per year</w:t>
      </w:r>
      <w:r w:rsidR="00CC129C">
        <w:t>. He</w:t>
      </w:r>
      <w:r w:rsidR="00DA6360">
        <w:t xml:space="preserve"> </w:t>
      </w:r>
      <w:r w:rsidR="00207508">
        <w:t xml:space="preserve">clarified </w:t>
      </w:r>
      <w:r w:rsidR="00CC129C">
        <w:t>they</w:t>
      </w:r>
      <w:r w:rsidR="00207508">
        <w:t xml:space="preserve"> usually fish lemon sole for a maximum for four months each year (May- Oct), and avoid these areas for the rest of the year. RC suggested that midway through the year there should be a review of the projected end of season catch relative to the TAC, while Osprey is still active in the fishery. The decision needs to be fair and equitable for all vessels so that those fishing later in the year are not negatively impacted by what is taken in the first quarter. </w:t>
      </w:r>
    </w:p>
    <w:p w14:paraId="19F592CC" w14:textId="40AA868D" w:rsidR="00207508" w:rsidRDefault="002B7F26" w:rsidP="00207508">
      <w:r>
        <w:t xml:space="preserve">BL suggested getting Danish input as they catch such a large proportion of catch, but as they </w:t>
      </w:r>
      <w:proofErr w:type="gramStart"/>
      <w:r>
        <w:t>aren’t</w:t>
      </w:r>
      <w:proofErr w:type="gramEnd"/>
      <w:r w:rsidR="008A23A6">
        <w:t xml:space="preserve"> </w:t>
      </w:r>
      <w:r w:rsidR="00207508">
        <w:t xml:space="preserve">part of the client group this FIP has limited </w:t>
      </w:r>
      <w:r w:rsidR="00717572">
        <w:t>influence</w:t>
      </w:r>
      <w:r w:rsidR="00207508">
        <w:t xml:space="preserve"> over their activity. For example, in the </w:t>
      </w:r>
      <w:proofErr w:type="spellStart"/>
      <w:r w:rsidR="00207508">
        <w:t>Fladen</w:t>
      </w:r>
      <w:proofErr w:type="spellEnd"/>
      <w:r w:rsidR="00207508">
        <w:t xml:space="preserve"> the MSC client group vessels abide by voluntary measures to protect </w:t>
      </w:r>
      <w:proofErr w:type="spellStart"/>
      <w:r w:rsidR="00207508">
        <w:t>seapens</w:t>
      </w:r>
      <w:proofErr w:type="spellEnd"/>
      <w:r w:rsidR="00207508">
        <w:t xml:space="preserve">, but other nations </w:t>
      </w:r>
      <w:r w:rsidR="003403D2">
        <w:t xml:space="preserve">that are not part of the </w:t>
      </w:r>
      <w:r w:rsidR="00EE4E99">
        <w:t xml:space="preserve">certification </w:t>
      </w:r>
      <w:r w:rsidR="00207508">
        <w:t xml:space="preserve">continue to fish there </w:t>
      </w:r>
      <w:r w:rsidR="00EE4E99">
        <w:t>anyway</w:t>
      </w:r>
      <w:r w:rsidR="00207508">
        <w:t xml:space="preserve">. RC said that the Danes are part of the Joint Demersal Fishery (JDF) certification in the North Sea, so they may consider extending their certificate to include lemon sole. The Secretariat offered to speak with the MSC Benelux office to understand whether the addition of lemon sole has already been considered by the JDF fishery. </w:t>
      </w:r>
    </w:p>
    <w:p w14:paraId="0D9FC54E" w14:textId="77777777" w:rsidR="00207508" w:rsidRDefault="00207508" w:rsidP="002245E0"/>
    <w:p w14:paraId="42FF90B4" w14:textId="77777777" w:rsidR="00353A7A" w:rsidRPr="00C07A59" w:rsidRDefault="00353A7A" w:rsidP="00A4538F">
      <w:pPr>
        <w:rPr>
          <w:i/>
          <w:iCs/>
        </w:rPr>
      </w:pPr>
      <w:r w:rsidRPr="00C07A59">
        <w:rPr>
          <w:i/>
          <w:iCs/>
        </w:rPr>
        <w:t>Potential technical measures</w:t>
      </w:r>
    </w:p>
    <w:p w14:paraId="1EE7F5A8" w14:textId="77777777" w:rsidR="004372B1" w:rsidRDefault="00D54611" w:rsidP="00A4538F">
      <w:r>
        <w:t xml:space="preserve">KC suggested the client group </w:t>
      </w:r>
      <w:r w:rsidR="006359C8">
        <w:t>should</w:t>
      </w:r>
      <w:r>
        <w:t xml:space="preserve"> monitor the up</w:t>
      </w:r>
      <w:r w:rsidR="006359C8">
        <w:t xml:space="preserve">take </w:t>
      </w:r>
      <w:r>
        <w:t xml:space="preserve">and projected </w:t>
      </w:r>
      <w:r w:rsidR="006359C8">
        <w:t>uptake of</w:t>
      </w:r>
      <w:r>
        <w:t xml:space="preserve"> </w:t>
      </w:r>
      <w:r w:rsidR="00463AC8">
        <w:t>lemon sole quota</w:t>
      </w:r>
      <w:r w:rsidR="001D0903">
        <w:t>. I</w:t>
      </w:r>
      <w:r w:rsidR="00941AC0">
        <w:t xml:space="preserve">f </w:t>
      </w:r>
      <w:r w:rsidR="00B254F1">
        <w:t xml:space="preserve">uptake </w:t>
      </w:r>
      <w:r w:rsidR="00941AC0">
        <w:t xml:space="preserve">looks like it will </w:t>
      </w:r>
      <w:r w:rsidR="00B254F1">
        <w:t>exceed</w:t>
      </w:r>
      <w:r w:rsidR="00941AC0">
        <w:t xml:space="preserve"> the TAC then measures would need to be put in place</w:t>
      </w:r>
      <w:r w:rsidR="0098299E">
        <w:t>, including applying a move on rule for client vessels</w:t>
      </w:r>
      <w:r w:rsidR="002C5F43">
        <w:t xml:space="preserve"> based on a CPUE trigger.</w:t>
      </w:r>
      <w:r w:rsidR="009A3762" w:rsidRPr="009A3762">
        <w:t xml:space="preserve"> </w:t>
      </w:r>
      <w:r w:rsidR="009A3762">
        <w:t xml:space="preserve">KC has spoken with Jennifer </w:t>
      </w:r>
      <w:r w:rsidR="008D74C5">
        <w:t xml:space="preserve">Mouat </w:t>
      </w:r>
      <w:r w:rsidR="009A3762">
        <w:t>at SFSAG</w:t>
      </w:r>
      <w:r w:rsidR="002C5367">
        <w:t xml:space="preserve"> and she believes s</w:t>
      </w:r>
      <w:r w:rsidR="009A3762">
        <w:t xml:space="preserve">he could monitor catches against </w:t>
      </w:r>
      <w:r w:rsidR="002C5367">
        <w:t>quota</w:t>
      </w:r>
      <w:r w:rsidR="009A3762">
        <w:t xml:space="preserve"> uptake</w:t>
      </w:r>
      <w:r w:rsidR="00CA3F38">
        <w:t xml:space="preserve"> and </w:t>
      </w:r>
      <w:r w:rsidR="009A3762">
        <w:t xml:space="preserve">arrange a meeting for the fleets </w:t>
      </w:r>
      <w:r w:rsidR="00CA3F38">
        <w:t>to</w:t>
      </w:r>
      <w:r w:rsidR="009A3762">
        <w:t xml:space="preserve"> </w:t>
      </w:r>
      <w:r w:rsidR="008D74C5">
        <w:t>agree</w:t>
      </w:r>
      <w:r w:rsidR="009A3762">
        <w:t xml:space="preserve"> a move on rule</w:t>
      </w:r>
      <w:r w:rsidR="00CA3F38">
        <w:t xml:space="preserve"> once required</w:t>
      </w:r>
      <w:r w:rsidR="009A3762">
        <w:t>.</w:t>
      </w:r>
      <w:r w:rsidR="00424462">
        <w:t xml:space="preserve"> </w:t>
      </w:r>
    </w:p>
    <w:p w14:paraId="7ACEFC0B" w14:textId="1644C6B2" w:rsidR="0080232D" w:rsidRDefault="00424462" w:rsidP="00A4538F">
      <w:r>
        <w:t xml:space="preserve">RC said this </w:t>
      </w:r>
      <w:r w:rsidR="003A5208">
        <w:t xml:space="preserve">is a sensible approach and </w:t>
      </w:r>
      <w:r>
        <w:t>should meet the requirements for SG80 in the MSC Standard</w:t>
      </w:r>
      <w:r w:rsidR="00AC545D">
        <w:t>. Ideally the trigger level</w:t>
      </w:r>
      <w:r w:rsidR="00934615">
        <w:t xml:space="preserve"> needs to be defined </w:t>
      </w:r>
      <w:r w:rsidR="00342703">
        <w:t>first, but i</w:t>
      </w:r>
      <w:r w:rsidR="00E61C95">
        <w:t>f</w:t>
      </w:r>
      <w:r w:rsidR="00342703">
        <w:t xml:space="preserve"> the harvest control rule states that catch will be monitored </w:t>
      </w:r>
      <w:r w:rsidR="00E61C95">
        <w:t xml:space="preserve">to understand what </w:t>
      </w:r>
      <w:r w:rsidR="006C2142">
        <w:t xml:space="preserve">level of </w:t>
      </w:r>
      <w:r w:rsidR="00E61C95">
        <w:t xml:space="preserve">CPUE trigger is </w:t>
      </w:r>
      <w:r w:rsidR="00246383">
        <w:t>necessary to</w:t>
      </w:r>
      <w:r w:rsidR="001A63EA">
        <w:t xml:space="preserve"> </w:t>
      </w:r>
      <w:r w:rsidR="00246383">
        <w:t>rem</w:t>
      </w:r>
      <w:r w:rsidR="006B3258">
        <w:t>a</w:t>
      </w:r>
      <w:r w:rsidR="00246383">
        <w:t xml:space="preserve">in below </w:t>
      </w:r>
      <w:r w:rsidR="001A63EA">
        <w:t>the TAC</w:t>
      </w:r>
      <w:r w:rsidR="00246383">
        <w:t xml:space="preserve"> then that could </w:t>
      </w:r>
      <w:r w:rsidR="001A63EA">
        <w:t>be considered</w:t>
      </w:r>
      <w:r w:rsidR="00246383">
        <w:t xml:space="preserve"> </w:t>
      </w:r>
      <w:r w:rsidR="001A63EA">
        <w:t>‘</w:t>
      </w:r>
      <w:r w:rsidR="00246383">
        <w:t>well defined</w:t>
      </w:r>
      <w:r w:rsidR="001A63EA">
        <w:t>’</w:t>
      </w:r>
      <w:r w:rsidR="006B3258">
        <w:t>, as outlined in the MSC Standard guidance</w:t>
      </w:r>
      <w:r w:rsidR="00246383">
        <w:t xml:space="preserve">. </w:t>
      </w:r>
      <w:r w:rsidR="002C21EF">
        <w:t>Usually a harvest control rule sta</w:t>
      </w:r>
      <w:r w:rsidR="009C41AE">
        <w:t>t</w:t>
      </w:r>
      <w:r w:rsidR="002C21EF">
        <w:t>es ‘</w:t>
      </w:r>
      <w:r w:rsidR="009C41AE">
        <w:t>i</w:t>
      </w:r>
      <w:r w:rsidR="00B80B60">
        <w:t xml:space="preserve">f </w:t>
      </w:r>
      <w:r w:rsidR="002C21EF">
        <w:t>X</w:t>
      </w:r>
      <w:r w:rsidR="00B80B60">
        <w:t xml:space="preserve"> </w:t>
      </w:r>
      <w:r w:rsidR="002C21EF">
        <w:t>happens</w:t>
      </w:r>
      <w:r w:rsidR="00B80B60">
        <w:t xml:space="preserve"> then </w:t>
      </w:r>
      <w:r w:rsidR="00B6090E">
        <w:t xml:space="preserve">we </w:t>
      </w:r>
      <w:r w:rsidR="002813D0">
        <w:t>do</w:t>
      </w:r>
      <w:r w:rsidR="00B80B60">
        <w:t xml:space="preserve"> Y</w:t>
      </w:r>
      <w:r w:rsidR="002813D0">
        <w:t>’</w:t>
      </w:r>
      <w:r w:rsidR="00F15BE2">
        <w:t>, b</w:t>
      </w:r>
      <w:r w:rsidR="00B80B60">
        <w:t>ut if there</w:t>
      </w:r>
      <w:r w:rsidR="006B2495">
        <w:t xml:space="preserve"> i</w:t>
      </w:r>
      <w:r w:rsidR="00B80B60">
        <w:t xml:space="preserve">s a </w:t>
      </w:r>
      <w:r w:rsidR="0076609E">
        <w:t>well-defined</w:t>
      </w:r>
      <w:r w:rsidR="00B80B60">
        <w:t xml:space="preserve"> process instead of a value</w:t>
      </w:r>
      <w:r w:rsidR="006B2495">
        <w:t>, and an explanation for this approach,</w:t>
      </w:r>
      <w:r w:rsidR="00B80B60">
        <w:t xml:space="preserve"> then </w:t>
      </w:r>
      <w:r w:rsidR="006B2495">
        <w:t>that could also be</w:t>
      </w:r>
      <w:r w:rsidR="00B80B60">
        <w:t xml:space="preserve"> considered as </w:t>
      </w:r>
      <w:r w:rsidR="007F0C67">
        <w:t xml:space="preserve">a </w:t>
      </w:r>
      <w:r w:rsidR="0076609E">
        <w:t>well-defined</w:t>
      </w:r>
      <w:r w:rsidR="007F0C67">
        <w:t xml:space="preserve"> strategy</w:t>
      </w:r>
      <w:r w:rsidR="00B80B60">
        <w:t>.</w:t>
      </w:r>
      <w:r w:rsidR="002339F2">
        <w:t xml:space="preserve"> </w:t>
      </w:r>
      <w:r w:rsidR="007F0C67">
        <w:t>T</w:t>
      </w:r>
      <w:r w:rsidR="0080232D">
        <w:t xml:space="preserve">he background </w:t>
      </w:r>
      <w:r w:rsidR="007F0C67">
        <w:t>provided by K</w:t>
      </w:r>
      <w:r w:rsidR="0080232D">
        <w:t xml:space="preserve">C and BL </w:t>
      </w:r>
      <w:r w:rsidR="00CE4A99">
        <w:t xml:space="preserve">can be added to the Fishery Management Plan (FMP) to </w:t>
      </w:r>
      <w:r w:rsidR="0080232D">
        <w:t xml:space="preserve">provide strong evidence </w:t>
      </w:r>
      <w:r w:rsidR="00CE4A99">
        <w:t>justifying</w:t>
      </w:r>
      <w:r w:rsidR="0080232D">
        <w:t xml:space="preserve"> this approach</w:t>
      </w:r>
      <w:r w:rsidR="00CE4A99">
        <w:t>.</w:t>
      </w:r>
    </w:p>
    <w:p w14:paraId="3D79D8E5" w14:textId="1CD4CBCC" w:rsidR="0053326C" w:rsidRDefault="007A6B1F" w:rsidP="00A4538F">
      <w:r>
        <w:t xml:space="preserve">CM asked whether two parallel FMPs are needed because of the two separate client groups, </w:t>
      </w:r>
      <w:r w:rsidR="00892907">
        <w:t xml:space="preserve">and RC </w:t>
      </w:r>
      <w:r w:rsidR="005D48BA">
        <w:t>explained</w:t>
      </w:r>
      <w:r w:rsidR="00892907">
        <w:t xml:space="preserve"> that it would be stronger to have a single FMP that a large portion of the fishery is </w:t>
      </w:r>
      <w:r w:rsidR="005D48BA">
        <w:t>abiding by.</w:t>
      </w:r>
      <w:r w:rsidR="007561F3">
        <w:t xml:space="preserve"> </w:t>
      </w:r>
      <w:r w:rsidR="00036E9E">
        <w:t xml:space="preserve">Osprey </w:t>
      </w:r>
      <w:r w:rsidR="006661F1">
        <w:t>is a</w:t>
      </w:r>
      <w:r w:rsidR="00573820">
        <w:t xml:space="preserve"> member of the Lowestoft </w:t>
      </w:r>
      <w:proofErr w:type="gramStart"/>
      <w:r w:rsidR="00573820">
        <w:t>PO</w:t>
      </w:r>
      <w:proofErr w:type="gramEnd"/>
      <w:r w:rsidR="00573820">
        <w:t xml:space="preserve"> so their landings are included in the </w:t>
      </w:r>
      <w:r w:rsidR="00C34B9F">
        <w:t>English data</w:t>
      </w:r>
      <w:r w:rsidR="00921BE9">
        <w:t xml:space="preserve">. </w:t>
      </w:r>
      <w:r w:rsidR="00607E88">
        <w:t xml:space="preserve">KC explained that there are two separate fleets </w:t>
      </w:r>
      <w:r w:rsidR="00957069">
        <w:t xml:space="preserve">in this FIP so CPUE </w:t>
      </w:r>
      <w:r w:rsidR="00C34B9F">
        <w:t xml:space="preserve">trigger </w:t>
      </w:r>
      <w:r w:rsidR="00957069">
        <w:t xml:space="preserve">levels might be different for </w:t>
      </w:r>
      <w:r w:rsidR="00957069">
        <w:lastRenderedPageBreak/>
        <w:t>each, so the harvest strategy needs to be appropriate and coordinated for both groups.</w:t>
      </w:r>
      <w:r w:rsidR="009E3C3E">
        <w:t xml:space="preserve"> </w:t>
      </w:r>
      <w:r w:rsidR="00A958E2">
        <w:t xml:space="preserve">Additionally, the CPUE reduction could be different each year based on activity levels and ICES advice. </w:t>
      </w:r>
      <w:r w:rsidR="002076F8">
        <w:t xml:space="preserve">There is variability </w:t>
      </w:r>
      <w:r w:rsidR="00C24653">
        <w:t xml:space="preserve">between the activity of both fleets temporarily, which will need to be considered by the harvest strategy as well. </w:t>
      </w:r>
    </w:p>
    <w:p w14:paraId="1606AFE3" w14:textId="3E57169D" w:rsidR="00D67C3D" w:rsidRPr="00ED3992" w:rsidRDefault="00D67C3D" w:rsidP="00D67C3D">
      <w:pPr>
        <w:pStyle w:val="ActionsArisingTitle"/>
        <w:rPr>
          <w:sz w:val="22"/>
          <w:szCs w:val="22"/>
        </w:rPr>
      </w:pPr>
      <w:r w:rsidRPr="00ED3992">
        <w:rPr>
          <w:sz w:val="22"/>
          <w:szCs w:val="22"/>
        </w:rPr>
        <w:t xml:space="preserve">Actions from Item </w:t>
      </w:r>
      <w:r w:rsidR="003343E8" w:rsidRPr="00ED3992">
        <w:rPr>
          <w:sz w:val="22"/>
          <w:szCs w:val="22"/>
        </w:rPr>
        <w:t>2</w:t>
      </w:r>
      <w:r w:rsidRPr="00ED3992">
        <w:rPr>
          <w:sz w:val="22"/>
          <w:szCs w:val="22"/>
        </w:rPr>
        <w:t>:</w:t>
      </w:r>
    </w:p>
    <w:p w14:paraId="797D2226" w14:textId="77777777" w:rsidR="00946A91" w:rsidRPr="00946A91" w:rsidRDefault="00B50C62" w:rsidP="00A33658">
      <w:pPr>
        <w:pStyle w:val="ListParagraph"/>
        <w:numPr>
          <w:ilvl w:val="0"/>
          <w:numId w:val="5"/>
        </w:numPr>
        <w:rPr>
          <w:b/>
          <w:bCs/>
        </w:rPr>
      </w:pPr>
      <w:r w:rsidRPr="00946A91">
        <w:t>Secretariat to speak with the MSC Benelux office to understand whether the addition of lemon</w:t>
      </w:r>
      <w:r>
        <w:t xml:space="preserve"> sole has already been considered by the JDF fishery.</w:t>
      </w:r>
    </w:p>
    <w:p w14:paraId="3D725DE0" w14:textId="1B39E9F9" w:rsidR="00D67C3D" w:rsidRPr="00ED3992" w:rsidRDefault="00A33658" w:rsidP="00ED3992">
      <w:pPr>
        <w:pStyle w:val="ListParagraph"/>
        <w:numPr>
          <w:ilvl w:val="0"/>
          <w:numId w:val="5"/>
        </w:numPr>
      </w:pPr>
      <w:r w:rsidRPr="00ED3992">
        <w:t xml:space="preserve">BL/CM to </w:t>
      </w:r>
      <w:r w:rsidR="000D5C32" w:rsidRPr="00ED3992">
        <w:t>update the FMP with figures</w:t>
      </w:r>
      <w:r w:rsidRPr="00ED3992">
        <w:t xml:space="preserve"> for </w:t>
      </w:r>
      <w:r w:rsidR="000D5C32" w:rsidRPr="00ED3992">
        <w:t>O</w:t>
      </w:r>
      <w:r w:rsidRPr="00ED3992">
        <w:t xml:space="preserve">sprey and </w:t>
      </w:r>
      <w:r w:rsidR="000D5C32" w:rsidRPr="00ED3992">
        <w:t>SFSAG</w:t>
      </w:r>
      <w:r w:rsidRPr="00ED3992">
        <w:t xml:space="preserve"> TAC up</w:t>
      </w:r>
      <w:r w:rsidR="000D5C32" w:rsidRPr="00ED3992">
        <w:t>take</w:t>
      </w:r>
      <w:r w:rsidR="00ED3992" w:rsidRPr="00ED3992">
        <w:t xml:space="preserve">, and details of KC’s harvest </w:t>
      </w:r>
      <w:r w:rsidR="00757B51" w:rsidRPr="00ED3992">
        <w:t>strategy.</w:t>
      </w:r>
      <w:r w:rsidRPr="00ED3992">
        <w:t xml:space="preserve"> </w:t>
      </w:r>
    </w:p>
    <w:p w14:paraId="100BD743" w14:textId="77777777" w:rsidR="00ED3992" w:rsidRDefault="00ED3992" w:rsidP="00D67C3D">
      <w:pPr>
        <w:pStyle w:val="AgendaItemNumber"/>
      </w:pPr>
    </w:p>
    <w:p w14:paraId="389EE7BF" w14:textId="2AB8D68E" w:rsidR="00D67C3D" w:rsidRDefault="00D67C3D" w:rsidP="00D67C3D">
      <w:pPr>
        <w:pStyle w:val="AgendaItemNumber"/>
      </w:pPr>
      <w:r w:rsidRPr="00AF503E">
        <w:t xml:space="preserve">Agenda Item </w:t>
      </w:r>
      <w:r>
        <w:t>3</w:t>
      </w:r>
      <w:r w:rsidRPr="00AF503E">
        <w:t xml:space="preserve">: </w:t>
      </w:r>
      <w:r>
        <w:t>secondary species</w:t>
      </w:r>
    </w:p>
    <w:p w14:paraId="4BF10355" w14:textId="44A7DAC1" w:rsidR="00A33658" w:rsidRDefault="00306DB5" w:rsidP="00DE0C31">
      <w:r>
        <w:t xml:space="preserve">RC </w:t>
      </w:r>
      <w:r w:rsidR="00E33052">
        <w:t xml:space="preserve">said he spoke to </w:t>
      </w:r>
      <w:r w:rsidR="001A7DCC">
        <w:t xml:space="preserve">his colleague </w:t>
      </w:r>
      <w:r w:rsidR="00E33052">
        <w:t>Fiona Nimmo</w:t>
      </w:r>
      <w:r w:rsidR="001A7DCC">
        <w:t xml:space="preserve">, who is working on the </w:t>
      </w:r>
      <w:r w:rsidR="001A7DCC">
        <w:rPr>
          <w:i/>
          <w:iCs/>
        </w:rPr>
        <w:t xml:space="preserve">Nephrops </w:t>
      </w:r>
      <w:r w:rsidR="009570F7">
        <w:t>FIP,</w:t>
      </w:r>
      <w:r>
        <w:t xml:space="preserve"> to understand </w:t>
      </w:r>
      <w:r w:rsidR="006553B7">
        <w:t xml:space="preserve">more about how </w:t>
      </w:r>
      <w:r w:rsidR="00054CC9" w:rsidRPr="00054CC9">
        <w:rPr>
          <w:i/>
          <w:iCs/>
        </w:rPr>
        <w:t>Nephrops</w:t>
      </w:r>
      <w:r w:rsidR="00054CC9">
        <w:t xml:space="preserve"> is </w:t>
      </w:r>
      <w:r w:rsidR="006553B7">
        <w:t xml:space="preserve">considered under existing </w:t>
      </w:r>
      <w:r w:rsidR="00054CC9">
        <w:t xml:space="preserve">MSC </w:t>
      </w:r>
      <w:r w:rsidR="006553B7">
        <w:t>certificates</w:t>
      </w:r>
      <w:r w:rsidR="008F39BA">
        <w:t xml:space="preserve"> in the North Sea</w:t>
      </w:r>
      <w:r w:rsidR="006553B7">
        <w:t xml:space="preserve">. </w:t>
      </w:r>
      <w:r w:rsidR="006A7C1D">
        <w:t xml:space="preserve">The most recent </w:t>
      </w:r>
      <w:r w:rsidR="00031285">
        <w:t>surveillance</w:t>
      </w:r>
      <w:r w:rsidR="006A7C1D">
        <w:t xml:space="preserve"> audits do not </w:t>
      </w:r>
      <w:r w:rsidR="009927C3">
        <w:t xml:space="preserve">raise </w:t>
      </w:r>
      <w:r w:rsidR="009927C3" w:rsidRPr="009927C3">
        <w:rPr>
          <w:i/>
          <w:iCs/>
        </w:rPr>
        <w:t>Nephrops</w:t>
      </w:r>
      <w:r w:rsidR="006A7C1D" w:rsidRPr="009927C3">
        <w:rPr>
          <w:i/>
          <w:iCs/>
        </w:rPr>
        <w:t xml:space="preserve"> </w:t>
      </w:r>
      <w:r w:rsidR="006A7C1D">
        <w:t xml:space="preserve">as an issue, </w:t>
      </w:r>
      <w:r w:rsidR="00CF4AFF">
        <w:t>so</w:t>
      </w:r>
      <w:r w:rsidR="009A7CA6">
        <w:t xml:space="preserve"> </w:t>
      </w:r>
      <w:r w:rsidR="009B0B6F">
        <w:t>RC</w:t>
      </w:r>
      <w:r w:rsidR="006E6278">
        <w:t xml:space="preserve"> has asked FN to explore </w:t>
      </w:r>
      <w:r w:rsidR="00A01E9E">
        <w:t>this</w:t>
      </w:r>
      <w:r w:rsidR="006E6278">
        <w:t xml:space="preserve"> further </w:t>
      </w:r>
      <w:r w:rsidR="00A01E9E">
        <w:t>before</w:t>
      </w:r>
      <w:r w:rsidR="009B0B6F">
        <w:t xml:space="preserve"> the annual review in </w:t>
      </w:r>
      <w:r w:rsidR="006E6278">
        <w:t>March</w:t>
      </w:r>
      <w:r w:rsidR="005E7D0C">
        <w:t xml:space="preserve">. The current </w:t>
      </w:r>
      <w:r w:rsidR="00A01E9E">
        <w:t xml:space="preserve">FIP </w:t>
      </w:r>
      <w:r w:rsidR="005E7D0C">
        <w:t xml:space="preserve">score </w:t>
      </w:r>
      <w:r w:rsidR="00AA51B1">
        <w:t>does</w:t>
      </w:r>
      <w:r w:rsidR="009570F7">
        <w:t xml:space="preserve"> </w:t>
      </w:r>
      <w:r w:rsidR="00AA51B1">
        <w:t>n</w:t>
      </w:r>
      <w:r w:rsidR="009570F7">
        <w:t>o</w:t>
      </w:r>
      <w:r w:rsidR="00AA51B1">
        <w:t xml:space="preserve">t reach SG80 </w:t>
      </w:r>
      <w:r w:rsidR="008F1BA2">
        <w:t>because</w:t>
      </w:r>
      <w:r w:rsidR="00AA51B1">
        <w:t xml:space="preserve"> it</w:t>
      </w:r>
      <w:r w:rsidR="00495B94">
        <w:t xml:space="preserve"> includes</w:t>
      </w:r>
      <w:r w:rsidR="005E28B9">
        <w:t xml:space="preserve"> the status of</w:t>
      </w:r>
      <w:r w:rsidR="00495B94">
        <w:t xml:space="preserve"> </w:t>
      </w:r>
      <w:r w:rsidR="00EF4BE8" w:rsidRPr="008C004A">
        <w:rPr>
          <w:i/>
          <w:iCs/>
        </w:rPr>
        <w:t>Nephrops</w:t>
      </w:r>
      <w:r w:rsidR="00AA51B1">
        <w:t xml:space="preserve"> in Devils Hole, but other certified fisheries do not</w:t>
      </w:r>
      <w:r w:rsidR="006B4949">
        <w:t xml:space="preserve"> include this</w:t>
      </w:r>
      <w:r w:rsidR="0097208F">
        <w:t>.</w:t>
      </w:r>
      <w:r w:rsidR="006B4949">
        <w:t xml:space="preserve"> </w:t>
      </w:r>
      <w:r w:rsidR="00E11071">
        <w:t xml:space="preserve">RC </w:t>
      </w:r>
      <w:r w:rsidR="006B4949">
        <w:t>wants to understand why</w:t>
      </w:r>
      <w:r w:rsidR="003619AE">
        <w:t xml:space="preserve"> and whether the FIP could harm</w:t>
      </w:r>
      <w:r w:rsidR="00A9552E">
        <w:t>on</w:t>
      </w:r>
      <w:r w:rsidR="003619AE">
        <w:t>ise with the approach of these other certifications</w:t>
      </w:r>
      <w:r w:rsidR="006E6278">
        <w:t xml:space="preserve">. </w:t>
      </w:r>
      <w:r w:rsidR="005B44B0">
        <w:t>There is not much th</w:t>
      </w:r>
      <w:r w:rsidR="006B4949">
        <w:t>is Steering G</w:t>
      </w:r>
      <w:r w:rsidR="005B44B0">
        <w:t xml:space="preserve">roup can do directly to influence </w:t>
      </w:r>
      <w:r w:rsidR="005B44B0" w:rsidRPr="006B4949">
        <w:rPr>
          <w:i/>
          <w:iCs/>
        </w:rPr>
        <w:t>Nephrops</w:t>
      </w:r>
      <w:r w:rsidR="00F94592">
        <w:rPr>
          <w:i/>
          <w:iCs/>
        </w:rPr>
        <w:t xml:space="preserve"> </w:t>
      </w:r>
      <w:r w:rsidR="00F94592" w:rsidRPr="00F94592">
        <w:t>stocks or management.</w:t>
      </w:r>
    </w:p>
    <w:p w14:paraId="2A4230DF" w14:textId="7834F069" w:rsidR="004868B1" w:rsidRDefault="004B6FE4" w:rsidP="00DE0C31">
      <w:r>
        <w:t xml:space="preserve">JP </w:t>
      </w:r>
      <w:r w:rsidR="00216CAB">
        <w:t>reminded the group</w:t>
      </w:r>
      <w:r>
        <w:t xml:space="preserve"> that the SFSAG certification</w:t>
      </w:r>
      <w:r w:rsidR="007C1E1F">
        <w:t xml:space="preserve"> in the North Sea</w:t>
      </w:r>
      <w:r>
        <w:t xml:space="preserve"> is currently on v1.3 of the MSC </w:t>
      </w:r>
      <w:r w:rsidR="007C1E1F">
        <w:t>S</w:t>
      </w:r>
      <w:r>
        <w:t xml:space="preserve">tandard and is </w:t>
      </w:r>
      <w:r w:rsidR="00E57167">
        <w:t>transitioning</w:t>
      </w:r>
      <w:r>
        <w:t xml:space="preserve"> to </w:t>
      </w:r>
      <w:r w:rsidR="00247E81">
        <w:t xml:space="preserve">v2.0 </w:t>
      </w:r>
      <w:r>
        <w:t xml:space="preserve">this year, which may </w:t>
      </w:r>
      <w:r w:rsidR="00216CAB">
        <w:t xml:space="preserve">highlight </w:t>
      </w:r>
      <w:r w:rsidR="007A4B89">
        <w:t>requirement</w:t>
      </w:r>
      <w:r w:rsidR="00FB4521">
        <w:t>s for</w:t>
      </w:r>
      <w:r w:rsidR="00BF5364">
        <w:t xml:space="preserve"> the consideration of</w:t>
      </w:r>
      <w:r w:rsidR="00FB4521">
        <w:t xml:space="preserve"> </w:t>
      </w:r>
      <w:r w:rsidR="00FB4521" w:rsidRPr="00FB4521">
        <w:rPr>
          <w:i/>
          <w:iCs/>
        </w:rPr>
        <w:t>Nephrops</w:t>
      </w:r>
      <w:r w:rsidR="007A4B89">
        <w:t xml:space="preserve">. </w:t>
      </w:r>
      <w:r w:rsidR="00BB42B3">
        <w:t xml:space="preserve">RC explained that some of the North Sea assessments have considered each </w:t>
      </w:r>
      <w:r w:rsidR="00BB42B3" w:rsidRPr="00002219">
        <w:rPr>
          <w:i/>
          <w:iCs/>
        </w:rPr>
        <w:t>Nephrops</w:t>
      </w:r>
      <w:r w:rsidR="00BB42B3">
        <w:t xml:space="preserve"> F</w:t>
      </w:r>
      <w:r w:rsidR="00BF5364">
        <w:t xml:space="preserve">unctional </w:t>
      </w:r>
      <w:r w:rsidR="00BB42B3">
        <w:t>U</w:t>
      </w:r>
      <w:r w:rsidR="00BF5364">
        <w:t>nit</w:t>
      </w:r>
      <w:r w:rsidR="00BB42B3">
        <w:t xml:space="preserve"> as a separate stock</w:t>
      </w:r>
      <w:r w:rsidR="00F338E0">
        <w:t xml:space="preserve">, and </w:t>
      </w:r>
      <w:r w:rsidR="00D2394B">
        <w:t xml:space="preserve">then calculated </w:t>
      </w:r>
      <w:r w:rsidR="00D2394B" w:rsidRPr="00D2394B">
        <w:rPr>
          <w:i/>
          <w:iCs/>
        </w:rPr>
        <w:t>N</w:t>
      </w:r>
      <w:r w:rsidR="001949EC" w:rsidRPr="00D2394B">
        <w:rPr>
          <w:i/>
          <w:iCs/>
        </w:rPr>
        <w:t xml:space="preserve">ephrops </w:t>
      </w:r>
      <w:r w:rsidR="001949EC">
        <w:t>as a percentage of bycatch</w:t>
      </w:r>
      <w:r w:rsidR="00D2394B">
        <w:t xml:space="preserve"> for each stock rather than overall for the fishery. </w:t>
      </w:r>
      <w:r w:rsidR="00DE6A0C">
        <w:t xml:space="preserve">RC said </w:t>
      </w:r>
      <w:r w:rsidR="00D2394B">
        <w:t xml:space="preserve">FN will explore this further, </w:t>
      </w:r>
      <w:r w:rsidR="00EE4607">
        <w:t xml:space="preserve">as it </w:t>
      </w:r>
      <w:r w:rsidR="00F8624A">
        <w:t xml:space="preserve">may mean the percentage of bycatch </w:t>
      </w:r>
      <w:r w:rsidR="009C6FA6">
        <w:t xml:space="preserve">relegates </w:t>
      </w:r>
      <w:r w:rsidR="009C6FA6" w:rsidRPr="00431FA1">
        <w:rPr>
          <w:i/>
          <w:iCs/>
        </w:rPr>
        <w:t>Nephrops</w:t>
      </w:r>
      <w:r w:rsidR="009C6FA6">
        <w:t xml:space="preserve"> to a minor species</w:t>
      </w:r>
      <w:r w:rsidR="00B82941">
        <w:t xml:space="preserve"> for many of the F</w:t>
      </w:r>
      <w:r w:rsidR="00EE4607">
        <w:t xml:space="preserve">unctional </w:t>
      </w:r>
      <w:r w:rsidR="00B82941">
        <w:t>U</w:t>
      </w:r>
      <w:r w:rsidR="00EE4607">
        <w:t>nit</w:t>
      </w:r>
      <w:r w:rsidR="00B82941">
        <w:t>s</w:t>
      </w:r>
      <w:r w:rsidR="009C6FA6">
        <w:t xml:space="preserve">. </w:t>
      </w:r>
      <w:r w:rsidR="002A637C">
        <w:t xml:space="preserve">The </w:t>
      </w:r>
      <w:proofErr w:type="spellStart"/>
      <w:r w:rsidR="002A637C">
        <w:t>UoA</w:t>
      </w:r>
      <w:proofErr w:type="spellEnd"/>
      <w:r w:rsidR="002A637C">
        <w:t xml:space="preserve"> </w:t>
      </w:r>
      <w:r w:rsidR="00A05E78">
        <w:t>covers</w:t>
      </w:r>
      <w:r w:rsidR="002A637C">
        <w:t xml:space="preserve"> </w:t>
      </w:r>
      <w:r w:rsidR="007E45FE">
        <w:t xml:space="preserve">demersal trawl </w:t>
      </w:r>
      <w:r w:rsidR="00A05E78">
        <w:t>(</w:t>
      </w:r>
      <w:r w:rsidR="002A637C">
        <w:t>TR1 an</w:t>
      </w:r>
      <w:r w:rsidR="00A05E78">
        <w:t>d</w:t>
      </w:r>
      <w:r w:rsidR="002A637C">
        <w:t xml:space="preserve"> TR2</w:t>
      </w:r>
      <w:r w:rsidR="00A05E78">
        <w:t>)</w:t>
      </w:r>
      <w:r w:rsidR="002A637C">
        <w:t>, which</w:t>
      </w:r>
      <w:r w:rsidR="007E45FE">
        <w:t xml:space="preserve"> incl</w:t>
      </w:r>
      <w:r w:rsidR="002A637C">
        <w:t>u</w:t>
      </w:r>
      <w:r w:rsidR="007E45FE">
        <w:t xml:space="preserve">des </w:t>
      </w:r>
      <w:r w:rsidR="007E45FE" w:rsidRPr="00431FA1">
        <w:rPr>
          <w:i/>
          <w:iCs/>
        </w:rPr>
        <w:t>Nephrops</w:t>
      </w:r>
      <w:r w:rsidR="007E45FE">
        <w:t xml:space="preserve"> trawlers</w:t>
      </w:r>
      <w:r w:rsidR="002A637C">
        <w:t xml:space="preserve">, so as a </w:t>
      </w:r>
      <w:r w:rsidR="00431FA1">
        <w:t>percentage of total</w:t>
      </w:r>
      <w:r w:rsidR="002A637C">
        <w:t xml:space="preserve"> catch </w:t>
      </w:r>
      <w:r w:rsidR="002A637C" w:rsidRPr="00431FA1">
        <w:rPr>
          <w:i/>
          <w:iCs/>
        </w:rPr>
        <w:t xml:space="preserve">Nephrops </w:t>
      </w:r>
      <w:r w:rsidR="002A637C">
        <w:t xml:space="preserve">is above the 5% </w:t>
      </w:r>
      <w:r w:rsidR="00D55085">
        <w:t>designation</w:t>
      </w:r>
      <w:r w:rsidR="00431FA1">
        <w:t xml:space="preserve"> </w:t>
      </w:r>
      <w:r w:rsidR="00864FE9">
        <w:t xml:space="preserve">for a main </w:t>
      </w:r>
      <w:proofErr w:type="gramStart"/>
      <w:r w:rsidR="00864FE9">
        <w:t>species</w:t>
      </w:r>
      <w:r w:rsidR="00D82CA4">
        <w:t>, but</w:t>
      </w:r>
      <w:proofErr w:type="gramEnd"/>
      <w:r w:rsidR="00D82CA4">
        <w:t xml:space="preserve"> breaking </w:t>
      </w:r>
      <w:r w:rsidR="00B0502F">
        <w:t>the catch</w:t>
      </w:r>
      <w:r w:rsidR="00D82CA4">
        <w:t xml:space="preserve"> down by F</w:t>
      </w:r>
      <w:r w:rsidR="00864FE9">
        <w:t xml:space="preserve">unctional </w:t>
      </w:r>
      <w:r w:rsidR="00D82CA4">
        <w:t>U</w:t>
      </w:r>
      <w:r w:rsidR="00864FE9">
        <w:t>nit means</w:t>
      </w:r>
      <w:r w:rsidR="00D82CA4">
        <w:t xml:space="preserve"> only </w:t>
      </w:r>
      <w:r w:rsidR="00B0502F">
        <w:t xml:space="preserve">those areas </w:t>
      </w:r>
      <w:r w:rsidR="00D82CA4">
        <w:t xml:space="preserve">where </w:t>
      </w:r>
      <w:r w:rsidR="00B0502F">
        <w:t xml:space="preserve">the presence is above </w:t>
      </w:r>
      <w:r w:rsidR="00D82CA4">
        <w:t>5%</w:t>
      </w:r>
      <w:r w:rsidR="00B0502F">
        <w:t xml:space="preserve"> would need to be considered in the assessment.</w:t>
      </w:r>
    </w:p>
    <w:p w14:paraId="050CEB82" w14:textId="60FC403D" w:rsidR="003343E8" w:rsidRPr="00A9552E" w:rsidRDefault="003343E8" w:rsidP="003343E8">
      <w:pPr>
        <w:pStyle w:val="ActionsArisingTitle"/>
        <w:rPr>
          <w:sz w:val="22"/>
          <w:szCs w:val="22"/>
        </w:rPr>
      </w:pPr>
      <w:r w:rsidRPr="00A9552E">
        <w:rPr>
          <w:sz w:val="22"/>
          <w:szCs w:val="22"/>
        </w:rPr>
        <w:t>Actions from Item 3:</w:t>
      </w:r>
    </w:p>
    <w:p w14:paraId="293CB55C" w14:textId="38F0A7D1" w:rsidR="00334BA5" w:rsidRDefault="001D001F" w:rsidP="00B0502F">
      <w:pPr>
        <w:pStyle w:val="ListParagraph"/>
        <w:numPr>
          <w:ilvl w:val="0"/>
          <w:numId w:val="6"/>
        </w:numPr>
      </w:pPr>
      <w:r>
        <w:t xml:space="preserve"> </w:t>
      </w:r>
      <w:r w:rsidR="004F0CE8">
        <w:t>RC to</w:t>
      </w:r>
      <w:r w:rsidR="003343E8">
        <w:t xml:space="preserve"> discuss</w:t>
      </w:r>
      <w:r w:rsidR="000C01D9">
        <w:t xml:space="preserve"> a suitable approach to</w:t>
      </w:r>
      <w:r w:rsidR="003343E8">
        <w:t xml:space="preserve"> </w:t>
      </w:r>
      <w:r w:rsidR="003343E8" w:rsidRPr="000C01D9">
        <w:rPr>
          <w:i/>
          <w:iCs/>
        </w:rPr>
        <w:t>Ne</w:t>
      </w:r>
      <w:r w:rsidR="000C01D9">
        <w:rPr>
          <w:i/>
          <w:iCs/>
        </w:rPr>
        <w:t>p</w:t>
      </w:r>
      <w:r w:rsidR="003343E8" w:rsidRPr="000C01D9">
        <w:rPr>
          <w:i/>
          <w:iCs/>
        </w:rPr>
        <w:t>hrops</w:t>
      </w:r>
      <w:r w:rsidR="003343E8">
        <w:t xml:space="preserve"> </w:t>
      </w:r>
      <w:r w:rsidR="005F4539">
        <w:t xml:space="preserve">with Fiona Nimmo </w:t>
      </w:r>
      <w:r w:rsidR="003343E8">
        <w:t xml:space="preserve">ahead of the annual </w:t>
      </w:r>
      <w:r w:rsidR="00D16E18">
        <w:t>review.</w:t>
      </w:r>
    </w:p>
    <w:p w14:paraId="6435D244" w14:textId="77777777" w:rsidR="000C01D9" w:rsidRDefault="000C01D9" w:rsidP="00FC47B1">
      <w:pPr>
        <w:pStyle w:val="AgendaItemNumber"/>
      </w:pPr>
    </w:p>
    <w:p w14:paraId="3FC806FF" w14:textId="098F9438" w:rsidR="00FC47B1" w:rsidRDefault="00FC47B1" w:rsidP="00FC47B1">
      <w:pPr>
        <w:pStyle w:val="AgendaItemNumber"/>
      </w:pPr>
      <w:r w:rsidRPr="00AF503E">
        <w:t xml:space="preserve">Agenda Item </w:t>
      </w:r>
      <w:r>
        <w:t>4</w:t>
      </w:r>
      <w:r w:rsidRPr="00AF503E">
        <w:t xml:space="preserve">: </w:t>
      </w:r>
      <w:r>
        <w:t>alternative measure</w:t>
      </w:r>
      <w:r w:rsidR="004868B1">
        <w:t>s</w:t>
      </w:r>
      <w:r>
        <w:t xml:space="preserve"> report</w:t>
      </w:r>
    </w:p>
    <w:p w14:paraId="2DFC528F" w14:textId="15AE6DD4" w:rsidR="00334BA5" w:rsidRDefault="00334BA5" w:rsidP="00DE0C31">
      <w:r>
        <w:t>BL</w:t>
      </w:r>
      <w:r w:rsidR="00F37C9A">
        <w:t xml:space="preserve">, WD and CM </w:t>
      </w:r>
      <w:r w:rsidR="0068769D">
        <w:t>drafted</w:t>
      </w:r>
      <w:r w:rsidR="00F37C9A">
        <w:t xml:space="preserve"> </w:t>
      </w:r>
      <w:r w:rsidR="000C4B7B">
        <w:t xml:space="preserve">an </w:t>
      </w:r>
      <w:r w:rsidR="00F37C9A">
        <w:t xml:space="preserve">alternative measures </w:t>
      </w:r>
      <w:r w:rsidR="000C4B7B">
        <w:t xml:space="preserve">review. </w:t>
      </w:r>
      <w:r w:rsidR="00DD05BE">
        <w:t xml:space="preserve">BL needs to </w:t>
      </w:r>
      <w:r w:rsidR="006A2779">
        <w:t xml:space="preserve">update the report with </w:t>
      </w:r>
      <w:r w:rsidR="009124F3">
        <w:t>grad</w:t>
      </w:r>
      <w:r w:rsidR="006A2779">
        <w:t>ing</w:t>
      </w:r>
      <w:r w:rsidR="009124F3">
        <w:t xml:space="preserve"> data from processors in </w:t>
      </w:r>
      <w:r w:rsidR="009A6DA7">
        <w:t>relation</w:t>
      </w:r>
      <w:r w:rsidR="009124F3">
        <w:t xml:space="preserve"> to catch</w:t>
      </w:r>
      <w:r w:rsidR="006A2779">
        <w:t xml:space="preserve"> length frequency distribution</w:t>
      </w:r>
      <w:r w:rsidR="008E0421">
        <w:t xml:space="preserve">. </w:t>
      </w:r>
      <w:r w:rsidR="005762AC">
        <w:t xml:space="preserve">This will provide </w:t>
      </w:r>
      <w:r w:rsidR="00427484">
        <w:t>clarity</w:t>
      </w:r>
      <w:r w:rsidR="005762AC">
        <w:t xml:space="preserve"> on which section of the length frequency distri</w:t>
      </w:r>
      <w:r w:rsidR="00DF6A51">
        <w:t xml:space="preserve">bution is </w:t>
      </w:r>
      <w:r w:rsidR="00F16AC6">
        <w:t xml:space="preserve">exploited </w:t>
      </w:r>
      <w:r w:rsidR="00DF6A51">
        <w:t xml:space="preserve">and </w:t>
      </w:r>
      <w:r w:rsidR="008D6515">
        <w:t xml:space="preserve">how this compares with the total catch. </w:t>
      </w:r>
      <w:r w:rsidR="00DF6A51">
        <w:t xml:space="preserve">CM offered to share supply chain grading information to support this. </w:t>
      </w:r>
      <w:r w:rsidR="008747DE">
        <w:t xml:space="preserve">BL agreed to finish these additions and then circulate </w:t>
      </w:r>
      <w:r w:rsidR="00651BC3">
        <w:t>the report</w:t>
      </w:r>
      <w:r w:rsidR="008747DE">
        <w:t xml:space="preserve"> to the Steering Group.</w:t>
      </w:r>
    </w:p>
    <w:p w14:paraId="3C275F13" w14:textId="5660AB37" w:rsidR="006964FB" w:rsidRDefault="000D37CC" w:rsidP="00DE0C31">
      <w:r>
        <w:t xml:space="preserve">The report </w:t>
      </w:r>
      <w:r w:rsidR="00A05BF8">
        <w:t xml:space="preserve">needs </w:t>
      </w:r>
      <w:r>
        <w:t>to be reviewed by Defra</w:t>
      </w:r>
      <w:r w:rsidR="002D4D73">
        <w:t xml:space="preserve"> ahead of the annual review. </w:t>
      </w:r>
      <w:r w:rsidR="00D93035">
        <w:t xml:space="preserve">RC </w:t>
      </w:r>
      <w:r w:rsidR="008747DE">
        <w:t>said</w:t>
      </w:r>
      <w:r w:rsidR="00D93035">
        <w:t xml:space="preserve"> that </w:t>
      </w:r>
      <w:r w:rsidR="00727B2C">
        <w:t xml:space="preserve">their review does not have to be comprehensive, </w:t>
      </w:r>
      <w:r w:rsidR="00D93035">
        <w:t>Defra</w:t>
      </w:r>
      <w:r w:rsidR="003C317B">
        <w:t xml:space="preserve"> can</w:t>
      </w:r>
      <w:r w:rsidR="00C23B33">
        <w:t xml:space="preserve"> </w:t>
      </w:r>
      <w:r w:rsidR="00E91B4A">
        <w:t xml:space="preserve">simply </w:t>
      </w:r>
      <w:r w:rsidR="00D35ED1">
        <w:t xml:space="preserve">acknowledge that </w:t>
      </w:r>
      <w:r w:rsidR="00E91B4A">
        <w:t xml:space="preserve">the FIP has undertaken a review of </w:t>
      </w:r>
      <w:r w:rsidR="006964FB">
        <w:t>alt</w:t>
      </w:r>
      <w:r w:rsidR="00F76B31">
        <w:t>ernative</w:t>
      </w:r>
      <w:r w:rsidR="006964FB">
        <w:t xml:space="preserve"> measures. </w:t>
      </w:r>
    </w:p>
    <w:p w14:paraId="07CF6EED" w14:textId="0B3AEE21" w:rsidR="00BA7067" w:rsidRPr="00A9552E" w:rsidRDefault="003343E8" w:rsidP="003343E8">
      <w:pPr>
        <w:pStyle w:val="ActionsArisingTitle"/>
        <w:rPr>
          <w:sz w:val="22"/>
          <w:szCs w:val="22"/>
        </w:rPr>
      </w:pPr>
      <w:r w:rsidRPr="00A9552E">
        <w:rPr>
          <w:sz w:val="22"/>
          <w:szCs w:val="22"/>
        </w:rPr>
        <w:t>Actions from Item 4:</w:t>
      </w:r>
    </w:p>
    <w:p w14:paraId="65A2F4D1" w14:textId="77777777" w:rsidR="000D0777" w:rsidRDefault="007455C0" w:rsidP="000D0777">
      <w:pPr>
        <w:pStyle w:val="ListParagraph"/>
        <w:numPr>
          <w:ilvl w:val="0"/>
          <w:numId w:val="7"/>
        </w:numPr>
      </w:pPr>
      <w:r>
        <w:lastRenderedPageBreak/>
        <w:t xml:space="preserve"> BL and CM to finalise </w:t>
      </w:r>
      <w:r w:rsidR="000D0777">
        <w:t xml:space="preserve">the </w:t>
      </w:r>
      <w:r>
        <w:t xml:space="preserve">alternative </w:t>
      </w:r>
      <w:r w:rsidR="000D0777">
        <w:t>measures report</w:t>
      </w:r>
      <w:r w:rsidR="008F4C35">
        <w:t>, including grading information</w:t>
      </w:r>
      <w:r w:rsidR="000D0777">
        <w:t xml:space="preserve">, and circulate to the Steering </w:t>
      </w:r>
      <w:proofErr w:type="gramStart"/>
      <w:r w:rsidR="000D0777">
        <w:t>Group</w:t>
      </w:r>
      <w:proofErr w:type="gramEnd"/>
    </w:p>
    <w:p w14:paraId="31C7609A" w14:textId="1A17F39A" w:rsidR="00A9552E" w:rsidRDefault="000D0777" w:rsidP="000D0777">
      <w:pPr>
        <w:pStyle w:val="ListParagraph"/>
        <w:numPr>
          <w:ilvl w:val="0"/>
          <w:numId w:val="7"/>
        </w:numPr>
      </w:pPr>
      <w:r>
        <w:t xml:space="preserve">Secretariat to </w:t>
      </w:r>
      <w:r w:rsidR="00C12B16">
        <w:t>have</w:t>
      </w:r>
      <w:r w:rsidR="00A9552E">
        <w:t xml:space="preserve"> Defra review the alternative measures </w:t>
      </w:r>
      <w:proofErr w:type="gramStart"/>
      <w:r w:rsidR="00A9552E">
        <w:t>report</w:t>
      </w:r>
      <w:proofErr w:type="gramEnd"/>
    </w:p>
    <w:p w14:paraId="797253A6" w14:textId="18A5F57C" w:rsidR="007455C0" w:rsidRDefault="007455C0" w:rsidP="00A9552E">
      <w:pPr>
        <w:pStyle w:val="ListParagraph"/>
      </w:pPr>
      <w:r>
        <w:t xml:space="preserve"> </w:t>
      </w:r>
    </w:p>
    <w:p w14:paraId="54159041" w14:textId="77E1A3D8" w:rsidR="00FC47B1" w:rsidRDefault="00FC47B1" w:rsidP="00FC47B1">
      <w:pPr>
        <w:pStyle w:val="AgendaItemNumber"/>
      </w:pPr>
      <w:r w:rsidRPr="00AF503E">
        <w:t xml:space="preserve">Agenda Item </w:t>
      </w:r>
      <w:r>
        <w:t>5</w:t>
      </w:r>
      <w:r w:rsidRPr="00AF503E">
        <w:t xml:space="preserve">: </w:t>
      </w:r>
      <w:r w:rsidR="00B070AD">
        <w:t xml:space="preserve">endangered, </w:t>
      </w:r>
      <w:proofErr w:type="gramStart"/>
      <w:r w:rsidR="00B070AD">
        <w:t>threatened</w:t>
      </w:r>
      <w:proofErr w:type="gramEnd"/>
      <w:r w:rsidR="00B070AD">
        <w:t xml:space="preserve"> and protected species (ETP)</w:t>
      </w:r>
    </w:p>
    <w:p w14:paraId="747C1057" w14:textId="79D724A4" w:rsidR="003343E8" w:rsidRDefault="007D3992" w:rsidP="00DE0C31">
      <w:r>
        <w:t xml:space="preserve">EG </w:t>
      </w:r>
      <w:r w:rsidR="00836CD4">
        <w:t xml:space="preserve">originally </w:t>
      </w:r>
      <w:r w:rsidR="004D516E">
        <w:t>drafted a</w:t>
      </w:r>
      <w:r w:rsidR="00836CD4">
        <w:t>n</w:t>
      </w:r>
      <w:r w:rsidR="004D516E">
        <w:t xml:space="preserve"> ETP list and consulted with the statutory nature bodies </w:t>
      </w:r>
      <w:r w:rsidR="0067074D">
        <w:t xml:space="preserve">for feedback. WD and KC have since </w:t>
      </w:r>
      <w:r w:rsidR="004C7042">
        <w:t>reviewed</w:t>
      </w:r>
      <w:r w:rsidR="0067074D">
        <w:t xml:space="preserve"> the list with the catching sector for their input.</w:t>
      </w:r>
      <w:r w:rsidR="002E7367">
        <w:t xml:space="preserve"> WD drafted a combined list</w:t>
      </w:r>
      <w:r w:rsidR="00756A5E">
        <w:t>, including existing ETP lists from certified fisheries</w:t>
      </w:r>
      <w:r w:rsidR="00F469C5">
        <w:t xml:space="preserve">, and noted where </w:t>
      </w:r>
      <w:r w:rsidR="002D6A09">
        <w:t xml:space="preserve">some species may not interact with this fishery, for example bird beaked dogfish is considered a </w:t>
      </w:r>
      <w:proofErr w:type="spellStart"/>
      <w:r w:rsidR="002D6A09">
        <w:t>deepwater</w:t>
      </w:r>
      <w:proofErr w:type="spellEnd"/>
      <w:r w:rsidR="002D6A09">
        <w:t xml:space="preserve"> species</w:t>
      </w:r>
      <w:r w:rsidR="001C7973">
        <w:t xml:space="preserve"> with no distribution in the North Sea</w:t>
      </w:r>
      <w:r w:rsidR="002D6A09">
        <w:t>.</w:t>
      </w:r>
      <w:r w:rsidR="001C7973">
        <w:t xml:space="preserve"> The JDF certification </w:t>
      </w:r>
      <w:r w:rsidR="00220AA2">
        <w:t xml:space="preserve">was useful as a </w:t>
      </w:r>
      <w:r w:rsidR="00C075FF">
        <w:t xml:space="preserve">reference list as it covers a similar fishing area. </w:t>
      </w:r>
    </w:p>
    <w:p w14:paraId="619B2A56" w14:textId="6B730606" w:rsidR="00F823CC" w:rsidRDefault="00BB74D4" w:rsidP="00DE0C31">
      <w:r>
        <w:t xml:space="preserve">The </w:t>
      </w:r>
      <w:r w:rsidR="00EC106E">
        <w:t>ETP list needs to be</w:t>
      </w:r>
      <w:r>
        <w:t xml:space="preserve"> circulate</w:t>
      </w:r>
      <w:r w:rsidR="00EC106E">
        <w:t>d to the</w:t>
      </w:r>
      <w:r>
        <w:t xml:space="preserve"> Steering Group f</w:t>
      </w:r>
      <w:r w:rsidR="00320F6B">
        <w:t>or further f</w:t>
      </w:r>
      <w:r>
        <w:t xml:space="preserve">eedback </w:t>
      </w:r>
      <w:r w:rsidR="00320F6B">
        <w:t>on species that</w:t>
      </w:r>
      <w:r w:rsidR="00422CE1">
        <w:t xml:space="preserve"> </w:t>
      </w:r>
      <w:r w:rsidR="00320F6B">
        <w:t xml:space="preserve">are </w:t>
      </w:r>
      <w:proofErr w:type="gramStart"/>
      <w:r w:rsidR="00320F6B">
        <w:t>missing</w:t>
      </w:r>
      <w:r w:rsidR="00422CE1">
        <w:t>, or</w:t>
      </w:r>
      <w:proofErr w:type="gramEnd"/>
      <w:r w:rsidR="00422CE1">
        <w:t xml:space="preserve"> </w:t>
      </w:r>
      <w:r w:rsidR="00320F6B">
        <w:t xml:space="preserve">are </w:t>
      </w:r>
      <w:r w:rsidR="00422CE1">
        <w:t xml:space="preserve">likely to </w:t>
      </w:r>
      <w:r w:rsidR="00943984">
        <w:t>draw attention during MSC the assessment process.</w:t>
      </w:r>
      <w:r w:rsidR="00422CE1">
        <w:t xml:space="preserve"> </w:t>
      </w:r>
      <w:r w:rsidR="00881DF9">
        <w:t xml:space="preserve">RC explained that there has been a lot of focus on </w:t>
      </w:r>
      <w:r w:rsidR="00B61F00">
        <w:t>p</w:t>
      </w:r>
      <w:r w:rsidR="00695947">
        <w:t xml:space="preserve">riority </w:t>
      </w:r>
      <w:r w:rsidR="00B61F00">
        <w:t>m</w:t>
      </w:r>
      <w:r w:rsidR="00695947">
        <w:t xml:space="preserve">arine </w:t>
      </w:r>
      <w:r w:rsidR="00B61F00">
        <w:t>f</w:t>
      </w:r>
      <w:r w:rsidR="00695947">
        <w:t>eat</w:t>
      </w:r>
      <w:r w:rsidR="00B61F00">
        <w:t>ures (</w:t>
      </w:r>
      <w:r w:rsidR="00881DF9">
        <w:t>PMFs</w:t>
      </w:r>
      <w:r w:rsidR="00B61F00">
        <w:t>)</w:t>
      </w:r>
      <w:r w:rsidR="00881DF9">
        <w:t xml:space="preserve"> in the other FIPs, and </w:t>
      </w:r>
      <w:r w:rsidR="00D73335">
        <w:t xml:space="preserve">these </w:t>
      </w:r>
      <w:r w:rsidR="00881DF9">
        <w:t>will need to be considered as ETP speci</w:t>
      </w:r>
      <w:r w:rsidR="00D73335">
        <w:t>es</w:t>
      </w:r>
      <w:r w:rsidR="006131A3">
        <w:t xml:space="preserve"> for this FIP as well</w:t>
      </w:r>
      <w:r w:rsidR="00D73335">
        <w:t xml:space="preserve">. </w:t>
      </w:r>
      <w:r w:rsidR="00303E46">
        <w:t>There are already management measures in place for most ETP species, including the wheelhouse guides for SFSAG, but there may be species that need to be added</w:t>
      </w:r>
      <w:r w:rsidR="001F1707">
        <w:t xml:space="preserve"> to the management</w:t>
      </w:r>
      <w:r w:rsidR="00303E46">
        <w:t>. CM suggested the client groups undertake a gap analysis against their current lists to check if they need to add anything new.</w:t>
      </w:r>
      <w:r w:rsidR="001F1707">
        <w:t xml:space="preserve"> </w:t>
      </w:r>
      <w:r w:rsidR="007D6972">
        <w:t>RC reiterated that it</w:t>
      </w:r>
      <w:r w:rsidR="00B61F00">
        <w:t xml:space="preserve"> i</w:t>
      </w:r>
      <w:r w:rsidR="007D6972">
        <w:t>s just a case of checkin</w:t>
      </w:r>
      <w:r w:rsidR="00D42754">
        <w:t>g</w:t>
      </w:r>
      <w:r w:rsidR="007D6972">
        <w:t xml:space="preserve"> whether there are additional species that need to be considered, but that does</w:t>
      </w:r>
      <w:r w:rsidR="00C86D59">
        <w:t xml:space="preserve"> </w:t>
      </w:r>
      <w:r w:rsidR="007D6972">
        <w:t>n</w:t>
      </w:r>
      <w:r w:rsidR="00C86D59">
        <w:t>o</w:t>
      </w:r>
      <w:r w:rsidR="007D6972">
        <w:t>t mean additional measure will need to be taken.</w:t>
      </w:r>
      <w:r w:rsidR="005E1347">
        <w:t xml:space="preserve"> The group needs to </w:t>
      </w:r>
      <w:r w:rsidR="00645FAB">
        <w:t>recognise</w:t>
      </w:r>
      <w:r w:rsidR="00F823CC">
        <w:t xml:space="preserve"> if </w:t>
      </w:r>
      <w:r w:rsidR="00645FAB">
        <w:t>additional</w:t>
      </w:r>
      <w:r w:rsidR="00F823CC">
        <w:t xml:space="preserve"> measure</w:t>
      </w:r>
      <w:r w:rsidR="00C86D59">
        <w:t>s</w:t>
      </w:r>
      <w:r w:rsidR="00F823CC">
        <w:t xml:space="preserve"> are needed </w:t>
      </w:r>
      <w:r w:rsidR="005E1347">
        <w:t>or provide a</w:t>
      </w:r>
      <w:r w:rsidR="00F823CC">
        <w:t xml:space="preserve"> justification if not. </w:t>
      </w:r>
    </w:p>
    <w:p w14:paraId="79B90AC4" w14:textId="08EFB8E4" w:rsidR="00A65A5E" w:rsidRDefault="00442578" w:rsidP="00DE0C31">
      <w:r>
        <w:t xml:space="preserve">KC </w:t>
      </w:r>
      <w:r w:rsidR="00E479FC">
        <w:t>presented</w:t>
      </w:r>
      <w:r w:rsidR="008057CC">
        <w:t xml:space="preserve"> observer data for ETP species </w:t>
      </w:r>
      <w:r w:rsidR="000957A3">
        <w:t>and RC reiterated how important th</w:t>
      </w:r>
      <w:r w:rsidR="00F57898">
        <w:t xml:space="preserve">is data is to inform any justification for action or management. </w:t>
      </w:r>
      <w:r w:rsidR="00A65A5E">
        <w:t>Marine Sco</w:t>
      </w:r>
      <w:r w:rsidR="001807A7">
        <w:t>t</w:t>
      </w:r>
      <w:r w:rsidR="00A65A5E">
        <w:t xml:space="preserve">land previously provided data on ETP interactions but cannot provide </w:t>
      </w:r>
      <w:r w:rsidR="001807A7">
        <w:t>updated data a</w:t>
      </w:r>
      <w:r w:rsidR="00A65A5E">
        <w:t xml:space="preserve">s they cannot access their offices due to </w:t>
      </w:r>
      <w:r w:rsidR="009C2EFF">
        <w:t>Covid</w:t>
      </w:r>
      <w:r w:rsidR="00A65A5E">
        <w:t xml:space="preserve">. </w:t>
      </w:r>
      <w:r w:rsidR="00946B17">
        <w:t xml:space="preserve">SFF </w:t>
      </w:r>
      <w:r w:rsidR="009C2EFF">
        <w:t xml:space="preserve">has </w:t>
      </w:r>
      <w:r w:rsidR="00946B17">
        <w:t xml:space="preserve">provided </w:t>
      </w:r>
      <w:r w:rsidR="009C2EFF">
        <w:t xml:space="preserve">its </w:t>
      </w:r>
      <w:r w:rsidR="00946B17">
        <w:t>own data from their observer sampling scheme</w:t>
      </w:r>
      <w:r w:rsidR="00E42D07">
        <w:t xml:space="preserve"> in 2019</w:t>
      </w:r>
      <w:r w:rsidR="008A49CD">
        <w:t>, which mostly highlights skates and rays in the catch.</w:t>
      </w:r>
      <w:r w:rsidR="00C550E0">
        <w:t xml:space="preserve"> </w:t>
      </w:r>
      <w:r w:rsidR="00387FA1">
        <w:t>K</w:t>
      </w:r>
      <w:r w:rsidR="00C550E0">
        <w:t>C has updated the</w:t>
      </w:r>
      <w:r w:rsidR="00387FA1">
        <w:t xml:space="preserve"> ETP list with interaction levels in the SFSAG fishery, including ICES advice</w:t>
      </w:r>
      <w:r w:rsidR="00970C7D">
        <w:t xml:space="preserve"> and a classification of </w:t>
      </w:r>
      <w:r w:rsidR="008233B1">
        <w:t>the risk of interaction with a justification.</w:t>
      </w:r>
    </w:p>
    <w:p w14:paraId="646CEF9B" w14:textId="2ED08165" w:rsidR="004D6FDA" w:rsidRDefault="00025D26" w:rsidP="00DE0C31">
      <w:r>
        <w:t xml:space="preserve">BL said the alternative measures report will need updating with the latest ETP data and management measures. </w:t>
      </w:r>
      <w:r w:rsidR="00BD7529">
        <w:t>CM and BL agreed to address this during their review of alternative measures</w:t>
      </w:r>
      <w:r w:rsidR="00090ACF">
        <w:t>.</w:t>
      </w:r>
      <w:r w:rsidR="00BD7529">
        <w:t xml:space="preserve"> </w:t>
      </w:r>
      <w:r w:rsidR="001D04BF">
        <w:t xml:space="preserve">CM added that this ETP action is currently behind so it would be great to </w:t>
      </w:r>
      <w:r w:rsidR="001468FE">
        <w:t>complete it</w:t>
      </w:r>
      <w:r w:rsidR="00C002F9">
        <w:t xml:space="preserve"> before the annual review. </w:t>
      </w:r>
    </w:p>
    <w:p w14:paraId="24C5B0E1" w14:textId="74FC6FC9" w:rsidR="00C002F9" w:rsidRPr="001468FE" w:rsidRDefault="00C002F9" w:rsidP="00C002F9">
      <w:pPr>
        <w:pStyle w:val="ActionsArisingTitle"/>
        <w:rPr>
          <w:sz w:val="22"/>
          <w:szCs w:val="22"/>
        </w:rPr>
      </w:pPr>
      <w:r w:rsidRPr="001468FE">
        <w:rPr>
          <w:sz w:val="22"/>
          <w:szCs w:val="22"/>
        </w:rPr>
        <w:t xml:space="preserve">Actions from Item </w:t>
      </w:r>
      <w:r w:rsidR="00757B51">
        <w:rPr>
          <w:sz w:val="22"/>
          <w:szCs w:val="22"/>
        </w:rPr>
        <w:t>5</w:t>
      </w:r>
      <w:r w:rsidRPr="001468FE">
        <w:rPr>
          <w:sz w:val="22"/>
          <w:szCs w:val="22"/>
        </w:rPr>
        <w:t>:</w:t>
      </w:r>
    </w:p>
    <w:p w14:paraId="6C22CBD1" w14:textId="112E7AE1" w:rsidR="004D6FDA" w:rsidRPr="00757B51" w:rsidRDefault="00442578" w:rsidP="0038245D">
      <w:pPr>
        <w:pStyle w:val="ListParagraph"/>
        <w:numPr>
          <w:ilvl w:val="0"/>
          <w:numId w:val="8"/>
        </w:numPr>
      </w:pPr>
      <w:r w:rsidRPr="00757B51">
        <w:t xml:space="preserve">WD to </w:t>
      </w:r>
      <w:r w:rsidR="00C97B03" w:rsidRPr="00757B51">
        <w:t xml:space="preserve">add KCs </w:t>
      </w:r>
      <w:r w:rsidR="0048769D" w:rsidRPr="00757B51">
        <w:t>justifications,</w:t>
      </w:r>
      <w:r w:rsidR="00C97B03" w:rsidRPr="00757B51">
        <w:t xml:space="preserve"> </w:t>
      </w:r>
      <w:proofErr w:type="gramStart"/>
      <w:r w:rsidR="0048769D" w:rsidRPr="00757B51">
        <w:t>evidence</w:t>
      </w:r>
      <w:proofErr w:type="gramEnd"/>
      <w:r w:rsidR="0048769D" w:rsidRPr="00757B51">
        <w:t xml:space="preserve"> and rational</w:t>
      </w:r>
      <w:r w:rsidR="00303B60" w:rsidRPr="00757B51">
        <w:t>e</w:t>
      </w:r>
      <w:r w:rsidR="0048769D" w:rsidRPr="00757B51">
        <w:t xml:space="preserve"> </w:t>
      </w:r>
      <w:r w:rsidR="00C97B03" w:rsidRPr="00757B51">
        <w:t xml:space="preserve">into the </w:t>
      </w:r>
      <w:r w:rsidR="0048769D" w:rsidRPr="00757B51">
        <w:t xml:space="preserve">ETP </w:t>
      </w:r>
      <w:r w:rsidR="00C97B03" w:rsidRPr="00757B51">
        <w:t xml:space="preserve">list and </w:t>
      </w:r>
      <w:r w:rsidR="0038245D" w:rsidRPr="00757B51">
        <w:t>circulate</w:t>
      </w:r>
      <w:r w:rsidRPr="00757B51">
        <w:t xml:space="preserve"> </w:t>
      </w:r>
      <w:r w:rsidR="0038245D" w:rsidRPr="00757B51">
        <w:t>to the Steering Group for feedback before the annual review</w:t>
      </w:r>
      <w:r w:rsidR="007A47DE" w:rsidRPr="00757B51">
        <w:t>.</w:t>
      </w:r>
      <w:r w:rsidRPr="00757B51">
        <w:t xml:space="preserve"> </w:t>
      </w:r>
    </w:p>
    <w:p w14:paraId="3EA63D92" w14:textId="5F5019FB" w:rsidR="007A47DE" w:rsidRPr="00757B51" w:rsidRDefault="007A47DE" w:rsidP="0038245D">
      <w:pPr>
        <w:pStyle w:val="ListParagraph"/>
        <w:numPr>
          <w:ilvl w:val="0"/>
          <w:numId w:val="8"/>
        </w:numPr>
      </w:pPr>
      <w:r w:rsidRPr="00757B51">
        <w:t>CM/BL to add the ETP list and management measures into the alternative measures report.</w:t>
      </w:r>
    </w:p>
    <w:p w14:paraId="3805BB34" w14:textId="1DBA9BB6" w:rsidR="007A47DE" w:rsidRPr="00757B51" w:rsidRDefault="001B3B62" w:rsidP="00DE0C31">
      <w:pPr>
        <w:pStyle w:val="ListParagraph"/>
        <w:numPr>
          <w:ilvl w:val="0"/>
          <w:numId w:val="8"/>
        </w:numPr>
      </w:pPr>
      <w:r w:rsidRPr="00757B51">
        <w:t xml:space="preserve">LH to ask the Osprey observer </w:t>
      </w:r>
      <w:r w:rsidR="005C66B8" w:rsidRPr="00757B51">
        <w:t xml:space="preserve">for the </w:t>
      </w:r>
      <w:proofErr w:type="gramStart"/>
      <w:r w:rsidR="005C66B8" w:rsidRPr="00757B51">
        <w:t>current status</w:t>
      </w:r>
      <w:proofErr w:type="gramEnd"/>
      <w:r w:rsidR="005C66B8" w:rsidRPr="00757B51">
        <w:t xml:space="preserve"> of their starry ray condition and share with the Steering </w:t>
      </w:r>
      <w:r w:rsidR="00C676E7" w:rsidRPr="00757B51">
        <w:t>Group.</w:t>
      </w:r>
    </w:p>
    <w:p w14:paraId="61597D4A" w14:textId="77777777" w:rsidR="00C002F9" w:rsidRDefault="00C002F9" w:rsidP="004E5C04">
      <w:pPr>
        <w:pStyle w:val="AgendaItemNumber"/>
      </w:pPr>
    </w:p>
    <w:p w14:paraId="31C5DAB7" w14:textId="2040646D" w:rsidR="004E5C04" w:rsidRPr="00FC1241" w:rsidRDefault="004E5C04" w:rsidP="004E5C04">
      <w:pPr>
        <w:pStyle w:val="AgendaItemNumber"/>
      </w:pPr>
      <w:r w:rsidRPr="00FC1241">
        <w:t xml:space="preserve">Agenda Item </w:t>
      </w:r>
      <w:r>
        <w:t>6</w:t>
      </w:r>
      <w:r w:rsidRPr="00FC1241">
        <w:t xml:space="preserve">: </w:t>
      </w:r>
      <w:r>
        <w:t>h</w:t>
      </w:r>
      <w:r w:rsidRPr="00D445B5">
        <w:t>abitats</w:t>
      </w:r>
    </w:p>
    <w:p w14:paraId="7C6E72A6" w14:textId="059760E1" w:rsidR="00B30468" w:rsidRDefault="00DB4386" w:rsidP="00DE0C31">
      <w:r>
        <w:t xml:space="preserve">KC </w:t>
      </w:r>
      <w:r w:rsidR="00463C69">
        <w:t xml:space="preserve">updated the Steering Group on his </w:t>
      </w:r>
      <w:r>
        <w:t>review</w:t>
      </w:r>
      <w:r w:rsidR="00463C69">
        <w:t xml:space="preserve"> of</w:t>
      </w:r>
      <w:r>
        <w:t xml:space="preserve"> </w:t>
      </w:r>
      <w:r w:rsidR="005C66B8">
        <w:t xml:space="preserve">MPA </w:t>
      </w:r>
      <w:r>
        <w:t>management measures in Scottish waters.</w:t>
      </w:r>
      <w:r w:rsidR="00445C43">
        <w:t xml:space="preserve"> Currently </w:t>
      </w:r>
      <w:r w:rsidR="00463C69">
        <w:t>the MPAs</w:t>
      </w:r>
      <w:r w:rsidR="00445C43">
        <w:t xml:space="preserve"> have been designated but no management measures have been </w:t>
      </w:r>
      <w:r w:rsidR="00463C69">
        <w:t>implemented</w:t>
      </w:r>
      <w:r w:rsidR="00445C43">
        <w:t xml:space="preserve">. </w:t>
      </w:r>
      <w:r w:rsidR="00463C69">
        <w:t>Industry</w:t>
      </w:r>
      <w:r w:rsidR="002A46C9">
        <w:t xml:space="preserve"> may need to introduce voluntary measures </w:t>
      </w:r>
      <w:r w:rsidR="00001B95">
        <w:t>for an</w:t>
      </w:r>
      <w:r w:rsidR="001914F4">
        <w:t xml:space="preserve"> MSC certification</w:t>
      </w:r>
      <w:r w:rsidR="008126C0">
        <w:t xml:space="preserve">, but fishermen </w:t>
      </w:r>
      <w:r w:rsidR="00001B95">
        <w:t xml:space="preserve">may not </w:t>
      </w:r>
      <w:r w:rsidR="008126C0">
        <w:t>be willing to agree to voluntary measures to protect a species generally considered bycatch.</w:t>
      </w:r>
      <w:r w:rsidR="00C66B41">
        <w:t xml:space="preserve"> KC</w:t>
      </w:r>
      <w:r w:rsidR="00921968">
        <w:t xml:space="preserve"> </w:t>
      </w:r>
      <w:r w:rsidR="007A2446">
        <w:t xml:space="preserve">presented </w:t>
      </w:r>
      <w:r w:rsidR="00880B0E">
        <w:t xml:space="preserve">a table </w:t>
      </w:r>
      <w:r w:rsidR="007A2446">
        <w:t xml:space="preserve">of MPAs and </w:t>
      </w:r>
      <w:r w:rsidR="00880B0E">
        <w:t xml:space="preserve">comments </w:t>
      </w:r>
      <w:r w:rsidR="007A2446">
        <w:t>on</w:t>
      </w:r>
      <w:r w:rsidR="00880B0E">
        <w:t xml:space="preserve"> how willing fishermen might be to </w:t>
      </w:r>
      <w:r w:rsidR="00BA69D7">
        <w:t xml:space="preserve">consider voluntary </w:t>
      </w:r>
      <w:r w:rsidR="00BA69D7">
        <w:lastRenderedPageBreak/>
        <w:t xml:space="preserve">measures in each of the areas. </w:t>
      </w:r>
      <w:r w:rsidR="0093547F">
        <w:t xml:space="preserve">The main stumbling block is that fishermen are reluctant to stop fishing voluntarily if other nations are still able to fish in that area. </w:t>
      </w:r>
      <w:r w:rsidR="008A6588">
        <w:t xml:space="preserve">Central </w:t>
      </w:r>
      <w:proofErr w:type="spellStart"/>
      <w:r w:rsidR="008A6588">
        <w:t>Fladen</w:t>
      </w:r>
      <w:proofErr w:type="spellEnd"/>
      <w:r w:rsidR="008A6588">
        <w:t xml:space="preserve"> already has voluntary management measure in place associated with the SFSAG certification, but the other</w:t>
      </w:r>
      <w:r w:rsidR="006E2591">
        <w:t xml:space="preserve"> MPAs do not</w:t>
      </w:r>
      <w:r w:rsidR="008A6588">
        <w:t xml:space="preserve">. </w:t>
      </w:r>
      <w:r w:rsidR="0029402A">
        <w:t xml:space="preserve">RC </w:t>
      </w:r>
      <w:r w:rsidR="002C5E4D">
        <w:t xml:space="preserve">said that there needs to be a </w:t>
      </w:r>
      <w:r w:rsidR="00E04ADF">
        <w:t>harmonization</w:t>
      </w:r>
      <w:r w:rsidR="002C5E4D">
        <w:t xml:space="preserve"> with the </w:t>
      </w:r>
      <w:r w:rsidR="00BC69CB">
        <w:t xml:space="preserve">SFSAG and </w:t>
      </w:r>
      <w:r w:rsidR="002C5E4D">
        <w:t xml:space="preserve">JDF </w:t>
      </w:r>
      <w:r w:rsidR="00BC69CB">
        <w:t>certificates</w:t>
      </w:r>
      <w:r w:rsidR="002C5E4D">
        <w:t xml:space="preserve">, and their conditions on this. </w:t>
      </w:r>
    </w:p>
    <w:p w14:paraId="3E44FFC2" w14:textId="1B6C5435" w:rsidR="00226586" w:rsidRDefault="00E04ADF" w:rsidP="00DE0C31">
      <w:r>
        <w:t xml:space="preserve">There is currently </w:t>
      </w:r>
      <w:r w:rsidR="006E2591">
        <w:t xml:space="preserve">a Defra </w:t>
      </w:r>
      <w:r>
        <w:t xml:space="preserve">consultation on </w:t>
      </w:r>
      <w:r w:rsidR="00AA1CA5">
        <w:t xml:space="preserve">potential management measures for </w:t>
      </w:r>
      <w:r>
        <w:t>English MPA</w:t>
      </w:r>
      <w:r w:rsidR="00AA1CA5">
        <w:t>s</w:t>
      </w:r>
      <w:r w:rsidR="00C31B0C">
        <w:t>, and</w:t>
      </w:r>
      <w:r>
        <w:t xml:space="preserve"> </w:t>
      </w:r>
      <w:r w:rsidR="00C31B0C">
        <w:t xml:space="preserve">Marine Scotland </w:t>
      </w:r>
      <w:r w:rsidR="00F0591B">
        <w:t xml:space="preserve">is </w:t>
      </w:r>
      <w:r w:rsidR="00C31B0C">
        <w:t xml:space="preserve">expecting to agree management measures by early 2022. </w:t>
      </w:r>
      <w:r w:rsidR="008D5D72">
        <w:t>RC explained that the</w:t>
      </w:r>
      <w:r w:rsidR="006636A3">
        <w:t>re is a</w:t>
      </w:r>
      <w:r w:rsidR="008D5D72">
        <w:t xml:space="preserve"> lag between the MPA </w:t>
      </w:r>
      <w:proofErr w:type="gramStart"/>
      <w:r w:rsidR="006636A3">
        <w:t>designation</w:t>
      </w:r>
      <w:proofErr w:type="gramEnd"/>
      <w:r w:rsidR="008D5D72">
        <w:t xml:space="preserve"> and the </w:t>
      </w:r>
      <w:r w:rsidR="006636A3">
        <w:t>introduction</w:t>
      </w:r>
      <w:r w:rsidR="008D5D72">
        <w:t xml:space="preserve"> </w:t>
      </w:r>
      <w:r w:rsidR="006636A3">
        <w:t>management</w:t>
      </w:r>
      <w:r w:rsidR="008D5D72">
        <w:t xml:space="preserve"> measures</w:t>
      </w:r>
      <w:r w:rsidR="00D7687A">
        <w:t xml:space="preserve">, but </w:t>
      </w:r>
      <w:r w:rsidR="00E629DE">
        <w:t>the</w:t>
      </w:r>
      <w:r w:rsidR="00D7687A">
        <w:t xml:space="preserve"> recent</w:t>
      </w:r>
      <w:r w:rsidR="00E629DE">
        <w:t xml:space="preserve"> consultations may mean there is management in place when this fishery reaches the point of assessment</w:t>
      </w:r>
      <w:r w:rsidR="00D7687A">
        <w:t>.</w:t>
      </w:r>
      <w:r w:rsidR="0014747A">
        <w:t xml:space="preserve"> KCs review should get </w:t>
      </w:r>
      <w:r w:rsidR="00B74910">
        <w:t xml:space="preserve">the habitats action </w:t>
      </w:r>
      <w:r w:rsidR="0014747A">
        <w:t>on track at the annual review</w:t>
      </w:r>
      <w:r w:rsidR="00A21013">
        <w:t>.</w:t>
      </w:r>
      <w:r w:rsidR="00852592">
        <w:t xml:space="preserve"> RC agreed that </w:t>
      </w:r>
      <w:r w:rsidR="00A6036D">
        <w:t>voluntary</w:t>
      </w:r>
      <w:r w:rsidR="00852592">
        <w:t xml:space="preserve"> measures should only be </w:t>
      </w:r>
      <w:r w:rsidR="00A6036D">
        <w:t>introduced</w:t>
      </w:r>
      <w:r w:rsidR="00852592">
        <w:t xml:space="preserve"> i</w:t>
      </w:r>
      <w:r w:rsidR="00A6036D">
        <w:t>f</w:t>
      </w:r>
      <w:r w:rsidR="00852592">
        <w:t xml:space="preserve"> the official measures are delayed.</w:t>
      </w:r>
      <w:r w:rsidR="00AA1CA5" w:rsidRPr="00AA1CA5">
        <w:t xml:space="preserve"> </w:t>
      </w:r>
      <w:r w:rsidR="00AA1CA5">
        <w:t xml:space="preserve">LH explained that MPAs are not an issue for Osprey as their target area </w:t>
      </w:r>
      <w:r w:rsidR="0049198C">
        <w:t>is the</w:t>
      </w:r>
      <w:r w:rsidR="00AA1CA5">
        <w:t xml:space="preserve"> Norwegian border and the Danish area.</w:t>
      </w:r>
    </w:p>
    <w:p w14:paraId="1E7EEC20" w14:textId="68ED26D3" w:rsidR="00B24191" w:rsidRPr="0049198C" w:rsidRDefault="00852592" w:rsidP="00852592">
      <w:pPr>
        <w:pStyle w:val="ActionsArisingTitle"/>
        <w:rPr>
          <w:sz w:val="22"/>
          <w:szCs w:val="22"/>
        </w:rPr>
      </w:pPr>
      <w:r w:rsidRPr="0049198C">
        <w:rPr>
          <w:sz w:val="22"/>
          <w:szCs w:val="22"/>
        </w:rPr>
        <w:t>Actions from Item 6:</w:t>
      </w:r>
    </w:p>
    <w:p w14:paraId="0FB2B098" w14:textId="3D38CC8B" w:rsidR="0065269C" w:rsidRPr="00B801FC" w:rsidRDefault="0049198C" w:rsidP="0049198C">
      <w:pPr>
        <w:pStyle w:val="ListParagraph"/>
        <w:numPr>
          <w:ilvl w:val="0"/>
          <w:numId w:val="9"/>
        </w:numPr>
      </w:pPr>
      <w:r w:rsidRPr="00B801FC">
        <w:t xml:space="preserve">Secretariat to check </w:t>
      </w:r>
      <w:r w:rsidR="00EA056E" w:rsidRPr="00B801FC">
        <w:t xml:space="preserve">the </w:t>
      </w:r>
      <w:r w:rsidR="009F2913" w:rsidRPr="00B801FC">
        <w:t xml:space="preserve">timeline for the Defra and Marine Scotland the consultations </w:t>
      </w:r>
      <w:r w:rsidR="00EA056E" w:rsidRPr="00B801FC">
        <w:t xml:space="preserve">and </w:t>
      </w:r>
      <w:r w:rsidR="00B801FC" w:rsidRPr="00B801FC">
        <w:t xml:space="preserve">implementation for management measures in </w:t>
      </w:r>
      <w:proofErr w:type="gramStart"/>
      <w:r w:rsidR="00B801FC" w:rsidRPr="00B801FC">
        <w:t>MPAs</w:t>
      </w:r>
      <w:r w:rsidR="00127868">
        <w:t>, and</w:t>
      </w:r>
      <w:proofErr w:type="gramEnd"/>
      <w:r w:rsidR="00127868">
        <w:t xml:space="preserve"> inform Steering Group</w:t>
      </w:r>
      <w:r w:rsidR="00B801FC" w:rsidRPr="00B801FC">
        <w:t>.</w:t>
      </w:r>
      <w:r w:rsidR="00852592" w:rsidRPr="00B801FC">
        <w:t xml:space="preserve"> </w:t>
      </w:r>
    </w:p>
    <w:p w14:paraId="03C1D263" w14:textId="77777777" w:rsidR="00A628C4" w:rsidRDefault="00A628C4" w:rsidP="00DA6B04"/>
    <w:p w14:paraId="415B7CFF" w14:textId="3DB0CBA6" w:rsidR="00EC0E9E" w:rsidRDefault="00A628C4" w:rsidP="00EC0E9E">
      <w:pPr>
        <w:pStyle w:val="TItleofAgendaItem"/>
      </w:pPr>
      <w:r>
        <w:t>Any Other Business</w:t>
      </w:r>
    </w:p>
    <w:p w14:paraId="5DAA3652" w14:textId="11527E7A" w:rsidR="00DA6B04" w:rsidRDefault="00DA6B04" w:rsidP="00A628C4"/>
    <w:p w14:paraId="5A91B380" w14:textId="77777777" w:rsidR="009431C1" w:rsidRPr="00A628C4" w:rsidRDefault="009431C1" w:rsidP="00A628C4"/>
    <w:tbl>
      <w:tblPr>
        <w:tblStyle w:val="TableGrid"/>
        <w:tblW w:w="5000"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503"/>
        <w:gridCol w:w="6371"/>
        <w:gridCol w:w="2142"/>
      </w:tblGrid>
      <w:tr w:rsidR="00FB1413" w:rsidRPr="00A85A75" w14:paraId="2CFD3AFD" w14:textId="77777777" w:rsidTr="00FB1413">
        <w:tc>
          <w:tcPr>
            <w:tcW w:w="279" w:type="pct"/>
            <w:shd w:val="clear" w:color="auto" w:fill="1B98C7"/>
          </w:tcPr>
          <w:p w14:paraId="4CED864F" w14:textId="77777777" w:rsidR="00FB1413" w:rsidRPr="00A85A75" w:rsidRDefault="00FB1413" w:rsidP="00AE0C52">
            <w:pPr>
              <w:pStyle w:val="TableHeading"/>
              <w:spacing w:before="120" w:after="120"/>
            </w:pPr>
          </w:p>
        </w:tc>
        <w:tc>
          <w:tcPr>
            <w:tcW w:w="3533" w:type="pct"/>
            <w:shd w:val="clear" w:color="auto" w:fill="1B98C7"/>
          </w:tcPr>
          <w:p w14:paraId="4F466103" w14:textId="1D2867CA" w:rsidR="00FB1413" w:rsidRPr="00A85A75" w:rsidRDefault="00FB1413" w:rsidP="00AE0C52">
            <w:pPr>
              <w:pStyle w:val="TableHeading"/>
              <w:spacing w:before="120" w:after="120"/>
            </w:pPr>
            <w:r w:rsidRPr="00A85A75">
              <w:t xml:space="preserve">Actions </w:t>
            </w:r>
            <w:r>
              <w:t>Arising</w:t>
            </w:r>
          </w:p>
        </w:tc>
        <w:tc>
          <w:tcPr>
            <w:tcW w:w="1188" w:type="pct"/>
            <w:shd w:val="clear" w:color="auto" w:fill="1B98C7"/>
          </w:tcPr>
          <w:p w14:paraId="5A048189" w14:textId="77777777" w:rsidR="00FB1413" w:rsidRPr="00A85A75" w:rsidRDefault="00FB1413" w:rsidP="00AE0C52">
            <w:pPr>
              <w:pStyle w:val="TableHeading"/>
              <w:spacing w:before="120" w:after="120"/>
            </w:pPr>
            <w:r w:rsidRPr="00A85A75">
              <w:t>Responsibility</w:t>
            </w:r>
          </w:p>
        </w:tc>
      </w:tr>
      <w:tr w:rsidR="00FB1413" w14:paraId="596D1C93" w14:textId="77777777" w:rsidTr="00FB1413">
        <w:tc>
          <w:tcPr>
            <w:tcW w:w="279" w:type="pct"/>
          </w:tcPr>
          <w:p w14:paraId="09CCC69E" w14:textId="77777777" w:rsidR="00FB1413" w:rsidRPr="00083AC4" w:rsidRDefault="00FB1413" w:rsidP="001C6D3C">
            <w:pPr>
              <w:pStyle w:val="TableText"/>
            </w:pPr>
            <w:r w:rsidRPr="00083AC4">
              <w:t>1</w:t>
            </w:r>
          </w:p>
        </w:tc>
        <w:tc>
          <w:tcPr>
            <w:tcW w:w="3533" w:type="pct"/>
          </w:tcPr>
          <w:p w14:paraId="37D9403E" w14:textId="77777777" w:rsidR="00757B51" w:rsidRPr="00F47E64" w:rsidRDefault="00757B51" w:rsidP="00757B51">
            <w:pPr>
              <w:pStyle w:val="ActionsArisingTitle"/>
              <w:rPr>
                <w:sz w:val="22"/>
                <w:szCs w:val="22"/>
              </w:rPr>
            </w:pPr>
            <w:r w:rsidRPr="00F47E64">
              <w:rPr>
                <w:sz w:val="22"/>
                <w:szCs w:val="22"/>
              </w:rPr>
              <w:t>Actions from Item 1:</w:t>
            </w:r>
          </w:p>
          <w:p w14:paraId="2482633E" w14:textId="77777777" w:rsidR="00757B51" w:rsidRPr="009028CD" w:rsidRDefault="00757B51" w:rsidP="00757B51">
            <w:pPr>
              <w:pStyle w:val="ListParagraph"/>
              <w:numPr>
                <w:ilvl w:val="0"/>
                <w:numId w:val="10"/>
              </w:numPr>
            </w:pPr>
            <w:r w:rsidRPr="009028CD">
              <w:t xml:space="preserve">Secretariat to help the Steering Group draft a Terms of Reference for a P1 expert to review the WKLIFE Category three assessment methodologies and the redrafted DLS methodology, including whether the latest ICES report (fig.2) would be sufficient to score lemon sole without the RBF methodology. </w:t>
            </w:r>
          </w:p>
          <w:p w14:paraId="3925F766" w14:textId="77777777" w:rsidR="00757B51" w:rsidRPr="001149F4" w:rsidRDefault="00757B51" w:rsidP="00757B51">
            <w:pPr>
              <w:pStyle w:val="ListParagraph"/>
              <w:numPr>
                <w:ilvl w:val="0"/>
                <w:numId w:val="10"/>
              </w:numPr>
              <w:rPr>
                <w:b/>
                <w:bCs/>
              </w:rPr>
            </w:pPr>
            <w:r w:rsidRPr="009028CD">
              <w:t>RC to provide recommendations for P1 assessors to undertake the assessment review</w:t>
            </w:r>
            <w:r w:rsidRPr="00757B51">
              <w:t>.</w:t>
            </w:r>
          </w:p>
          <w:p w14:paraId="0FEC528D" w14:textId="77777777" w:rsidR="00FB1413" w:rsidRPr="00A048AE" w:rsidRDefault="00FB1413" w:rsidP="001C6D3C">
            <w:pPr>
              <w:pStyle w:val="TableText"/>
            </w:pPr>
          </w:p>
        </w:tc>
        <w:tc>
          <w:tcPr>
            <w:tcW w:w="1188" w:type="pct"/>
          </w:tcPr>
          <w:p w14:paraId="4F7B0C39" w14:textId="77777777" w:rsidR="00FB1413" w:rsidRDefault="00FB1413" w:rsidP="001C6D3C">
            <w:pPr>
              <w:pStyle w:val="TableText"/>
            </w:pPr>
          </w:p>
          <w:p w14:paraId="54FD8C96" w14:textId="77777777" w:rsidR="00757B51" w:rsidRDefault="00757B51" w:rsidP="001C6D3C">
            <w:pPr>
              <w:pStyle w:val="TableText"/>
            </w:pPr>
          </w:p>
          <w:p w14:paraId="669B3F4E" w14:textId="77777777" w:rsidR="00757B51" w:rsidRDefault="00757B51" w:rsidP="001C6D3C">
            <w:pPr>
              <w:pStyle w:val="TableText"/>
            </w:pPr>
            <w:r>
              <w:t xml:space="preserve">Secretariat </w:t>
            </w:r>
          </w:p>
          <w:p w14:paraId="48428D9A" w14:textId="77777777" w:rsidR="00757B51" w:rsidRDefault="00757B51" w:rsidP="001C6D3C">
            <w:pPr>
              <w:pStyle w:val="TableText"/>
            </w:pPr>
          </w:p>
          <w:p w14:paraId="5F01B035" w14:textId="77777777" w:rsidR="00757B51" w:rsidRDefault="00757B51" w:rsidP="001C6D3C">
            <w:pPr>
              <w:pStyle w:val="TableText"/>
            </w:pPr>
          </w:p>
          <w:p w14:paraId="2EC41C3D" w14:textId="77777777" w:rsidR="00757B51" w:rsidRDefault="00757B51" w:rsidP="001C6D3C">
            <w:pPr>
              <w:pStyle w:val="TableText"/>
            </w:pPr>
          </w:p>
          <w:p w14:paraId="16A9BE9C" w14:textId="77777777" w:rsidR="00757B51" w:rsidRDefault="00757B51" w:rsidP="001C6D3C">
            <w:pPr>
              <w:pStyle w:val="TableText"/>
            </w:pPr>
          </w:p>
          <w:p w14:paraId="34720A48" w14:textId="77777777" w:rsidR="00757B51" w:rsidRDefault="00757B51" w:rsidP="001C6D3C">
            <w:pPr>
              <w:pStyle w:val="TableText"/>
            </w:pPr>
          </w:p>
          <w:p w14:paraId="4A881211" w14:textId="77777777" w:rsidR="00757B51" w:rsidRDefault="00757B51" w:rsidP="001C6D3C">
            <w:pPr>
              <w:pStyle w:val="TableText"/>
            </w:pPr>
          </w:p>
          <w:p w14:paraId="782792B5" w14:textId="20C15CF0" w:rsidR="00757B51" w:rsidRPr="00A048AE" w:rsidRDefault="00757B51" w:rsidP="001C6D3C">
            <w:pPr>
              <w:pStyle w:val="TableText"/>
            </w:pPr>
            <w:r>
              <w:t>RC</w:t>
            </w:r>
          </w:p>
        </w:tc>
      </w:tr>
      <w:tr w:rsidR="00FB1413" w14:paraId="3BC3B96A" w14:textId="77777777" w:rsidTr="00FB1413">
        <w:tc>
          <w:tcPr>
            <w:tcW w:w="279" w:type="pct"/>
          </w:tcPr>
          <w:p w14:paraId="49EE2418" w14:textId="77777777" w:rsidR="00FB1413" w:rsidRPr="00083AC4" w:rsidRDefault="00FB1413" w:rsidP="001C6D3C">
            <w:pPr>
              <w:pStyle w:val="TableText"/>
            </w:pPr>
            <w:r w:rsidRPr="00083AC4">
              <w:t>2</w:t>
            </w:r>
          </w:p>
        </w:tc>
        <w:tc>
          <w:tcPr>
            <w:tcW w:w="3533" w:type="pct"/>
          </w:tcPr>
          <w:p w14:paraId="78C90604" w14:textId="77777777" w:rsidR="00757B51" w:rsidRPr="00ED3992" w:rsidRDefault="00757B51" w:rsidP="00757B51">
            <w:pPr>
              <w:pStyle w:val="ActionsArisingTitle"/>
              <w:rPr>
                <w:sz w:val="22"/>
                <w:szCs w:val="22"/>
              </w:rPr>
            </w:pPr>
            <w:r w:rsidRPr="00ED3992">
              <w:rPr>
                <w:sz w:val="22"/>
                <w:szCs w:val="22"/>
              </w:rPr>
              <w:t>Actions from Item 2:</w:t>
            </w:r>
          </w:p>
          <w:p w14:paraId="52F8C9C1" w14:textId="77777777" w:rsidR="00757B51" w:rsidRPr="00946A91" w:rsidRDefault="00757B51" w:rsidP="00757B51">
            <w:pPr>
              <w:pStyle w:val="ListParagraph"/>
              <w:numPr>
                <w:ilvl w:val="0"/>
                <w:numId w:val="11"/>
              </w:numPr>
              <w:rPr>
                <w:b/>
                <w:bCs/>
              </w:rPr>
            </w:pPr>
            <w:r w:rsidRPr="00946A91">
              <w:t>Secretariat to speak with the MSC Benelux office to understand whether the addition of lemon</w:t>
            </w:r>
            <w:r>
              <w:t xml:space="preserve"> sole has already been considered by the JDF fishery.</w:t>
            </w:r>
          </w:p>
          <w:p w14:paraId="2D60C629" w14:textId="77777777" w:rsidR="00757B51" w:rsidRPr="00ED3992" w:rsidRDefault="00757B51" w:rsidP="00757B51">
            <w:pPr>
              <w:pStyle w:val="ListParagraph"/>
              <w:numPr>
                <w:ilvl w:val="0"/>
                <w:numId w:val="11"/>
              </w:numPr>
            </w:pPr>
            <w:r w:rsidRPr="00ED3992">
              <w:t xml:space="preserve">BL/CM to update the FMP with figures for Osprey and SFSAG TAC uptake, and details of KC’s harvest strategy. </w:t>
            </w:r>
          </w:p>
          <w:p w14:paraId="4FEB8DC0" w14:textId="77777777" w:rsidR="00FB1413" w:rsidRPr="00757B51" w:rsidRDefault="00FB1413" w:rsidP="001C6D3C">
            <w:pPr>
              <w:pStyle w:val="TableText"/>
              <w:rPr>
                <w:b/>
                <w:bCs/>
              </w:rPr>
            </w:pPr>
          </w:p>
        </w:tc>
        <w:tc>
          <w:tcPr>
            <w:tcW w:w="1188" w:type="pct"/>
          </w:tcPr>
          <w:p w14:paraId="54A1A8D7" w14:textId="77777777" w:rsidR="00FB1413" w:rsidRDefault="00FB1413" w:rsidP="001C6D3C">
            <w:pPr>
              <w:pStyle w:val="TableText"/>
            </w:pPr>
          </w:p>
          <w:p w14:paraId="4E927004" w14:textId="77777777" w:rsidR="00757B51" w:rsidRDefault="00757B51" w:rsidP="001C6D3C">
            <w:pPr>
              <w:pStyle w:val="TableText"/>
            </w:pPr>
          </w:p>
          <w:p w14:paraId="043D85C6" w14:textId="77777777" w:rsidR="00757B51" w:rsidRDefault="00757B51" w:rsidP="001C6D3C">
            <w:pPr>
              <w:pStyle w:val="TableText"/>
            </w:pPr>
            <w:r>
              <w:t>Secretariat</w:t>
            </w:r>
          </w:p>
          <w:p w14:paraId="3F3BAA64" w14:textId="77777777" w:rsidR="00757B51" w:rsidRDefault="00757B51" w:rsidP="001C6D3C">
            <w:pPr>
              <w:pStyle w:val="TableText"/>
            </w:pPr>
          </w:p>
          <w:p w14:paraId="1F1A921D" w14:textId="77777777" w:rsidR="00757B51" w:rsidRDefault="00757B51" w:rsidP="001C6D3C">
            <w:pPr>
              <w:pStyle w:val="TableText"/>
            </w:pPr>
          </w:p>
          <w:p w14:paraId="71C3EAB4" w14:textId="77777777" w:rsidR="00757B51" w:rsidRDefault="00757B51" w:rsidP="001C6D3C">
            <w:pPr>
              <w:pStyle w:val="TableText"/>
            </w:pPr>
          </w:p>
          <w:p w14:paraId="1AA9E135" w14:textId="1F17FE19" w:rsidR="00757B51" w:rsidRPr="00A048AE" w:rsidRDefault="00757B51" w:rsidP="001C6D3C">
            <w:pPr>
              <w:pStyle w:val="TableText"/>
            </w:pPr>
            <w:r>
              <w:t>BL/CM</w:t>
            </w:r>
          </w:p>
        </w:tc>
      </w:tr>
      <w:tr w:rsidR="00FB1413" w14:paraId="55E38D0D" w14:textId="77777777" w:rsidTr="00FB1413">
        <w:tc>
          <w:tcPr>
            <w:tcW w:w="279" w:type="pct"/>
          </w:tcPr>
          <w:p w14:paraId="5EACE355" w14:textId="77777777" w:rsidR="00FB1413" w:rsidRPr="00083AC4" w:rsidRDefault="00FB1413" w:rsidP="001C6D3C">
            <w:pPr>
              <w:pStyle w:val="TableText"/>
            </w:pPr>
            <w:r w:rsidRPr="00083AC4">
              <w:t>3</w:t>
            </w:r>
          </w:p>
        </w:tc>
        <w:tc>
          <w:tcPr>
            <w:tcW w:w="3533" w:type="pct"/>
          </w:tcPr>
          <w:p w14:paraId="2F90B8C6" w14:textId="77777777" w:rsidR="00757B51" w:rsidRPr="00A9552E" w:rsidRDefault="00757B51" w:rsidP="00757B51">
            <w:pPr>
              <w:pStyle w:val="ActionsArisingTitle"/>
              <w:rPr>
                <w:sz w:val="22"/>
                <w:szCs w:val="22"/>
              </w:rPr>
            </w:pPr>
            <w:r w:rsidRPr="00A9552E">
              <w:rPr>
                <w:sz w:val="22"/>
                <w:szCs w:val="22"/>
              </w:rPr>
              <w:t>Actions from Item 3:</w:t>
            </w:r>
          </w:p>
          <w:p w14:paraId="5E0D6064" w14:textId="77777777" w:rsidR="00757B51" w:rsidRDefault="00757B51" w:rsidP="00757B51">
            <w:pPr>
              <w:pStyle w:val="ListParagraph"/>
              <w:numPr>
                <w:ilvl w:val="0"/>
                <w:numId w:val="12"/>
              </w:numPr>
            </w:pPr>
            <w:r>
              <w:lastRenderedPageBreak/>
              <w:t xml:space="preserve"> RC to discuss a suitable approach to </w:t>
            </w:r>
            <w:r w:rsidRPr="000C01D9">
              <w:rPr>
                <w:i/>
                <w:iCs/>
              </w:rPr>
              <w:t>Ne</w:t>
            </w:r>
            <w:r>
              <w:rPr>
                <w:i/>
                <w:iCs/>
              </w:rPr>
              <w:t>p</w:t>
            </w:r>
            <w:r w:rsidRPr="000C01D9">
              <w:rPr>
                <w:i/>
                <w:iCs/>
              </w:rPr>
              <w:t>hrops</w:t>
            </w:r>
            <w:r>
              <w:t xml:space="preserve"> with Fiona Nimmo ahead of the annual review.</w:t>
            </w:r>
          </w:p>
          <w:p w14:paraId="299A2D31" w14:textId="77777777" w:rsidR="00FB1413" w:rsidRPr="00A048AE" w:rsidRDefault="00FB1413" w:rsidP="001C6D3C">
            <w:pPr>
              <w:pStyle w:val="TableText"/>
            </w:pPr>
          </w:p>
        </w:tc>
        <w:tc>
          <w:tcPr>
            <w:tcW w:w="1188" w:type="pct"/>
          </w:tcPr>
          <w:p w14:paraId="03D152B6" w14:textId="77777777" w:rsidR="00FB1413" w:rsidRDefault="00FB1413" w:rsidP="001C6D3C">
            <w:pPr>
              <w:pStyle w:val="TableText"/>
            </w:pPr>
          </w:p>
          <w:p w14:paraId="1DF8761A" w14:textId="77777777" w:rsidR="00757B51" w:rsidRDefault="00757B51" w:rsidP="001C6D3C">
            <w:pPr>
              <w:pStyle w:val="TableText"/>
            </w:pPr>
          </w:p>
          <w:p w14:paraId="68CEC3D5" w14:textId="77777777" w:rsidR="00757B51" w:rsidRDefault="00757B51" w:rsidP="001C6D3C">
            <w:pPr>
              <w:pStyle w:val="TableText"/>
            </w:pPr>
          </w:p>
          <w:p w14:paraId="12DE1D38" w14:textId="77777777" w:rsidR="00757B51" w:rsidRDefault="00757B51" w:rsidP="001C6D3C">
            <w:pPr>
              <w:pStyle w:val="TableText"/>
            </w:pPr>
          </w:p>
          <w:p w14:paraId="1AC46734" w14:textId="0121B492" w:rsidR="00757B51" w:rsidRPr="00A048AE" w:rsidRDefault="00757B51" w:rsidP="001C6D3C">
            <w:pPr>
              <w:pStyle w:val="TableText"/>
            </w:pPr>
            <w:r>
              <w:lastRenderedPageBreak/>
              <w:t>RC</w:t>
            </w:r>
          </w:p>
        </w:tc>
      </w:tr>
      <w:tr w:rsidR="00FB1413" w14:paraId="255699E3" w14:textId="77777777" w:rsidTr="00FB1413">
        <w:tc>
          <w:tcPr>
            <w:tcW w:w="279" w:type="pct"/>
          </w:tcPr>
          <w:p w14:paraId="15A72017" w14:textId="77777777" w:rsidR="00FB1413" w:rsidRPr="00083AC4" w:rsidRDefault="00FB1413" w:rsidP="001C6D3C">
            <w:pPr>
              <w:pStyle w:val="TableText"/>
            </w:pPr>
            <w:r w:rsidRPr="00083AC4">
              <w:lastRenderedPageBreak/>
              <w:t>4</w:t>
            </w:r>
          </w:p>
        </w:tc>
        <w:tc>
          <w:tcPr>
            <w:tcW w:w="3533" w:type="pct"/>
          </w:tcPr>
          <w:p w14:paraId="2CC6EFC8" w14:textId="77777777" w:rsidR="00757B51" w:rsidRPr="00A9552E" w:rsidRDefault="00757B51" w:rsidP="00757B51">
            <w:pPr>
              <w:pStyle w:val="ActionsArisingTitle"/>
              <w:rPr>
                <w:sz w:val="22"/>
                <w:szCs w:val="22"/>
              </w:rPr>
            </w:pPr>
            <w:r w:rsidRPr="00A9552E">
              <w:rPr>
                <w:sz w:val="22"/>
                <w:szCs w:val="22"/>
              </w:rPr>
              <w:t>Actions from Item 4:</w:t>
            </w:r>
          </w:p>
          <w:p w14:paraId="66E99E13" w14:textId="77777777" w:rsidR="00757B51" w:rsidRDefault="00757B51" w:rsidP="00757B51">
            <w:pPr>
              <w:pStyle w:val="ListParagraph"/>
              <w:numPr>
                <w:ilvl w:val="0"/>
                <w:numId w:val="13"/>
              </w:numPr>
            </w:pPr>
            <w:r>
              <w:t xml:space="preserve"> BL and CM to finalise the alternative measures report, including grading information, and circulate to the Steering </w:t>
            </w:r>
            <w:proofErr w:type="gramStart"/>
            <w:r>
              <w:t>Group</w:t>
            </w:r>
            <w:proofErr w:type="gramEnd"/>
          </w:p>
          <w:p w14:paraId="2B62379D" w14:textId="77777777" w:rsidR="00757B51" w:rsidRDefault="00757B51" w:rsidP="00757B51">
            <w:pPr>
              <w:pStyle w:val="ListParagraph"/>
              <w:numPr>
                <w:ilvl w:val="0"/>
                <w:numId w:val="13"/>
              </w:numPr>
            </w:pPr>
            <w:r>
              <w:t xml:space="preserve">Secretariat to have Defra review the alternative measures </w:t>
            </w:r>
            <w:proofErr w:type="gramStart"/>
            <w:r>
              <w:t>report</w:t>
            </w:r>
            <w:proofErr w:type="gramEnd"/>
          </w:p>
          <w:p w14:paraId="4786C934" w14:textId="77777777" w:rsidR="00FB1413" w:rsidRPr="00A048AE" w:rsidRDefault="00FB1413" w:rsidP="001C6D3C">
            <w:pPr>
              <w:pStyle w:val="TableText"/>
            </w:pPr>
          </w:p>
        </w:tc>
        <w:tc>
          <w:tcPr>
            <w:tcW w:w="1188" w:type="pct"/>
          </w:tcPr>
          <w:p w14:paraId="28D7BF14" w14:textId="77777777" w:rsidR="00FB1413" w:rsidRDefault="00FB1413" w:rsidP="001C6D3C">
            <w:pPr>
              <w:pStyle w:val="TableText"/>
            </w:pPr>
          </w:p>
          <w:p w14:paraId="2155AF3C" w14:textId="77777777" w:rsidR="00757B51" w:rsidRDefault="00757B51" w:rsidP="001C6D3C">
            <w:pPr>
              <w:pStyle w:val="TableText"/>
            </w:pPr>
          </w:p>
          <w:p w14:paraId="1CE17805" w14:textId="77777777" w:rsidR="00757B51" w:rsidRDefault="00757B51" w:rsidP="001C6D3C">
            <w:pPr>
              <w:pStyle w:val="TableText"/>
            </w:pPr>
            <w:r>
              <w:t>BL/CM</w:t>
            </w:r>
          </w:p>
          <w:p w14:paraId="1CBC9F1B" w14:textId="77777777" w:rsidR="00757B51" w:rsidRDefault="00757B51" w:rsidP="001C6D3C">
            <w:pPr>
              <w:pStyle w:val="TableText"/>
            </w:pPr>
          </w:p>
          <w:p w14:paraId="5F987577" w14:textId="77777777" w:rsidR="00757B51" w:rsidRDefault="00757B51" w:rsidP="001C6D3C">
            <w:pPr>
              <w:pStyle w:val="TableText"/>
            </w:pPr>
          </w:p>
          <w:p w14:paraId="6D941991" w14:textId="77777777" w:rsidR="00757B51" w:rsidRDefault="00757B51" w:rsidP="001C6D3C">
            <w:pPr>
              <w:pStyle w:val="TableText"/>
            </w:pPr>
          </w:p>
          <w:p w14:paraId="18E1A83C" w14:textId="65A5CA7B" w:rsidR="00757B51" w:rsidRPr="00A048AE" w:rsidRDefault="00757B51" w:rsidP="001C6D3C">
            <w:pPr>
              <w:pStyle w:val="TableText"/>
            </w:pPr>
            <w:r>
              <w:t>Secretariat</w:t>
            </w:r>
          </w:p>
        </w:tc>
      </w:tr>
      <w:tr w:rsidR="00FB1413" w14:paraId="7B1A4C48" w14:textId="77777777" w:rsidTr="00FB1413">
        <w:tc>
          <w:tcPr>
            <w:tcW w:w="279" w:type="pct"/>
          </w:tcPr>
          <w:p w14:paraId="065A6033" w14:textId="77777777" w:rsidR="00FB1413" w:rsidRPr="00083AC4" w:rsidRDefault="00FB1413" w:rsidP="001C6D3C">
            <w:pPr>
              <w:pStyle w:val="TableText"/>
            </w:pPr>
            <w:r w:rsidRPr="00083AC4">
              <w:t>5</w:t>
            </w:r>
          </w:p>
        </w:tc>
        <w:tc>
          <w:tcPr>
            <w:tcW w:w="3533" w:type="pct"/>
          </w:tcPr>
          <w:p w14:paraId="0B8477F4" w14:textId="77777777" w:rsidR="00757B51" w:rsidRPr="001468FE" w:rsidRDefault="00757B51" w:rsidP="00757B51">
            <w:pPr>
              <w:pStyle w:val="ActionsArisingTitle"/>
              <w:rPr>
                <w:sz w:val="22"/>
                <w:szCs w:val="22"/>
              </w:rPr>
            </w:pPr>
            <w:r w:rsidRPr="001468FE">
              <w:rPr>
                <w:sz w:val="22"/>
                <w:szCs w:val="22"/>
              </w:rPr>
              <w:t xml:space="preserve">Actions from Item </w:t>
            </w:r>
            <w:r>
              <w:rPr>
                <w:sz w:val="22"/>
                <w:szCs w:val="22"/>
              </w:rPr>
              <w:t>5</w:t>
            </w:r>
            <w:r w:rsidRPr="001468FE">
              <w:rPr>
                <w:sz w:val="22"/>
                <w:szCs w:val="22"/>
              </w:rPr>
              <w:t>:</w:t>
            </w:r>
          </w:p>
          <w:p w14:paraId="73FA90A6" w14:textId="77777777" w:rsidR="00757B51" w:rsidRPr="00757B51" w:rsidRDefault="00757B51" w:rsidP="00757B51">
            <w:pPr>
              <w:pStyle w:val="ListParagraph"/>
              <w:numPr>
                <w:ilvl w:val="0"/>
                <w:numId w:val="14"/>
              </w:numPr>
            </w:pPr>
            <w:r w:rsidRPr="00757B51">
              <w:t xml:space="preserve">WD to add KCs justifications, </w:t>
            </w:r>
            <w:proofErr w:type="gramStart"/>
            <w:r w:rsidRPr="00757B51">
              <w:t>evidence</w:t>
            </w:r>
            <w:proofErr w:type="gramEnd"/>
            <w:r w:rsidRPr="00757B51">
              <w:t xml:space="preserve"> and rationale into the ETP list and circulate to the Steering Group for feedback before the annual review. </w:t>
            </w:r>
          </w:p>
          <w:p w14:paraId="6E8C154E" w14:textId="77777777" w:rsidR="00757B51" w:rsidRPr="00757B51" w:rsidRDefault="00757B51" w:rsidP="00757B51">
            <w:pPr>
              <w:pStyle w:val="ListParagraph"/>
              <w:numPr>
                <w:ilvl w:val="0"/>
                <w:numId w:val="14"/>
              </w:numPr>
            </w:pPr>
            <w:r w:rsidRPr="00757B51">
              <w:t>CM/BL to add the ETP list and management measures into the alternative measures report.</w:t>
            </w:r>
          </w:p>
          <w:p w14:paraId="0F1A4BD9" w14:textId="77777777" w:rsidR="00757B51" w:rsidRPr="00757B51" w:rsidRDefault="00757B51" w:rsidP="00757B51">
            <w:pPr>
              <w:pStyle w:val="ListParagraph"/>
              <w:numPr>
                <w:ilvl w:val="0"/>
                <w:numId w:val="14"/>
              </w:numPr>
            </w:pPr>
            <w:r w:rsidRPr="00757B51">
              <w:t xml:space="preserve">LH to ask the Osprey observer for the </w:t>
            </w:r>
            <w:proofErr w:type="gramStart"/>
            <w:r w:rsidRPr="00757B51">
              <w:t>current status</w:t>
            </w:r>
            <w:proofErr w:type="gramEnd"/>
            <w:r w:rsidRPr="00757B51">
              <w:t xml:space="preserve"> of their starry ray condition and share with the Steering Group.</w:t>
            </w:r>
          </w:p>
          <w:p w14:paraId="542949FC" w14:textId="77777777" w:rsidR="00FB1413" w:rsidRPr="00A048AE" w:rsidRDefault="00FB1413" w:rsidP="001C6D3C">
            <w:pPr>
              <w:pStyle w:val="TableText"/>
            </w:pPr>
          </w:p>
        </w:tc>
        <w:tc>
          <w:tcPr>
            <w:tcW w:w="1188" w:type="pct"/>
          </w:tcPr>
          <w:p w14:paraId="0991F948" w14:textId="77777777" w:rsidR="00FB1413" w:rsidRDefault="00FB1413" w:rsidP="001C6D3C">
            <w:pPr>
              <w:pStyle w:val="TableText"/>
            </w:pPr>
          </w:p>
          <w:p w14:paraId="7E064A05" w14:textId="77777777" w:rsidR="00757B51" w:rsidRDefault="00757B51" w:rsidP="001C6D3C">
            <w:pPr>
              <w:pStyle w:val="TableText"/>
            </w:pPr>
          </w:p>
          <w:p w14:paraId="48605D14" w14:textId="77777777" w:rsidR="00757B51" w:rsidRDefault="00757B51" w:rsidP="001C6D3C">
            <w:pPr>
              <w:pStyle w:val="TableText"/>
            </w:pPr>
          </w:p>
          <w:p w14:paraId="5A9BBC86" w14:textId="77777777" w:rsidR="00757B51" w:rsidRDefault="00757B51" w:rsidP="001C6D3C">
            <w:pPr>
              <w:pStyle w:val="TableText"/>
            </w:pPr>
            <w:r>
              <w:t>WD</w:t>
            </w:r>
          </w:p>
          <w:p w14:paraId="3C276A5C" w14:textId="77777777" w:rsidR="00757B51" w:rsidRDefault="00757B51" w:rsidP="001C6D3C">
            <w:pPr>
              <w:pStyle w:val="TableText"/>
            </w:pPr>
          </w:p>
          <w:p w14:paraId="5027C429" w14:textId="77777777" w:rsidR="00757B51" w:rsidRDefault="00757B51" w:rsidP="001C6D3C">
            <w:pPr>
              <w:pStyle w:val="TableText"/>
            </w:pPr>
          </w:p>
          <w:p w14:paraId="1E110DC1" w14:textId="77777777" w:rsidR="00757B51" w:rsidRDefault="00757B51" w:rsidP="001C6D3C">
            <w:pPr>
              <w:pStyle w:val="TableText"/>
            </w:pPr>
            <w:r>
              <w:t>CM/BL</w:t>
            </w:r>
          </w:p>
          <w:p w14:paraId="0B59F039" w14:textId="77777777" w:rsidR="00757B51" w:rsidRDefault="00757B51" w:rsidP="001C6D3C">
            <w:pPr>
              <w:pStyle w:val="TableText"/>
            </w:pPr>
          </w:p>
          <w:p w14:paraId="4F0830FF" w14:textId="772925A0" w:rsidR="00757B51" w:rsidRPr="00A048AE" w:rsidRDefault="00757B51" w:rsidP="001C6D3C">
            <w:pPr>
              <w:pStyle w:val="TableText"/>
            </w:pPr>
            <w:r>
              <w:t>LH</w:t>
            </w:r>
          </w:p>
        </w:tc>
      </w:tr>
      <w:tr w:rsidR="00757B51" w14:paraId="7D62173C" w14:textId="77777777" w:rsidTr="00FB1413">
        <w:tc>
          <w:tcPr>
            <w:tcW w:w="279" w:type="pct"/>
          </w:tcPr>
          <w:p w14:paraId="212CF65F" w14:textId="37224BAA" w:rsidR="00757B51" w:rsidRPr="00083AC4" w:rsidRDefault="00757B51" w:rsidP="001C6D3C">
            <w:pPr>
              <w:pStyle w:val="TableText"/>
            </w:pPr>
            <w:r>
              <w:t>6</w:t>
            </w:r>
          </w:p>
        </w:tc>
        <w:tc>
          <w:tcPr>
            <w:tcW w:w="3533" w:type="pct"/>
          </w:tcPr>
          <w:p w14:paraId="3D979E66" w14:textId="77777777" w:rsidR="00757B51" w:rsidRPr="0049198C" w:rsidRDefault="00757B51" w:rsidP="00757B51">
            <w:pPr>
              <w:pStyle w:val="ActionsArisingTitle"/>
              <w:rPr>
                <w:sz w:val="22"/>
                <w:szCs w:val="22"/>
              </w:rPr>
            </w:pPr>
            <w:r w:rsidRPr="0049198C">
              <w:rPr>
                <w:sz w:val="22"/>
                <w:szCs w:val="22"/>
              </w:rPr>
              <w:t>Actions from Item 6:</w:t>
            </w:r>
          </w:p>
          <w:p w14:paraId="7CA48837" w14:textId="77777777" w:rsidR="00757B51" w:rsidRPr="00B801FC" w:rsidRDefault="00757B51" w:rsidP="00757B51">
            <w:pPr>
              <w:pStyle w:val="ListParagraph"/>
              <w:numPr>
                <w:ilvl w:val="0"/>
                <w:numId w:val="15"/>
              </w:numPr>
            </w:pPr>
            <w:r w:rsidRPr="00B801FC">
              <w:t xml:space="preserve">Secretariat to check the timeline for the Defra and Marine Scotland the consultations and implementation for management measures in </w:t>
            </w:r>
            <w:proofErr w:type="gramStart"/>
            <w:r w:rsidRPr="00B801FC">
              <w:t>MPAs</w:t>
            </w:r>
            <w:r>
              <w:t>, and</w:t>
            </w:r>
            <w:proofErr w:type="gramEnd"/>
            <w:r>
              <w:t xml:space="preserve"> inform Steering Group</w:t>
            </w:r>
            <w:r w:rsidRPr="00B801FC">
              <w:t xml:space="preserve">. </w:t>
            </w:r>
          </w:p>
          <w:p w14:paraId="54F46C55" w14:textId="77777777" w:rsidR="00757B51" w:rsidRPr="001468FE" w:rsidRDefault="00757B51" w:rsidP="00757B51">
            <w:pPr>
              <w:pStyle w:val="ActionsArisingTitle"/>
              <w:rPr>
                <w:sz w:val="22"/>
                <w:szCs w:val="22"/>
              </w:rPr>
            </w:pPr>
          </w:p>
        </w:tc>
        <w:tc>
          <w:tcPr>
            <w:tcW w:w="1188" w:type="pct"/>
          </w:tcPr>
          <w:p w14:paraId="7D605CFC" w14:textId="77777777" w:rsidR="00757B51" w:rsidRDefault="00757B51" w:rsidP="001C6D3C">
            <w:pPr>
              <w:pStyle w:val="TableText"/>
            </w:pPr>
          </w:p>
          <w:p w14:paraId="3F5FC79B" w14:textId="77777777" w:rsidR="00757B51" w:rsidRDefault="00757B51" w:rsidP="001C6D3C">
            <w:pPr>
              <w:pStyle w:val="TableText"/>
            </w:pPr>
          </w:p>
          <w:p w14:paraId="437D83E4" w14:textId="77777777" w:rsidR="00757B51" w:rsidRDefault="00757B51" w:rsidP="001C6D3C">
            <w:pPr>
              <w:pStyle w:val="TableText"/>
            </w:pPr>
          </w:p>
          <w:p w14:paraId="3FECE035" w14:textId="41399586" w:rsidR="00757B51" w:rsidRPr="00A048AE" w:rsidRDefault="00757B51" w:rsidP="001C6D3C">
            <w:pPr>
              <w:pStyle w:val="TableText"/>
            </w:pPr>
            <w:r>
              <w:t>Secretariat</w:t>
            </w:r>
          </w:p>
        </w:tc>
      </w:tr>
    </w:tbl>
    <w:p w14:paraId="330301D1" w14:textId="5958A313" w:rsidR="00A85A75" w:rsidRDefault="00A85A75" w:rsidP="00F42911"/>
    <w:p w14:paraId="3874F668" w14:textId="7A1DB9D6" w:rsidR="00120C87" w:rsidRPr="00120C87" w:rsidRDefault="00120C87" w:rsidP="00120C87"/>
    <w:p w14:paraId="54F58BED" w14:textId="77777777" w:rsidR="00C84024" w:rsidRPr="00C84024" w:rsidRDefault="00C84024" w:rsidP="00C84024">
      <w:pPr>
        <w:pStyle w:val="TItleofAgendaItem"/>
      </w:pPr>
    </w:p>
    <w:p w14:paraId="616F4093" w14:textId="040D2EBC" w:rsidR="00120C87" w:rsidRPr="00120C87" w:rsidRDefault="00120C87" w:rsidP="00120C87"/>
    <w:p w14:paraId="08C681EC" w14:textId="4272E0E0" w:rsidR="00120C87" w:rsidRPr="00120C87" w:rsidRDefault="00120C87" w:rsidP="00120C87"/>
    <w:p w14:paraId="4C29B64F" w14:textId="7743D2BB" w:rsidR="00120C87" w:rsidRPr="00120C87" w:rsidRDefault="00120C87" w:rsidP="00120C87"/>
    <w:p w14:paraId="7FF84E8F" w14:textId="73EAC340" w:rsidR="00120C87" w:rsidRDefault="00120C87" w:rsidP="00120C87"/>
    <w:p w14:paraId="10515F78" w14:textId="1CC843C1" w:rsidR="00120C87" w:rsidRPr="00120C87" w:rsidRDefault="00120C87" w:rsidP="00120C87">
      <w:pPr>
        <w:tabs>
          <w:tab w:val="left" w:pos="3670"/>
        </w:tabs>
      </w:pPr>
      <w:r>
        <w:tab/>
      </w:r>
    </w:p>
    <w:sectPr w:rsidR="00120C87" w:rsidRPr="00120C87" w:rsidSect="009E261D">
      <w:headerReference w:type="even" r:id="rId13"/>
      <w:headerReference w:type="default" r:id="rId14"/>
      <w:footerReference w:type="default" r:id="rId15"/>
      <w:headerReference w:type="first" r:id="rId16"/>
      <w:footerReference w:type="first" r:id="rId17"/>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2D6F" w14:textId="77777777" w:rsidR="00A4681A" w:rsidRDefault="00A4681A" w:rsidP="00F42911">
      <w:r>
        <w:separator/>
      </w:r>
    </w:p>
    <w:p w14:paraId="477ED29E" w14:textId="77777777" w:rsidR="00A4681A" w:rsidRDefault="00A4681A" w:rsidP="00F42911"/>
    <w:p w14:paraId="6762C253" w14:textId="77777777" w:rsidR="00A4681A" w:rsidRDefault="00A4681A" w:rsidP="00F42911"/>
    <w:p w14:paraId="52C5DC91" w14:textId="77777777" w:rsidR="00A4681A" w:rsidRDefault="00A4681A" w:rsidP="00F42911"/>
  </w:endnote>
  <w:endnote w:type="continuationSeparator" w:id="0">
    <w:p w14:paraId="4F87A171" w14:textId="77777777" w:rsidR="00A4681A" w:rsidRDefault="00A4681A" w:rsidP="00F42911">
      <w:r>
        <w:continuationSeparator/>
      </w:r>
    </w:p>
    <w:p w14:paraId="21494212" w14:textId="77777777" w:rsidR="00A4681A" w:rsidRDefault="00A4681A" w:rsidP="00F42911"/>
    <w:p w14:paraId="12787419" w14:textId="77777777" w:rsidR="00A4681A" w:rsidRDefault="00A4681A" w:rsidP="00F42911"/>
    <w:p w14:paraId="320AA878" w14:textId="77777777" w:rsidR="00A4681A" w:rsidRDefault="00A4681A" w:rsidP="00F42911"/>
  </w:endnote>
  <w:endnote w:type="continuationNotice" w:id="1">
    <w:p w14:paraId="04BA3206" w14:textId="77777777" w:rsidR="00A4681A" w:rsidRDefault="00A46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038FDB4F"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C50862">
      <w:t>3</w:t>
    </w:r>
    <w:r w:rsidR="00C50862" w:rsidRPr="00C50862">
      <w:rPr>
        <w:vertAlign w:val="superscript"/>
      </w:rPr>
      <w:t>rd</w:t>
    </w:r>
    <w:r w:rsidR="00C50862">
      <w:t xml:space="preserve">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3B2F" w14:textId="77777777" w:rsidR="00A4681A" w:rsidRDefault="00A4681A" w:rsidP="00F42911">
      <w:r>
        <w:separator/>
      </w:r>
    </w:p>
    <w:p w14:paraId="1F696CCB" w14:textId="77777777" w:rsidR="00A4681A" w:rsidRDefault="00A4681A" w:rsidP="00F42911"/>
    <w:p w14:paraId="2A7F5ED2" w14:textId="77777777" w:rsidR="00A4681A" w:rsidRDefault="00A4681A" w:rsidP="00F42911"/>
    <w:p w14:paraId="7365652B" w14:textId="77777777" w:rsidR="00A4681A" w:rsidRDefault="00A4681A" w:rsidP="00F42911"/>
  </w:footnote>
  <w:footnote w:type="continuationSeparator" w:id="0">
    <w:p w14:paraId="24389586" w14:textId="77777777" w:rsidR="00A4681A" w:rsidRDefault="00A4681A" w:rsidP="00F42911">
      <w:r>
        <w:continuationSeparator/>
      </w:r>
    </w:p>
    <w:p w14:paraId="29CCF8D1" w14:textId="77777777" w:rsidR="00A4681A" w:rsidRDefault="00A4681A" w:rsidP="00F42911"/>
    <w:p w14:paraId="37723A2D" w14:textId="77777777" w:rsidR="00A4681A" w:rsidRDefault="00A4681A" w:rsidP="00F42911"/>
    <w:p w14:paraId="342E986E" w14:textId="77777777" w:rsidR="00A4681A" w:rsidRDefault="00A4681A" w:rsidP="00F42911"/>
  </w:footnote>
  <w:footnote w:type="continuationNotice" w:id="1">
    <w:p w14:paraId="14BD947A" w14:textId="77777777" w:rsidR="00A4681A" w:rsidRDefault="00A46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719B" w14:textId="2C505CCD" w:rsidR="00FA7CF9" w:rsidRDefault="00FA7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2204F4DF" w:rsidR="00FB1413" w:rsidRDefault="00DD582B">
    <w:pPr>
      <w:pStyle w:val="Header"/>
    </w:pP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8241"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245"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5417B38F" w:rsidR="00DB5CF2" w:rsidRDefault="00A628C4">
    <w:pPr>
      <w:pStyle w:val="Header"/>
      <w:rPr>
        <w:noProof/>
      </w:rPr>
    </w:pPr>
    <w:r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165E"/>
    <w:multiLevelType w:val="hybridMultilevel"/>
    <w:tmpl w:val="C3529194"/>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11DA1"/>
    <w:multiLevelType w:val="hybridMultilevel"/>
    <w:tmpl w:val="454E4568"/>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C73A9"/>
    <w:multiLevelType w:val="hybridMultilevel"/>
    <w:tmpl w:val="3F6A1EDA"/>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97E78"/>
    <w:multiLevelType w:val="hybridMultilevel"/>
    <w:tmpl w:val="FC1A0A00"/>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658D1"/>
    <w:multiLevelType w:val="hybridMultilevel"/>
    <w:tmpl w:val="8CA89174"/>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62F53"/>
    <w:multiLevelType w:val="hybridMultilevel"/>
    <w:tmpl w:val="77BABDA4"/>
    <w:lvl w:ilvl="0" w:tplc="55B6A2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D5BED"/>
    <w:multiLevelType w:val="hybridMultilevel"/>
    <w:tmpl w:val="BF1039B2"/>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76F28"/>
    <w:multiLevelType w:val="hybridMultilevel"/>
    <w:tmpl w:val="C3529194"/>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0A6775"/>
    <w:multiLevelType w:val="hybridMultilevel"/>
    <w:tmpl w:val="3F6A1EDA"/>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FB7731"/>
    <w:multiLevelType w:val="hybridMultilevel"/>
    <w:tmpl w:val="8CA89174"/>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C01FF"/>
    <w:multiLevelType w:val="hybridMultilevel"/>
    <w:tmpl w:val="454E4568"/>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9D0B1B"/>
    <w:multiLevelType w:val="hybridMultilevel"/>
    <w:tmpl w:val="77BABDA4"/>
    <w:lvl w:ilvl="0" w:tplc="55B6A2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B6AC2"/>
    <w:multiLevelType w:val="hybridMultilevel"/>
    <w:tmpl w:val="BF1039B2"/>
    <w:lvl w:ilvl="0" w:tplc="55B6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3"/>
  </w:num>
  <w:num w:numId="5">
    <w:abstractNumId w:val="5"/>
  </w:num>
  <w:num w:numId="6">
    <w:abstractNumId w:val="0"/>
  </w:num>
  <w:num w:numId="7">
    <w:abstractNumId w:val="4"/>
  </w:num>
  <w:num w:numId="8">
    <w:abstractNumId w:val="6"/>
  </w:num>
  <w:num w:numId="9">
    <w:abstractNumId w:val="2"/>
  </w:num>
  <w:num w:numId="10">
    <w:abstractNumId w:val="12"/>
  </w:num>
  <w:num w:numId="11">
    <w:abstractNumId w:val="13"/>
  </w:num>
  <w:num w:numId="12">
    <w:abstractNumId w:val="8"/>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1026"/>
    <w:rsid w:val="00001B95"/>
    <w:rsid w:val="00002219"/>
    <w:rsid w:val="000066A5"/>
    <w:rsid w:val="00015BBA"/>
    <w:rsid w:val="00025D26"/>
    <w:rsid w:val="000269FF"/>
    <w:rsid w:val="00027B49"/>
    <w:rsid w:val="000304E9"/>
    <w:rsid w:val="00031285"/>
    <w:rsid w:val="00031411"/>
    <w:rsid w:val="00035F19"/>
    <w:rsid w:val="00036E9E"/>
    <w:rsid w:val="0003799F"/>
    <w:rsid w:val="00054CC9"/>
    <w:rsid w:val="000554D8"/>
    <w:rsid w:val="00060CC5"/>
    <w:rsid w:val="000704E2"/>
    <w:rsid w:val="00071B20"/>
    <w:rsid w:val="00073160"/>
    <w:rsid w:val="0007367F"/>
    <w:rsid w:val="000739AB"/>
    <w:rsid w:val="00073BAA"/>
    <w:rsid w:val="000809A3"/>
    <w:rsid w:val="00083AC4"/>
    <w:rsid w:val="00083E5E"/>
    <w:rsid w:val="000841CF"/>
    <w:rsid w:val="00090ACF"/>
    <w:rsid w:val="000957A3"/>
    <w:rsid w:val="000A4085"/>
    <w:rsid w:val="000A411A"/>
    <w:rsid w:val="000B363C"/>
    <w:rsid w:val="000C00AE"/>
    <w:rsid w:val="000C01D9"/>
    <w:rsid w:val="000C30FC"/>
    <w:rsid w:val="000C4B7B"/>
    <w:rsid w:val="000D0777"/>
    <w:rsid w:val="000D1172"/>
    <w:rsid w:val="000D37CC"/>
    <w:rsid w:val="000D5C32"/>
    <w:rsid w:val="000E12D1"/>
    <w:rsid w:val="000E19F1"/>
    <w:rsid w:val="000E3200"/>
    <w:rsid w:val="000E62BA"/>
    <w:rsid w:val="000E69C3"/>
    <w:rsid w:val="000E7435"/>
    <w:rsid w:val="000F28A6"/>
    <w:rsid w:val="000F3A84"/>
    <w:rsid w:val="000F43F7"/>
    <w:rsid w:val="000F6AA7"/>
    <w:rsid w:val="000F6E26"/>
    <w:rsid w:val="001074F7"/>
    <w:rsid w:val="001149F4"/>
    <w:rsid w:val="00115D4C"/>
    <w:rsid w:val="001162DB"/>
    <w:rsid w:val="00120C87"/>
    <w:rsid w:val="001225DD"/>
    <w:rsid w:val="00127868"/>
    <w:rsid w:val="001316B4"/>
    <w:rsid w:val="00131BA2"/>
    <w:rsid w:val="001441A2"/>
    <w:rsid w:val="0014622E"/>
    <w:rsid w:val="001468FE"/>
    <w:rsid w:val="0014695D"/>
    <w:rsid w:val="00147101"/>
    <w:rsid w:val="0014747A"/>
    <w:rsid w:val="00151022"/>
    <w:rsid w:val="00151B60"/>
    <w:rsid w:val="00172609"/>
    <w:rsid w:val="00174703"/>
    <w:rsid w:val="0017730B"/>
    <w:rsid w:val="001807A7"/>
    <w:rsid w:val="00180EC0"/>
    <w:rsid w:val="0018484A"/>
    <w:rsid w:val="00184916"/>
    <w:rsid w:val="001864BF"/>
    <w:rsid w:val="001914F4"/>
    <w:rsid w:val="001949EC"/>
    <w:rsid w:val="001A2BFD"/>
    <w:rsid w:val="001A3169"/>
    <w:rsid w:val="001A63EA"/>
    <w:rsid w:val="001A6612"/>
    <w:rsid w:val="001A7DCC"/>
    <w:rsid w:val="001B1479"/>
    <w:rsid w:val="001B23A5"/>
    <w:rsid w:val="001B3B62"/>
    <w:rsid w:val="001B4AEA"/>
    <w:rsid w:val="001B5941"/>
    <w:rsid w:val="001C2B21"/>
    <w:rsid w:val="001C7973"/>
    <w:rsid w:val="001D001F"/>
    <w:rsid w:val="001D04BF"/>
    <w:rsid w:val="001D0903"/>
    <w:rsid w:val="001D0E60"/>
    <w:rsid w:val="001D581A"/>
    <w:rsid w:val="001E5161"/>
    <w:rsid w:val="001E6FA3"/>
    <w:rsid w:val="001F1707"/>
    <w:rsid w:val="001F4934"/>
    <w:rsid w:val="00207508"/>
    <w:rsid w:val="002076F8"/>
    <w:rsid w:val="00210423"/>
    <w:rsid w:val="002111B9"/>
    <w:rsid w:val="00216CAB"/>
    <w:rsid w:val="0022039B"/>
    <w:rsid w:val="00220AA2"/>
    <w:rsid w:val="00221E5C"/>
    <w:rsid w:val="00222853"/>
    <w:rsid w:val="002245E0"/>
    <w:rsid w:val="00226586"/>
    <w:rsid w:val="00227A61"/>
    <w:rsid w:val="00231C5C"/>
    <w:rsid w:val="002326FB"/>
    <w:rsid w:val="00233033"/>
    <w:rsid w:val="002339F2"/>
    <w:rsid w:val="00233AAD"/>
    <w:rsid w:val="00234875"/>
    <w:rsid w:val="0024265E"/>
    <w:rsid w:val="00245A33"/>
    <w:rsid w:val="0024610C"/>
    <w:rsid w:val="00246383"/>
    <w:rsid w:val="00247E81"/>
    <w:rsid w:val="00252075"/>
    <w:rsid w:val="002536F0"/>
    <w:rsid w:val="00257AC4"/>
    <w:rsid w:val="00261EC5"/>
    <w:rsid w:val="0026551D"/>
    <w:rsid w:val="00271C03"/>
    <w:rsid w:val="0027532F"/>
    <w:rsid w:val="002813D0"/>
    <w:rsid w:val="002822AB"/>
    <w:rsid w:val="002837A3"/>
    <w:rsid w:val="0028701A"/>
    <w:rsid w:val="00293DC2"/>
    <w:rsid w:val="0029402A"/>
    <w:rsid w:val="0029450F"/>
    <w:rsid w:val="002A46C9"/>
    <w:rsid w:val="002A637C"/>
    <w:rsid w:val="002B7F26"/>
    <w:rsid w:val="002C04D4"/>
    <w:rsid w:val="002C04EE"/>
    <w:rsid w:val="002C21EF"/>
    <w:rsid w:val="002C294A"/>
    <w:rsid w:val="002C5367"/>
    <w:rsid w:val="002C5E4D"/>
    <w:rsid w:val="002C5F43"/>
    <w:rsid w:val="002D1971"/>
    <w:rsid w:val="002D3542"/>
    <w:rsid w:val="002D4D73"/>
    <w:rsid w:val="002D6A09"/>
    <w:rsid w:val="002E0357"/>
    <w:rsid w:val="002E17FC"/>
    <w:rsid w:val="002E569F"/>
    <w:rsid w:val="002E5789"/>
    <w:rsid w:val="002E7367"/>
    <w:rsid w:val="002E7F87"/>
    <w:rsid w:val="00303994"/>
    <w:rsid w:val="00303B60"/>
    <w:rsid w:val="00303E46"/>
    <w:rsid w:val="00306DB5"/>
    <w:rsid w:val="00320EDC"/>
    <w:rsid w:val="00320F6B"/>
    <w:rsid w:val="00321284"/>
    <w:rsid w:val="00330FCA"/>
    <w:rsid w:val="00332561"/>
    <w:rsid w:val="003343E8"/>
    <w:rsid w:val="00334BA5"/>
    <w:rsid w:val="00335CD0"/>
    <w:rsid w:val="003403D2"/>
    <w:rsid w:val="00341549"/>
    <w:rsid w:val="00341854"/>
    <w:rsid w:val="00342703"/>
    <w:rsid w:val="00343077"/>
    <w:rsid w:val="00352680"/>
    <w:rsid w:val="003538D5"/>
    <w:rsid w:val="00353A7A"/>
    <w:rsid w:val="003619AE"/>
    <w:rsid w:val="003671D3"/>
    <w:rsid w:val="00372B00"/>
    <w:rsid w:val="00376747"/>
    <w:rsid w:val="00380FCA"/>
    <w:rsid w:val="0038245D"/>
    <w:rsid w:val="00384105"/>
    <w:rsid w:val="00387FA1"/>
    <w:rsid w:val="003913D0"/>
    <w:rsid w:val="00392C1D"/>
    <w:rsid w:val="003950B3"/>
    <w:rsid w:val="003A0D82"/>
    <w:rsid w:val="003A227E"/>
    <w:rsid w:val="003A5208"/>
    <w:rsid w:val="003A5D6A"/>
    <w:rsid w:val="003A5DC2"/>
    <w:rsid w:val="003A7D7F"/>
    <w:rsid w:val="003B0C87"/>
    <w:rsid w:val="003B5B25"/>
    <w:rsid w:val="003B6D20"/>
    <w:rsid w:val="003C2AAC"/>
    <w:rsid w:val="003C317B"/>
    <w:rsid w:val="003C3B61"/>
    <w:rsid w:val="003C79F7"/>
    <w:rsid w:val="003E53E6"/>
    <w:rsid w:val="003F3D38"/>
    <w:rsid w:val="003F638A"/>
    <w:rsid w:val="00401968"/>
    <w:rsid w:val="00402920"/>
    <w:rsid w:val="00402E1D"/>
    <w:rsid w:val="00412A48"/>
    <w:rsid w:val="0041653A"/>
    <w:rsid w:val="00417FC5"/>
    <w:rsid w:val="004224EE"/>
    <w:rsid w:val="00422CE1"/>
    <w:rsid w:val="00423733"/>
    <w:rsid w:val="00424462"/>
    <w:rsid w:val="00425DD5"/>
    <w:rsid w:val="00427484"/>
    <w:rsid w:val="00431194"/>
    <w:rsid w:val="00431FA1"/>
    <w:rsid w:val="00433071"/>
    <w:rsid w:val="004372B1"/>
    <w:rsid w:val="00442578"/>
    <w:rsid w:val="00445C43"/>
    <w:rsid w:val="00445F60"/>
    <w:rsid w:val="00453B93"/>
    <w:rsid w:val="00457BA6"/>
    <w:rsid w:val="0046002D"/>
    <w:rsid w:val="004603EB"/>
    <w:rsid w:val="00463AC8"/>
    <w:rsid w:val="00463C69"/>
    <w:rsid w:val="00463D9C"/>
    <w:rsid w:val="00464571"/>
    <w:rsid w:val="00474122"/>
    <w:rsid w:val="004748FF"/>
    <w:rsid w:val="00477339"/>
    <w:rsid w:val="004828D2"/>
    <w:rsid w:val="00482C3C"/>
    <w:rsid w:val="004868B1"/>
    <w:rsid w:val="00486EA7"/>
    <w:rsid w:val="0048769D"/>
    <w:rsid w:val="0049198C"/>
    <w:rsid w:val="00493CCE"/>
    <w:rsid w:val="004949DC"/>
    <w:rsid w:val="00495B94"/>
    <w:rsid w:val="004A2BA2"/>
    <w:rsid w:val="004A586B"/>
    <w:rsid w:val="004B0786"/>
    <w:rsid w:val="004B6FE4"/>
    <w:rsid w:val="004C1404"/>
    <w:rsid w:val="004C7042"/>
    <w:rsid w:val="004D4CA0"/>
    <w:rsid w:val="004D516E"/>
    <w:rsid w:val="004D619F"/>
    <w:rsid w:val="004D679D"/>
    <w:rsid w:val="004D6FDA"/>
    <w:rsid w:val="004E1E34"/>
    <w:rsid w:val="004E5C04"/>
    <w:rsid w:val="004F0CE8"/>
    <w:rsid w:val="004F1A57"/>
    <w:rsid w:val="004F5EF8"/>
    <w:rsid w:val="004F7F97"/>
    <w:rsid w:val="00500337"/>
    <w:rsid w:val="00500562"/>
    <w:rsid w:val="00504647"/>
    <w:rsid w:val="00506F69"/>
    <w:rsid w:val="005171E1"/>
    <w:rsid w:val="005200A2"/>
    <w:rsid w:val="0052026B"/>
    <w:rsid w:val="005309EB"/>
    <w:rsid w:val="0053326C"/>
    <w:rsid w:val="00537027"/>
    <w:rsid w:val="005421DC"/>
    <w:rsid w:val="005434DC"/>
    <w:rsid w:val="005448CA"/>
    <w:rsid w:val="00573820"/>
    <w:rsid w:val="005762AC"/>
    <w:rsid w:val="005845C4"/>
    <w:rsid w:val="00587770"/>
    <w:rsid w:val="005924DA"/>
    <w:rsid w:val="005A36BF"/>
    <w:rsid w:val="005A74F4"/>
    <w:rsid w:val="005B3DDE"/>
    <w:rsid w:val="005B44B0"/>
    <w:rsid w:val="005B5974"/>
    <w:rsid w:val="005B5A57"/>
    <w:rsid w:val="005C0A7A"/>
    <w:rsid w:val="005C45CE"/>
    <w:rsid w:val="005C64BE"/>
    <w:rsid w:val="005C66B8"/>
    <w:rsid w:val="005D48BA"/>
    <w:rsid w:val="005D6A28"/>
    <w:rsid w:val="005E1347"/>
    <w:rsid w:val="005E28B9"/>
    <w:rsid w:val="005E7D0C"/>
    <w:rsid w:val="005F32E2"/>
    <w:rsid w:val="005F349E"/>
    <w:rsid w:val="005F4539"/>
    <w:rsid w:val="005F516C"/>
    <w:rsid w:val="00600C51"/>
    <w:rsid w:val="00601199"/>
    <w:rsid w:val="00601DAA"/>
    <w:rsid w:val="006023F8"/>
    <w:rsid w:val="00604879"/>
    <w:rsid w:val="0060544B"/>
    <w:rsid w:val="00606A12"/>
    <w:rsid w:val="00607E88"/>
    <w:rsid w:val="006131A3"/>
    <w:rsid w:val="006131D2"/>
    <w:rsid w:val="00622176"/>
    <w:rsid w:val="00626502"/>
    <w:rsid w:val="00626905"/>
    <w:rsid w:val="00630388"/>
    <w:rsid w:val="006305B9"/>
    <w:rsid w:val="00630992"/>
    <w:rsid w:val="006359C8"/>
    <w:rsid w:val="00643B8D"/>
    <w:rsid w:val="00645FAB"/>
    <w:rsid w:val="006504C4"/>
    <w:rsid w:val="006518DA"/>
    <w:rsid w:val="00651BC3"/>
    <w:rsid w:val="0065269C"/>
    <w:rsid w:val="00653BCC"/>
    <w:rsid w:val="006553B7"/>
    <w:rsid w:val="00660E8E"/>
    <w:rsid w:val="006636A3"/>
    <w:rsid w:val="0066560C"/>
    <w:rsid w:val="006661F1"/>
    <w:rsid w:val="006669D4"/>
    <w:rsid w:val="0067074D"/>
    <w:rsid w:val="0068769D"/>
    <w:rsid w:val="00690BC7"/>
    <w:rsid w:val="006944D7"/>
    <w:rsid w:val="006946ED"/>
    <w:rsid w:val="00695947"/>
    <w:rsid w:val="006964FB"/>
    <w:rsid w:val="006A02C9"/>
    <w:rsid w:val="006A04AA"/>
    <w:rsid w:val="006A07A6"/>
    <w:rsid w:val="006A2779"/>
    <w:rsid w:val="006A3184"/>
    <w:rsid w:val="006A40D2"/>
    <w:rsid w:val="006A711C"/>
    <w:rsid w:val="006A7639"/>
    <w:rsid w:val="006A7C1D"/>
    <w:rsid w:val="006B2495"/>
    <w:rsid w:val="006B3258"/>
    <w:rsid w:val="006B4949"/>
    <w:rsid w:val="006B73AD"/>
    <w:rsid w:val="006C2142"/>
    <w:rsid w:val="006C436F"/>
    <w:rsid w:val="006C4A19"/>
    <w:rsid w:val="006C5690"/>
    <w:rsid w:val="006D3AF9"/>
    <w:rsid w:val="006E1947"/>
    <w:rsid w:val="006E2591"/>
    <w:rsid w:val="006E2617"/>
    <w:rsid w:val="006E6278"/>
    <w:rsid w:val="006E7041"/>
    <w:rsid w:val="006F1EA0"/>
    <w:rsid w:val="006F5765"/>
    <w:rsid w:val="006F7976"/>
    <w:rsid w:val="007018C7"/>
    <w:rsid w:val="00717572"/>
    <w:rsid w:val="00721A74"/>
    <w:rsid w:val="00722AA4"/>
    <w:rsid w:val="0072684A"/>
    <w:rsid w:val="00727B2C"/>
    <w:rsid w:val="00735B06"/>
    <w:rsid w:val="00743527"/>
    <w:rsid w:val="00743FB9"/>
    <w:rsid w:val="007455C0"/>
    <w:rsid w:val="00745AD0"/>
    <w:rsid w:val="007476F8"/>
    <w:rsid w:val="007561F3"/>
    <w:rsid w:val="00756A5E"/>
    <w:rsid w:val="00756F42"/>
    <w:rsid w:val="00757B51"/>
    <w:rsid w:val="0076137A"/>
    <w:rsid w:val="007651ED"/>
    <w:rsid w:val="0076609E"/>
    <w:rsid w:val="00771736"/>
    <w:rsid w:val="007845BF"/>
    <w:rsid w:val="0078506E"/>
    <w:rsid w:val="007864E7"/>
    <w:rsid w:val="007914F3"/>
    <w:rsid w:val="007917AE"/>
    <w:rsid w:val="007917C8"/>
    <w:rsid w:val="00793417"/>
    <w:rsid w:val="00793BF7"/>
    <w:rsid w:val="00794904"/>
    <w:rsid w:val="007A2446"/>
    <w:rsid w:val="007A374B"/>
    <w:rsid w:val="007A47DE"/>
    <w:rsid w:val="007A4B89"/>
    <w:rsid w:val="007A6B1F"/>
    <w:rsid w:val="007A75EA"/>
    <w:rsid w:val="007A7674"/>
    <w:rsid w:val="007B3778"/>
    <w:rsid w:val="007B574B"/>
    <w:rsid w:val="007B5998"/>
    <w:rsid w:val="007B6AF9"/>
    <w:rsid w:val="007B7C4E"/>
    <w:rsid w:val="007C1E1F"/>
    <w:rsid w:val="007C3A94"/>
    <w:rsid w:val="007C3AF7"/>
    <w:rsid w:val="007C3BC6"/>
    <w:rsid w:val="007C70E9"/>
    <w:rsid w:val="007D1F28"/>
    <w:rsid w:val="007D3992"/>
    <w:rsid w:val="007D3E13"/>
    <w:rsid w:val="007D6972"/>
    <w:rsid w:val="007D7846"/>
    <w:rsid w:val="007E45FE"/>
    <w:rsid w:val="007E6792"/>
    <w:rsid w:val="007F0C67"/>
    <w:rsid w:val="007F105B"/>
    <w:rsid w:val="007F25B2"/>
    <w:rsid w:val="007F2A83"/>
    <w:rsid w:val="0080232D"/>
    <w:rsid w:val="0080413A"/>
    <w:rsid w:val="0080485E"/>
    <w:rsid w:val="00805580"/>
    <w:rsid w:val="008057CC"/>
    <w:rsid w:val="008126C0"/>
    <w:rsid w:val="00812B2A"/>
    <w:rsid w:val="0082043F"/>
    <w:rsid w:val="00820728"/>
    <w:rsid w:val="00820F84"/>
    <w:rsid w:val="00821C84"/>
    <w:rsid w:val="008233B1"/>
    <w:rsid w:val="0082653D"/>
    <w:rsid w:val="00836CD4"/>
    <w:rsid w:val="00836E45"/>
    <w:rsid w:val="00847FFD"/>
    <w:rsid w:val="00852592"/>
    <w:rsid w:val="00856B49"/>
    <w:rsid w:val="008634DC"/>
    <w:rsid w:val="00864FE9"/>
    <w:rsid w:val="008747DE"/>
    <w:rsid w:val="00876262"/>
    <w:rsid w:val="00880B0E"/>
    <w:rsid w:val="00881DF9"/>
    <w:rsid w:val="00892907"/>
    <w:rsid w:val="00893492"/>
    <w:rsid w:val="00897C8D"/>
    <w:rsid w:val="00897E94"/>
    <w:rsid w:val="008A0075"/>
    <w:rsid w:val="008A0F50"/>
    <w:rsid w:val="008A1439"/>
    <w:rsid w:val="008A1C48"/>
    <w:rsid w:val="008A23A6"/>
    <w:rsid w:val="008A49CD"/>
    <w:rsid w:val="008A61DC"/>
    <w:rsid w:val="008A6588"/>
    <w:rsid w:val="008B2B5E"/>
    <w:rsid w:val="008B34B0"/>
    <w:rsid w:val="008B3DAB"/>
    <w:rsid w:val="008B51F2"/>
    <w:rsid w:val="008C004A"/>
    <w:rsid w:val="008C2EA9"/>
    <w:rsid w:val="008C3502"/>
    <w:rsid w:val="008C7011"/>
    <w:rsid w:val="008D2C1B"/>
    <w:rsid w:val="008D48AD"/>
    <w:rsid w:val="008D5D72"/>
    <w:rsid w:val="008D6515"/>
    <w:rsid w:val="008D74C5"/>
    <w:rsid w:val="008D7D79"/>
    <w:rsid w:val="008E0421"/>
    <w:rsid w:val="008E104D"/>
    <w:rsid w:val="008E589A"/>
    <w:rsid w:val="008F1BA2"/>
    <w:rsid w:val="008F39BA"/>
    <w:rsid w:val="008F4C35"/>
    <w:rsid w:val="0090020D"/>
    <w:rsid w:val="009028CD"/>
    <w:rsid w:val="00905BB1"/>
    <w:rsid w:val="009114FF"/>
    <w:rsid w:val="009124F3"/>
    <w:rsid w:val="00915BC0"/>
    <w:rsid w:val="00916835"/>
    <w:rsid w:val="00921968"/>
    <w:rsid w:val="00921BE9"/>
    <w:rsid w:val="009241F2"/>
    <w:rsid w:val="009341D8"/>
    <w:rsid w:val="00934615"/>
    <w:rsid w:val="0093547F"/>
    <w:rsid w:val="00937640"/>
    <w:rsid w:val="00940651"/>
    <w:rsid w:val="00941335"/>
    <w:rsid w:val="00941AC0"/>
    <w:rsid w:val="009431C1"/>
    <w:rsid w:val="00943984"/>
    <w:rsid w:val="00946A91"/>
    <w:rsid w:val="00946B17"/>
    <w:rsid w:val="00957069"/>
    <w:rsid w:val="009570F7"/>
    <w:rsid w:val="00963097"/>
    <w:rsid w:val="0096317F"/>
    <w:rsid w:val="00966A28"/>
    <w:rsid w:val="00967E77"/>
    <w:rsid w:val="00970C7D"/>
    <w:rsid w:val="0097208F"/>
    <w:rsid w:val="0098156C"/>
    <w:rsid w:val="0098299E"/>
    <w:rsid w:val="0098318F"/>
    <w:rsid w:val="0098669C"/>
    <w:rsid w:val="009927C3"/>
    <w:rsid w:val="00997017"/>
    <w:rsid w:val="009A3762"/>
    <w:rsid w:val="009A6DA7"/>
    <w:rsid w:val="009A7CA6"/>
    <w:rsid w:val="009B0B6F"/>
    <w:rsid w:val="009B4875"/>
    <w:rsid w:val="009B78C5"/>
    <w:rsid w:val="009C0765"/>
    <w:rsid w:val="009C2EFF"/>
    <w:rsid w:val="009C41AE"/>
    <w:rsid w:val="009C6FA6"/>
    <w:rsid w:val="009D4047"/>
    <w:rsid w:val="009D45AC"/>
    <w:rsid w:val="009D6139"/>
    <w:rsid w:val="009E261D"/>
    <w:rsid w:val="009E3618"/>
    <w:rsid w:val="009E3C3E"/>
    <w:rsid w:val="009E781D"/>
    <w:rsid w:val="009F022D"/>
    <w:rsid w:val="009F2913"/>
    <w:rsid w:val="009F4B25"/>
    <w:rsid w:val="009F6F26"/>
    <w:rsid w:val="00A01816"/>
    <w:rsid w:val="00A01E9E"/>
    <w:rsid w:val="00A048AE"/>
    <w:rsid w:val="00A0554B"/>
    <w:rsid w:val="00A05BF8"/>
    <w:rsid w:val="00A05E78"/>
    <w:rsid w:val="00A10CA7"/>
    <w:rsid w:val="00A13214"/>
    <w:rsid w:val="00A13D97"/>
    <w:rsid w:val="00A16350"/>
    <w:rsid w:val="00A21013"/>
    <w:rsid w:val="00A26BE2"/>
    <w:rsid w:val="00A300D5"/>
    <w:rsid w:val="00A33658"/>
    <w:rsid w:val="00A33F6A"/>
    <w:rsid w:val="00A3651E"/>
    <w:rsid w:val="00A415C4"/>
    <w:rsid w:val="00A4530F"/>
    <w:rsid w:val="00A4538F"/>
    <w:rsid w:val="00A4681A"/>
    <w:rsid w:val="00A47B69"/>
    <w:rsid w:val="00A55116"/>
    <w:rsid w:val="00A6036D"/>
    <w:rsid w:val="00A628C4"/>
    <w:rsid w:val="00A64946"/>
    <w:rsid w:val="00A65A5E"/>
    <w:rsid w:val="00A732E4"/>
    <w:rsid w:val="00A75A23"/>
    <w:rsid w:val="00A8304C"/>
    <w:rsid w:val="00A8544C"/>
    <w:rsid w:val="00A85A75"/>
    <w:rsid w:val="00A90ECC"/>
    <w:rsid w:val="00A9147B"/>
    <w:rsid w:val="00A9552E"/>
    <w:rsid w:val="00A958E2"/>
    <w:rsid w:val="00AA0A94"/>
    <w:rsid w:val="00AA1CA5"/>
    <w:rsid w:val="00AA51B1"/>
    <w:rsid w:val="00AA7108"/>
    <w:rsid w:val="00AB32A0"/>
    <w:rsid w:val="00AB4692"/>
    <w:rsid w:val="00AC545D"/>
    <w:rsid w:val="00AD3810"/>
    <w:rsid w:val="00AE0C52"/>
    <w:rsid w:val="00AE1832"/>
    <w:rsid w:val="00AE7B5C"/>
    <w:rsid w:val="00AF0C33"/>
    <w:rsid w:val="00AF4423"/>
    <w:rsid w:val="00AF503E"/>
    <w:rsid w:val="00B00DB2"/>
    <w:rsid w:val="00B0425F"/>
    <w:rsid w:val="00B0502F"/>
    <w:rsid w:val="00B070AD"/>
    <w:rsid w:val="00B075AE"/>
    <w:rsid w:val="00B24191"/>
    <w:rsid w:val="00B254F1"/>
    <w:rsid w:val="00B30468"/>
    <w:rsid w:val="00B30862"/>
    <w:rsid w:val="00B30E40"/>
    <w:rsid w:val="00B377E7"/>
    <w:rsid w:val="00B41638"/>
    <w:rsid w:val="00B50C62"/>
    <w:rsid w:val="00B5584B"/>
    <w:rsid w:val="00B56D38"/>
    <w:rsid w:val="00B60696"/>
    <w:rsid w:val="00B6090E"/>
    <w:rsid w:val="00B61F00"/>
    <w:rsid w:val="00B623D3"/>
    <w:rsid w:val="00B71CE6"/>
    <w:rsid w:val="00B74910"/>
    <w:rsid w:val="00B750EC"/>
    <w:rsid w:val="00B7690C"/>
    <w:rsid w:val="00B801FC"/>
    <w:rsid w:val="00B8087A"/>
    <w:rsid w:val="00B80B60"/>
    <w:rsid w:val="00B824C8"/>
    <w:rsid w:val="00B82941"/>
    <w:rsid w:val="00B95929"/>
    <w:rsid w:val="00BA69D7"/>
    <w:rsid w:val="00BA7067"/>
    <w:rsid w:val="00BA7B43"/>
    <w:rsid w:val="00BB0B90"/>
    <w:rsid w:val="00BB42B3"/>
    <w:rsid w:val="00BB74D4"/>
    <w:rsid w:val="00BB75FB"/>
    <w:rsid w:val="00BB7751"/>
    <w:rsid w:val="00BC02F7"/>
    <w:rsid w:val="00BC08E8"/>
    <w:rsid w:val="00BC4263"/>
    <w:rsid w:val="00BC566F"/>
    <w:rsid w:val="00BC69CB"/>
    <w:rsid w:val="00BD0C91"/>
    <w:rsid w:val="00BD1F7E"/>
    <w:rsid w:val="00BD3BEF"/>
    <w:rsid w:val="00BD47FD"/>
    <w:rsid w:val="00BD4A12"/>
    <w:rsid w:val="00BD7529"/>
    <w:rsid w:val="00BD7667"/>
    <w:rsid w:val="00BE2DBF"/>
    <w:rsid w:val="00BE4A03"/>
    <w:rsid w:val="00BE64B5"/>
    <w:rsid w:val="00BE67C9"/>
    <w:rsid w:val="00BF1862"/>
    <w:rsid w:val="00BF37DC"/>
    <w:rsid w:val="00BF3FCC"/>
    <w:rsid w:val="00BF5364"/>
    <w:rsid w:val="00BF70E9"/>
    <w:rsid w:val="00C002F9"/>
    <w:rsid w:val="00C01BCC"/>
    <w:rsid w:val="00C0274D"/>
    <w:rsid w:val="00C06653"/>
    <w:rsid w:val="00C075FF"/>
    <w:rsid w:val="00C07A59"/>
    <w:rsid w:val="00C105AD"/>
    <w:rsid w:val="00C12B16"/>
    <w:rsid w:val="00C20509"/>
    <w:rsid w:val="00C20840"/>
    <w:rsid w:val="00C23B33"/>
    <w:rsid w:val="00C24653"/>
    <w:rsid w:val="00C27D5A"/>
    <w:rsid w:val="00C304A3"/>
    <w:rsid w:val="00C31B0C"/>
    <w:rsid w:val="00C34B9F"/>
    <w:rsid w:val="00C3699B"/>
    <w:rsid w:val="00C408FF"/>
    <w:rsid w:val="00C41A42"/>
    <w:rsid w:val="00C41E29"/>
    <w:rsid w:val="00C42014"/>
    <w:rsid w:val="00C4234B"/>
    <w:rsid w:val="00C42B79"/>
    <w:rsid w:val="00C4755B"/>
    <w:rsid w:val="00C47C44"/>
    <w:rsid w:val="00C50862"/>
    <w:rsid w:val="00C550E0"/>
    <w:rsid w:val="00C66B41"/>
    <w:rsid w:val="00C676E7"/>
    <w:rsid w:val="00C70791"/>
    <w:rsid w:val="00C720B8"/>
    <w:rsid w:val="00C72789"/>
    <w:rsid w:val="00C74DC1"/>
    <w:rsid w:val="00C84024"/>
    <w:rsid w:val="00C857B2"/>
    <w:rsid w:val="00C86D59"/>
    <w:rsid w:val="00C97B03"/>
    <w:rsid w:val="00CA3F38"/>
    <w:rsid w:val="00CB3AA5"/>
    <w:rsid w:val="00CB655A"/>
    <w:rsid w:val="00CC1120"/>
    <w:rsid w:val="00CC129C"/>
    <w:rsid w:val="00CC4D4C"/>
    <w:rsid w:val="00CC7B86"/>
    <w:rsid w:val="00CD1E66"/>
    <w:rsid w:val="00CD2A1B"/>
    <w:rsid w:val="00CE0D24"/>
    <w:rsid w:val="00CE0D71"/>
    <w:rsid w:val="00CE4A99"/>
    <w:rsid w:val="00CE4B80"/>
    <w:rsid w:val="00CF1472"/>
    <w:rsid w:val="00CF4AFF"/>
    <w:rsid w:val="00CF78AC"/>
    <w:rsid w:val="00D021D4"/>
    <w:rsid w:val="00D05EE0"/>
    <w:rsid w:val="00D126C2"/>
    <w:rsid w:val="00D12DD6"/>
    <w:rsid w:val="00D164CA"/>
    <w:rsid w:val="00D16E18"/>
    <w:rsid w:val="00D2331D"/>
    <w:rsid w:val="00D2394B"/>
    <w:rsid w:val="00D2686D"/>
    <w:rsid w:val="00D35ED1"/>
    <w:rsid w:val="00D4102B"/>
    <w:rsid w:val="00D42754"/>
    <w:rsid w:val="00D430B3"/>
    <w:rsid w:val="00D54611"/>
    <w:rsid w:val="00D55085"/>
    <w:rsid w:val="00D6066F"/>
    <w:rsid w:val="00D62C2C"/>
    <w:rsid w:val="00D67C3D"/>
    <w:rsid w:val="00D70C7D"/>
    <w:rsid w:val="00D73335"/>
    <w:rsid w:val="00D7687A"/>
    <w:rsid w:val="00D82867"/>
    <w:rsid w:val="00D82CA4"/>
    <w:rsid w:val="00D864EC"/>
    <w:rsid w:val="00D867D0"/>
    <w:rsid w:val="00D93035"/>
    <w:rsid w:val="00D93C05"/>
    <w:rsid w:val="00D96F8E"/>
    <w:rsid w:val="00DA0DCF"/>
    <w:rsid w:val="00DA6360"/>
    <w:rsid w:val="00DA65E8"/>
    <w:rsid w:val="00DA6B04"/>
    <w:rsid w:val="00DB3598"/>
    <w:rsid w:val="00DB4386"/>
    <w:rsid w:val="00DB4AC6"/>
    <w:rsid w:val="00DB5CF2"/>
    <w:rsid w:val="00DC7424"/>
    <w:rsid w:val="00DD05BE"/>
    <w:rsid w:val="00DD44DF"/>
    <w:rsid w:val="00DD45FC"/>
    <w:rsid w:val="00DD582B"/>
    <w:rsid w:val="00DE0C31"/>
    <w:rsid w:val="00DE12F2"/>
    <w:rsid w:val="00DE38C5"/>
    <w:rsid w:val="00DE6206"/>
    <w:rsid w:val="00DE6A0C"/>
    <w:rsid w:val="00DF0D8A"/>
    <w:rsid w:val="00DF4781"/>
    <w:rsid w:val="00DF6A51"/>
    <w:rsid w:val="00E00179"/>
    <w:rsid w:val="00E0065E"/>
    <w:rsid w:val="00E04ADF"/>
    <w:rsid w:val="00E0758D"/>
    <w:rsid w:val="00E11071"/>
    <w:rsid w:val="00E12A39"/>
    <w:rsid w:val="00E151A9"/>
    <w:rsid w:val="00E16F43"/>
    <w:rsid w:val="00E2054D"/>
    <w:rsid w:val="00E21940"/>
    <w:rsid w:val="00E24EC2"/>
    <w:rsid w:val="00E25309"/>
    <w:rsid w:val="00E25CDE"/>
    <w:rsid w:val="00E2658E"/>
    <w:rsid w:val="00E31443"/>
    <w:rsid w:val="00E324FF"/>
    <w:rsid w:val="00E33052"/>
    <w:rsid w:val="00E36E3A"/>
    <w:rsid w:val="00E42D07"/>
    <w:rsid w:val="00E437B3"/>
    <w:rsid w:val="00E447A6"/>
    <w:rsid w:val="00E458A2"/>
    <w:rsid w:val="00E479FC"/>
    <w:rsid w:val="00E5122D"/>
    <w:rsid w:val="00E53D3F"/>
    <w:rsid w:val="00E55100"/>
    <w:rsid w:val="00E57167"/>
    <w:rsid w:val="00E61958"/>
    <w:rsid w:val="00E61C95"/>
    <w:rsid w:val="00E629DE"/>
    <w:rsid w:val="00E702FF"/>
    <w:rsid w:val="00E7376F"/>
    <w:rsid w:val="00E76119"/>
    <w:rsid w:val="00E8368F"/>
    <w:rsid w:val="00E87A46"/>
    <w:rsid w:val="00E87C4E"/>
    <w:rsid w:val="00E9127D"/>
    <w:rsid w:val="00E91B4A"/>
    <w:rsid w:val="00E93CBA"/>
    <w:rsid w:val="00E94A70"/>
    <w:rsid w:val="00E96AF8"/>
    <w:rsid w:val="00EA056E"/>
    <w:rsid w:val="00EB2138"/>
    <w:rsid w:val="00EB4244"/>
    <w:rsid w:val="00EC0E9E"/>
    <w:rsid w:val="00EC106E"/>
    <w:rsid w:val="00EC1079"/>
    <w:rsid w:val="00EC3B52"/>
    <w:rsid w:val="00ED2160"/>
    <w:rsid w:val="00ED3992"/>
    <w:rsid w:val="00ED5946"/>
    <w:rsid w:val="00EE1890"/>
    <w:rsid w:val="00EE4607"/>
    <w:rsid w:val="00EE4E99"/>
    <w:rsid w:val="00EF0134"/>
    <w:rsid w:val="00EF4BE8"/>
    <w:rsid w:val="00EF5805"/>
    <w:rsid w:val="00EF781F"/>
    <w:rsid w:val="00F034F8"/>
    <w:rsid w:val="00F0424B"/>
    <w:rsid w:val="00F0591B"/>
    <w:rsid w:val="00F128D4"/>
    <w:rsid w:val="00F15BE2"/>
    <w:rsid w:val="00F16AC6"/>
    <w:rsid w:val="00F25C3F"/>
    <w:rsid w:val="00F303E2"/>
    <w:rsid w:val="00F331D7"/>
    <w:rsid w:val="00F338E0"/>
    <w:rsid w:val="00F37C9A"/>
    <w:rsid w:val="00F41CF2"/>
    <w:rsid w:val="00F42911"/>
    <w:rsid w:val="00F469C5"/>
    <w:rsid w:val="00F474EC"/>
    <w:rsid w:val="00F47E64"/>
    <w:rsid w:val="00F47F0E"/>
    <w:rsid w:val="00F50522"/>
    <w:rsid w:val="00F51BBA"/>
    <w:rsid w:val="00F57898"/>
    <w:rsid w:val="00F66D90"/>
    <w:rsid w:val="00F76B31"/>
    <w:rsid w:val="00F8225C"/>
    <w:rsid w:val="00F823CC"/>
    <w:rsid w:val="00F82D45"/>
    <w:rsid w:val="00F852D2"/>
    <w:rsid w:val="00F8624A"/>
    <w:rsid w:val="00F87F39"/>
    <w:rsid w:val="00F91D57"/>
    <w:rsid w:val="00F9240E"/>
    <w:rsid w:val="00F9347E"/>
    <w:rsid w:val="00F94592"/>
    <w:rsid w:val="00FA0D9F"/>
    <w:rsid w:val="00FA3C6D"/>
    <w:rsid w:val="00FA44AE"/>
    <w:rsid w:val="00FA47BF"/>
    <w:rsid w:val="00FA51CE"/>
    <w:rsid w:val="00FA7CF9"/>
    <w:rsid w:val="00FB1413"/>
    <w:rsid w:val="00FB4521"/>
    <w:rsid w:val="00FB458D"/>
    <w:rsid w:val="00FC1241"/>
    <w:rsid w:val="00FC47B1"/>
    <w:rsid w:val="00FC7B7E"/>
    <w:rsid w:val="00FE1932"/>
    <w:rsid w:val="00FE1E17"/>
    <w:rsid w:val="00FE2C6B"/>
    <w:rsid w:val="00FE3AD9"/>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character" w:customStyle="1" w:styleId="normaltextrun">
    <w:name w:val="normaltextrun"/>
    <w:basedOn w:val="DefaultParagraphFont"/>
    <w:rsid w:val="000C30FC"/>
  </w:style>
  <w:style w:type="character" w:styleId="CommentReference">
    <w:name w:val="annotation reference"/>
    <w:basedOn w:val="DefaultParagraphFont"/>
    <w:uiPriority w:val="99"/>
    <w:semiHidden/>
    <w:unhideWhenUsed/>
    <w:rsid w:val="002813D0"/>
    <w:rPr>
      <w:sz w:val="16"/>
      <w:szCs w:val="16"/>
    </w:rPr>
  </w:style>
  <w:style w:type="paragraph" w:styleId="CommentText">
    <w:name w:val="annotation text"/>
    <w:basedOn w:val="Normal"/>
    <w:link w:val="CommentTextChar"/>
    <w:uiPriority w:val="99"/>
    <w:semiHidden/>
    <w:unhideWhenUsed/>
    <w:rsid w:val="002813D0"/>
    <w:pPr>
      <w:spacing w:line="240" w:lineRule="auto"/>
    </w:pPr>
    <w:rPr>
      <w:sz w:val="20"/>
      <w:szCs w:val="20"/>
    </w:rPr>
  </w:style>
  <w:style w:type="character" w:customStyle="1" w:styleId="CommentTextChar">
    <w:name w:val="Comment Text Char"/>
    <w:basedOn w:val="DefaultParagraphFont"/>
    <w:link w:val="CommentText"/>
    <w:uiPriority w:val="99"/>
    <w:semiHidden/>
    <w:rsid w:val="002813D0"/>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2813D0"/>
    <w:rPr>
      <w:b/>
      <w:bCs/>
    </w:rPr>
  </w:style>
  <w:style w:type="character" w:customStyle="1" w:styleId="CommentSubjectChar">
    <w:name w:val="Comment Subject Char"/>
    <w:basedOn w:val="CommentTextChar"/>
    <w:link w:val="CommentSubject"/>
    <w:uiPriority w:val="99"/>
    <w:semiHidden/>
    <w:rsid w:val="002813D0"/>
    <w:rPr>
      <w:rFonts w:ascii="Calibri Light" w:hAnsi="Calibri Light" w:cs="Calibri Light"/>
      <w:b/>
      <w:bCs/>
      <w:color w:val="3939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1" ma:contentTypeDescription="" ma:contentTypeScope="" ma:versionID="48b59fb33403f05ff0091064a06a60fa">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c381e0136d964080f4c81ea6e67747fb"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MSCOUTREACH-166638024-13731</_dlc_DocId>
    <_dlc_DocIdUrl xmlns="230c30b3-5bf2-4424-b964-6b55c85701d3">
      <Url>https://marinestewardshipcouncil.sharepoint.com/sites/outreach/NE_Atlantic/_layouts/15/DocIdRedir.aspx?ID=MSCOUTREACH-166638024-13731</Url>
      <Description>MSCOUTREACH-166638024-13731</Description>
    </_dlc_DocIdUrl>
    <SharedWithUsers xmlns="230c30b3-5bf2-4424-b964-6b55c85701d3">
      <UserInfo>
        <DisplayName>Katie Keay</DisplayName>
        <AccountId>3081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6CC0-9C29-4836-8FCD-A74E9241D86D}">
  <ds:schemaRefs>
    <ds:schemaRef ds:uri="http://schemas.microsoft.com/sharepoint/events"/>
  </ds:schemaRefs>
</ds:datastoreItem>
</file>

<file path=customXml/itemProps2.xml><?xml version="1.0" encoding="utf-8"?>
<ds:datastoreItem xmlns:ds="http://schemas.openxmlformats.org/officeDocument/2006/customXml" ds:itemID="{9174E38F-E7A7-4238-9C25-D4E02BB3C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4.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 ds:uri="230c30b3-5bf2-4424-b964-6b55c85701d3"/>
  </ds:schemaRefs>
</ds:datastoreItem>
</file>

<file path=customXml/itemProps5.xml><?xml version="1.0" encoding="utf-8"?>
<ds:datastoreItem xmlns:ds="http://schemas.openxmlformats.org/officeDocument/2006/customXml" ds:itemID="{FC239D90-FF9F-43EC-B41C-9E876E48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2864</Words>
  <Characters>16327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2</cp:revision>
  <dcterms:created xsi:type="dcterms:W3CDTF">2021-05-24T14:41:00Z</dcterms:created>
  <dcterms:modified xsi:type="dcterms:W3CDTF">2021-05-24T14:41:00Z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cafc09a3-b605-4d17-9eda-4b833b7d8225</vt:lpwstr>
  </property>
  <property fmtid="{D5CDD505-2E9C-101B-9397-08002B2CF9AE}" pid="5" name="Outreach Doc Type">
    <vt:lpwstr/>
  </property>
  <property fmtid="{D5CDD505-2E9C-101B-9397-08002B2CF9AE}" pid="6" name="Outreach Category">
    <vt:lpwstr/>
  </property>
</Properties>
</file>