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7D" w:rsidRDefault="00664D7D" w:rsidP="00676FDB">
      <w:pPr>
        <w:pStyle w:val="Title"/>
        <w:rPr>
          <w:lang w:val="fr-WINDIES"/>
        </w:rPr>
      </w:pPr>
      <w:bookmarkStart w:id="0" w:name="_Hlk36396588"/>
      <w:bookmarkStart w:id="1" w:name="_Hlk34395473"/>
    </w:p>
    <w:p w:rsidR="00664D7D" w:rsidRDefault="00664D7D" w:rsidP="00676FDB">
      <w:pPr>
        <w:pStyle w:val="Title"/>
        <w:rPr>
          <w:lang w:val="fr-WINDIES"/>
        </w:rPr>
      </w:pPr>
    </w:p>
    <w:p w:rsidR="00664D7D" w:rsidRDefault="00664D7D" w:rsidP="00676FDB">
      <w:pPr>
        <w:pStyle w:val="Title"/>
        <w:rPr>
          <w:lang w:val="fr-WINDIES"/>
        </w:rPr>
      </w:pPr>
    </w:p>
    <w:p w:rsidR="00664D7D" w:rsidRDefault="00664D7D" w:rsidP="00676FDB">
      <w:pPr>
        <w:pStyle w:val="Title"/>
        <w:rPr>
          <w:lang w:val="fr-WINDIES"/>
        </w:rPr>
      </w:pPr>
    </w:p>
    <w:p w:rsidR="00664D7D" w:rsidRDefault="00664D7D" w:rsidP="00676FDB">
      <w:pPr>
        <w:pStyle w:val="Title"/>
        <w:rPr>
          <w:lang w:val="fr-WINDIES"/>
        </w:rPr>
      </w:pPr>
    </w:p>
    <w:p w:rsidR="00A17F13" w:rsidRPr="00F24220" w:rsidRDefault="00664D7D" w:rsidP="00D032CB">
      <w:pPr>
        <w:pStyle w:val="Title"/>
        <w:pBdr>
          <w:top w:val="single" w:sz="4" w:space="1" w:color="auto"/>
          <w:left w:val="single" w:sz="4" w:space="4" w:color="auto"/>
          <w:bottom w:val="single" w:sz="4" w:space="1" w:color="auto"/>
          <w:right w:val="single" w:sz="4" w:space="4" w:color="auto"/>
        </w:pBdr>
        <w:spacing w:line="276" w:lineRule="auto"/>
      </w:pPr>
      <w:r>
        <w:rPr>
          <w:noProof/>
          <w:sz w:val="36"/>
          <w:szCs w:val="36"/>
          <w:lang w:val="fr-WINDIES"/>
        </w:rPr>
        <w:t xml:space="preserve">Rapport </w:t>
      </w:r>
      <w:r w:rsidR="00E876ED">
        <w:rPr>
          <w:noProof/>
          <w:sz w:val="36"/>
          <w:szCs w:val="36"/>
          <w:lang w:val="fr-WINDIES"/>
        </w:rPr>
        <w:t xml:space="preserve">final </w:t>
      </w:r>
      <w:r>
        <w:rPr>
          <w:noProof/>
          <w:sz w:val="36"/>
          <w:szCs w:val="36"/>
          <w:lang w:val="fr-WINDIES"/>
        </w:rPr>
        <w:t>d</w:t>
      </w:r>
      <w:r w:rsidR="0039163E">
        <w:rPr>
          <w:noProof/>
          <w:sz w:val="36"/>
          <w:szCs w:val="36"/>
          <w:lang w:val="fr-WINDIES"/>
        </w:rPr>
        <w:t>e suivi des débarquements et de</w:t>
      </w:r>
      <w:r>
        <w:rPr>
          <w:noProof/>
          <w:sz w:val="36"/>
          <w:szCs w:val="36"/>
          <w:lang w:val="fr-WINDIES"/>
        </w:rPr>
        <w:t>s usines de farine</w:t>
      </w:r>
      <w:r w:rsidR="001A7D7E">
        <w:rPr>
          <w:noProof/>
          <w:sz w:val="36"/>
          <w:szCs w:val="36"/>
          <w:lang w:val="fr-WINDIES"/>
        </w:rPr>
        <w:t xml:space="preserve"> </w:t>
      </w:r>
      <w:r w:rsidR="0039163E">
        <w:rPr>
          <w:noProof/>
          <w:sz w:val="36"/>
          <w:szCs w:val="36"/>
          <w:lang w:val="fr-WINDIES"/>
        </w:rPr>
        <w:t xml:space="preserve">pour la période </w:t>
      </w:r>
      <w:r w:rsidR="00D032CB">
        <w:rPr>
          <w:noProof/>
          <w:sz w:val="36"/>
          <w:szCs w:val="36"/>
          <w:lang w:val="fr-WINDIES"/>
        </w:rPr>
        <w:t xml:space="preserve">Mai à décembre </w:t>
      </w:r>
      <w:r w:rsidR="002F4026">
        <w:rPr>
          <w:noProof/>
          <w:sz w:val="36"/>
          <w:szCs w:val="36"/>
          <w:lang w:val="fr-WINDIES"/>
        </w:rPr>
        <w:t>2021</w:t>
      </w: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A17F13" w:rsidRPr="00F24220" w:rsidRDefault="00A17F13" w:rsidP="00A17F13">
      <w:pPr>
        <w:spacing w:after="0"/>
        <w:jc w:val="center"/>
      </w:pPr>
    </w:p>
    <w:p w:rsidR="001A7D7E" w:rsidRPr="003E3608" w:rsidRDefault="00D032CB" w:rsidP="00E876ED">
      <w:pPr>
        <w:spacing w:after="0"/>
        <w:jc w:val="right"/>
      </w:pPr>
      <w:r>
        <w:rPr>
          <w:rFonts w:ascii="Georgia" w:eastAsia="Times New Roman" w:hAnsi="Georgia" w:cs="Times New Roman"/>
          <w:color w:val="5192C9"/>
          <w:kern w:val="28"/>
          <w:sz w:val="24"/>
          <w:szCs w:val="32"/>
          <w:lang w:val="fr-WINDIES"/>
        </w:rPr>
        <w:t>décembre</w:t>
      </w:r>
      <w:r w:rsidR="00E876ED">
        <w:rPr>
          <w:rFonts w:ascii="Georgia" w:eastAsia="Times New Roman" w:hAnsi="Georgia" w:cs="Times New Roman"/>
          <w:color w:val="5192C9"/>
          <w:kern w:val="28"/>
          <w:sz w:val="24"/>
          <w:szCs w:val="32"/>
          <w:lang w:val="fr-WINDIES"/>
        </w:rPr>
        <w:t xml:space="preserve"> 2021</w:t>
      </w:r>
    </w:p>
    <w:p w:rsidR="001A7D7E" w:rsidRDefault="001A7D7E" w:rsidP="001A7D7E"/>
    <w:p w:rsidR="009B0331" w:rsidRDefault="009B0331" w:rsidP="001A7D7E"/>
    <w:p w:rsidR="009B0331" w:rsidRDefault="009B0331" w:rsidP="001A7D7E"/>
    <w:p w:rsidR="009B0331" w:rsidRDefault="009B0331" w:rsidP="001A7D7E"/>
    <w:p w:rsidR="00987B4B" w:rsidRDefault="00987B4B" w:rsidP="001A7D7E"/>
    <w:p w:rsidR="00987B4B" w:rsidRPr="00987B4B" w:rsidRDefault="0039163E" w:rsidP="00F86557">
      <w:pPr>
        <w:pBdr>
          <w:top w:val="single" w:sz="4" w:space="1" w:color="auto"/>
          <w:left w:val="single" w:sz="4" w:space="4" w:color="auto"/>
          <w:bottom w:val="single" w:sz="4" w:space="1" w:color="auto"/>
          <w:right w:val="single" w:sz="4" w:space="4" w:color="auto"/>
        </w:pBdr>
        <w:spacing w:after="0"/>
      </w:pPr>
      <w:r>
        <w:t>R</w:t>
      </w:r>
      <w:r w:rsidR="00987B4B">
        <w:t xml:space="preserve">apport </w:t>
      </w:r>
      <w:r>
        <w:t xml:space="preserve">préparé par </w:t>
      </w:r>
      <w:r w:rsidR="00987B4B">
        <w:t>Mrs : C-B Braham, M-A Jeyid, El-M Bouzouma, M-H-E</w:t>
      </w:r>
      <w:r w:rsidR="00D032CB">
        <w:t>jiwen, Kh. Ahmed et Jo Gascoigne</w:t>
      </w:r>
    </w:p>
    <w:p w:rsidR="00987B4B" w:rsidRPr="00987B4B" w:rsidRDefault="00987B4B" w:rsidP="001A7D7E"/>
    <w:p w:rsidR="006F58B7" w:rsidRPr="00987B4B" w:rsidRDefault="006F58B7" w:rsidP="009334A6">
      <w:pPr>
        <w:spacing w:after="0" w:line="259" w:lineRule="auto"/>
        <w:rPr>
          <w:noProof/>
          <w:sz w:val="36"/>
          <w:szCs w:val="36"/>
        </w:rPr>
      </w:pPr>
      <w:r w:rsidRPr="00987B4B">
        <w:rPr>
          <w:noProof/>
          <w:sz w:val="36"/>
          <w:szCs w:val="36"/>
        </w:rPr>
        <w:br w:type="page"/>
      </w:r>
    </w:p>
    <w:p w:rsidR="006F58B7" w:rsidRPr="00F86557" w:rsidRDefault="006F58B7">
      <w:pPr>
        <w:pStyle w:val="TOCHeading"/>
        <w:rPr>
          <w:lang w:val="fr-FR"/>
        </w:rPr>
      </w:pPr>
      <w:r>
        <w:rPr>
          <w:lang w:val="fr-FR"/>
        </w:rPr>
        <w:t>Table des matières</w:t>
      </w:r>
    </w:p>
    <w:p w:rsidR="007B33BD" w:rsidRPr="00856E8B" w:rsidRDefault="00D036E3">
      <w:pPr>
        <w:pStyle w:val="TOC1"/>
        <w:tabs>
          <w:tab w:val="left" w:pos="440"/>
          <w:tab w:val="right" w:leader="dot" w:pos="8494"/>
        </w:tabs>
        <w:rPr>
          <w:rFonts w:ascii="Calibri" w:eastAsia="Times New Roman" w:hAnsi="Calibri" w:cs="Times New Roman"/>
          <w:noProof/>
          <w:lang w:val="en-US"/>
        </w:rPr>
      </w:pPr>
      <w:r w:rsidRPr="00D036E3">
        <w:fldChar w:fldCharType="begin"/>
      </w:r>
      <w:r w:rsidR="006F58B7">
        <w:instrText xml:space="preserve"> TOC \o "1-3" \h \z \u </w:instrText>
      </w:r>
      <w:r w:rsidRPr="00D036E3">
        <w:fldChar w:fldCharType="separate"/>
      </w:r>
      <w:hyperlink w:anchor="_Toc71496164" w:history="1">
        <w:r w:rsidR="007B33BD" w:rsidRPr="0051279D">
          <w:rPr>
            <w:rStyle w:val="Hyperlink"/>
            <w:noProof/>
            <w:lang w:val="fr-WINDIES"/>
          </w:rPr>
          <w:t>I.</w:t>
        </w:r>
        <w:r w:rsidR="007B33BD" w:rsidRPr="00856E8B">
          <w:rPr>
            <w:rFonts w:ascii="Calibri" w:eastAsia="Times New Roman" w:hAnsi="Calibri" w:cs="Times New Roman"/>
            <w:noProof/>
            <w:lang w:val="en-US"/>
          </w:rPr>
          <w:tab/>
        </w:r>
        <w:r w:rsidR="007B33BD" w:rsidRPr="0051279D">
          <w:rPr>
            <w:rStyle w:val="Hyperlink"/>
            <w:noProof/>
            <w:lang w:val="fr-WINDIES"/>
          </w:rPr>
          <w:t>Introduction</w:t>
        </w:r>
        <w:r w:rsidR="007B33BD">
          <w:rPr>
            <w:noProof/>
            <w:webHidden/>
          </w:rPr>
          <w:tab/>
        </w:r>
        <w:r w:rsidR="007B33BD">
          <w:rPr>
            <w:noProof/>
            <w:webHidden/>
          </w:rPr>
          <w:fldChar w:fldCharType="begin"/>
        </w:r>
        <w:r w:rsidR="007B33BD">
          <w:rPr>
            <w:noProof/>
            <w:webHidden/>
          </w:rPr>
          <w:instrText xml:space="preserve"> PAGEREF _Toc71496164 \h </w:instrText>
        </w:r>
        <w:r w:rsidR="007B33BD">
          <w:rPr>
            <w:noProof/>
            <w:webHidden/>
          </w:rPr>
        </w:r>
        <w:r w:rsidR="007B33BD">
          <w:rPr>
            <w:noProof/>
            <w:webHidden/>
          </w:rPr>
          <w:fldChar w:fldCharType="separate"/>
        </w:r>
        <w:r w:rsidR="007B33BD">
          <w:rPr>
            <w:noProof/>
            <w:webHidden/>
          </w:rPr>
          <w:t>3</w:t>
        </w:r>
        <w:r w:rsidR="007B33BD">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65" w:history="1">
        <w:r w:rsidRPr="0051279D">
          <w:rPr>
            <w:rStyle w:val="Hyperlink"/>
            <w:noProof/>
            <w:lang w:val="fr-WINDIES"/>
          </w:rPr>
          <w:t>II.</w:t>
        </w:r>
        <w:r w:rsidRPr="00856E8B">
          <w:rPr>
            <w:rFonts w:ascii="Calibri" w:eastAsia="Times New Roman" w:hAnsi="Calibri" w:cs="Times New Roman"/>
            <w:noProof/>
            <w:lang w:val="en-US"/>
          </w:rPr>
          <w:tab/>
        </w:r>
        <w:r w:rsidRPr="0051279D">
          <w:rPr>
            <w:rStyle w:val="Hyperlink"/>
            <w:noProof/>
            <w:lang w:val="fr-WINDIES"/>
          </w:rPr>
          <w:t>Rappel historique et évolution des usines de farine</w:t>
        </w:r>
        <w:r>
          <w:rPr>
            <w:noProof/>
            <w:webHidden/>
          </w:rPr>
          <w:tab/>
        </w:r>
        <w:r>
          <w:rPr>
            <w:noProof/>
            <w:webHidden/>
          </w:rPr>
          <w:fldChar w:fldCharType="begin"/>
        </w:r>
        <w:r>
          <w:rPr>
            <w:noProof/>
            <w:webHidden/>
          </w:rPr>
          <w:instrText xml:space="preserve"> PAGEREF _Toc71496165 \h </w:instrText>
        </w:r>
        <w:r>
          <w:rPr>
            <w:noProof/>
            <w:webHidden/>
          </w:rPr>
        </w:r>
        <w:r>
          <w:rPr>
            <w:noProof/>
            <w:webHidden/>
          </w:rPr>
          <w:fldChar w:fldCharType="separate"/>
        </w:r>
        <w:r>
          <w:rPr>
            <w:noProof/>
            <w:webHidden/>
          </w:rPr>
          <w:t>4</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66" w:history="1">
        <w:r w:rsidRPr="0051279D">
          <w:rPr>
            <w:rStyle w:val="Hyperlink"/>
            <w:noProof/>
            <w:lang w:val="fr-WINDIES"/>
          </w:rPr>
          <w:t>III.</w:t>
        </w:r>
        <w:r w:rsidRPr="00856E8B">
          <w:rPr>
            <w:rFonts w:ascii="Calibri" w:eastAsia="Times New Roman" w:hAnsi="Calibri" w:cs="Times New Roman"/>
            <w:noProof/>
            <w:lang w:val="en-US"/>
          </w:rPr>
          <w:tab/>
        </w:r>
        <w:r w:rsidRPr="0051279D">
          <w:rPr>
            <w:rStyle w:val="Hyperlink"/>
            <w:noProof/>
            <w:lang w:val="fr-WINDIES"/>
          </w:rPr>
          <w:t>Evolution du parc ravitaillant les usines de farine</w:t>
        </w:r>
        <w:r>
          <w:rPr>
            <w:noProof/>
            <w:webHidden/>
          </w:rPr>
          <w:tab/>
        </w:r>
        <w:r>
          <w:rPr>
            <w:noProof/>
            <w:webHidden/>
          </w:rPr>
          <w:fldChar w:fldCharType="begin"/>
        </w:r>
        <w:r>
          <w:rPr>
            <w:noProof/>
            <w:webHidden/>
          </w:rPr>
          <w:instrText xml:space="preserve"> PAGEREF _Toc71496166 \h </w:instrText>
        </w:r>
        <w:r>
          <w:rPr>
            <w:noProof/>
            <w:webHidden/>
          </w:rPr>
        </w:r>
        <w:r>
          <w:rPr>
            <w:noProof/>
            <w:webHidden/>
          </w:rPr>
          <w:fldChar w:fldCharType="separate"/>
        </w:r>
        <w:r>
          <w:rPr>
            <w:noProof/>
            <w:webHidden/>
          </w:rPr>
          <w:t>8</w:t>
        </w:r>
        <w:r>
          <w:rPr>
            <w:noProof/>
            <w:webHidden/>
          </w:rPr>
          <w:fldChar w:fldCharType="end"/>
        </w:r>
      </w:hyperlink>
    </w:p>
    <w:p w:rsidR="007B33BD" w:rsidRPr="00856E8B" w:rsidRDefault="007B33BD">
      <w:pPr>
        <w:pStyle w:val="TOC1"/>
        <w:tabs>
          <w:tab w:val="left" w:pos="660"/>
          <w:tab w:val="right" w:leader="dot" w:pos="8494"/>
        </w:tabs>
        <w:rPr>
          <w:rFonts w:ascii="Calibri" w:eastAsia="Times New Roman" w:hAnsi="Calibri" w:cs="Times New Roman"/>
          <w:noProof/>
          <w:lang w:val="en-US"/>
        </w:rPr>
      </w:pPr>
      <w:hyperlink w:anchor="_Toc71496167" w:history="1">
        <w:r w:rsidRPr="0051279D">
          <w:rPr>
            <w:rStyle w:val="Hyperlink"/>
            <w:noProof/>
            <w:lang w:val="fr-WINDIES"/>
          </w:rPr>
          <w:t>IV.</w:t>
        </w:r>
        <w:r w:rsidRPr="00856E8B">
          <w:rPr>
            <w:rFonts w:ascii="Calibri" w:eastAsia="Times New Roman" w:hAnsi="Calibri" w:cs="Times New Roman"/>
            <w:noProof/>
            <w:lang w:val="en-US"/>
          </w:rPr>
          <w:tab/>
        </w:r>
        <w:r w:rsidRPr="0051279D">
          <w:rPr>
            <w:rStyle w:val="Hyperlink"/>
            <w:noProof/>
            <w:lang w:val="fr-WINDIES"/>
          </w:rPr>
          <w:t>Evolution de la quantité de farine produite en Mauritanie</w:t>
        </w:r>
        <w:r>
          <w:rPr>
            <w:noProof/>
            <w:webHidden/>
          </w:rPr>
          <w:tab/>
        </w:r>
        <w:r>
          <w:rPr>
            <w:noProof/>
            <w:webHidden/>
          </w:rPr>
          <w:fldChar w:fldCharType="begin"/>
        </w:r>
        <w:r>
          <w:rPr>
            <w:noProof/>
            <w:webHidden/>
          </w:rPr>
          <w:instrText xml:space="preserve"> PAGEREF _Toc71496167 \h </w:instrText>
        </w:r>
        <w:r>
          <w:rPr>
            <w:noProof/>
            <w:webHidden/>
          </w:rPr>
        </w:r>
        <w:r>
          <w:rPr>
            <w:noProof/>
            <w:webHidden/>
          </w:rPr>
          <w:fldChar w:fldCharType="separate"/>
        </w:r>
        <w:r>
          <w:rPr>
            <w:noProof/>
            <w:webHidden/>
          </w:rPr>
          <w:t>10</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68" w:history="1">
        <w:r w:rsidRPr="0051279D">
          <w:rPr>
            <w:rStyle w:val="Hyperlink"/>
            <w:noProof/>
            <w:lang w:val="fr-WINDIES"/>
          </w:rPr>
          <w:t>V.</w:t>
        </w:r>
        <w:r w:rsidRPr="00856E8B">
          <w:rPr>
            <w:rFonts w:ascii="Calibri" w:eastAsia="Times New Roman" w:hAnsi="Calibri" w:cs="Times New Roman"/>
            <w:noProof/>
            <w:lang w:val="en-US"/>
          </w:rPr>
          <w:tab/>
        </w:r>
        <w:r w:rsidRPr="0051279D">
          <w:rPr>
            <w:rStyle w:val="Hyperlink"/>
            <w:noProof/>
            <w:lang w:val="fr-WINDIES"/>
          </w:rPr>
          <w:t>Echantillonnage des tailles au niveau des usines</w:t>
        </w:r>
        <w:r>
          <w:rPr>
            <w:noProof/>
            <w:webHidden/>
          </w:rPr>
          <w:tab/>
        </w:r>
        <w:r>
          <w:rPr>
            <w:noProof/>
            <w:webHidden/>
          </w:rPr>
          <w:fldChar w:fldCharType="begin"/>
        </w:r>
        <w:r>
          <w:rPr>
            <w:noProof/>
            <w:webHidden/>
          </w:rPr>
          <w:instrText xml:space="preserve"> PAGEREF _Toc71496168 \h </w:instrText>
        </w:r>
        <w:r>
          <w:rPr>
            <w:noProof/>
            <w:webHidden/>
          </w:rPr>
        </w:r>
        <w:r>
          <w:rPr>
            <w:noProof/>
            <w:webHidden/>
          </w:rPr>
          <w:fldChar w:fldCharType="separate"/>
        </w:r>
        <w:r>
          <w:rPr>
            <w:noProof/>
            <w:webHidden/>
          </w:rPr>
          <w:t>12</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69" w:history="1">
        <w:r w:rsidRPr="0051279D">
          <w:rPr>
            <w:rStyle w:val="Hyperlink"/>
            <w:rFonts w:eastAsia="Times New Roman" w:cs="Times New Roman"/>
            <w:bCs/>
            <w:noProof/>
            <w:lang w:val="fr-WINDIES"/>
          </w:rPr>
          <w:t>a.</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Période octobre à décembre</w:t>
        </w:r>
        <w:r>
          <w:rPr>
            <w:noProof/>
            <w:webHidden/>
          </w:rPr>
          <w:tab/>
        </w:r>
        <w:r>
          <w:rPr>
            <w:noProof/>
            <w:webHidden/>
          </w:rPr>
          <w:fldChar w:fldCharType="begin"/>
        </w:r>
        <w:r>
          <w:rPr>
            <w:noProof/>
            <w:webHidden/>
          </w:rPr>
          <w:instrText xml:space="preserve"> PAGEREF _Toc71496169 \h </w:instrText>
        </w:r>
        <w:r>
          <w:rPr>
            <w:noProof/>
            <w:webHidden/>
          </w:rPr>
        </w:r>
        <w:r>
          <w:rPr>
            <w:noProof/>
            <w:webHidden/>
          </w:rPr>
          <w:fldChar w:fldCharType="separate"/>
        </w:r>
        <w:r>
          <w:rPr>
            <w:noProof/>
            <w:webHidden/>
          </w:rPr>
          <w:t>12</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70" w:history="1">
        <w:r w:rsidRPr="0051279D">
          <w:rPr>
            <w:rStyle w:val="Hyperlink"/>
            <w:rFonts w:eastAsia="Times New Roman" w:cs="Times New Roman"/>
            <w:bCs/>
            <w:noProof/>
            <w:lang w:val="fr-WINDIES"/>
          </w:rPr>
          <w:t>b.</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Période janvier à avril 2021</w:t>
        </w:r>
        <w:r>
          <w:rPr>
            <w:noProof/>
            <w:webHidden/>
          </w:rPr>
          <w:tab/>
        </w:r>
        <w:r>
          <w:rPr>
            <w:noProof/>
            <w:webHidden/>
          </w:rPr>
          <w:fldChar w:fldCharType="begin"/>
        </w:r>
        <w:r>
          <w:rPr>
            <w:noProof/>
            <w:webHidden/>
          </w:rPr>
          <w:instrText xml:space="preserve"> PAGEREF _Toc71496170 \h </w:instrText>
        </w:r>
        <w:r>
          <w:rPr>
            <w:noProof/>
            <w:webHidden/>
          </w:rPr>
        </w:r>
        <w:r>
          <w:rPr>
            <w:noProof/>
            <w:webHidden/>
          </w:rPr>
          <w:fldChar w:fldCharType="separate"/>
        </w:r>
        <w:r>
          <w:rPr>
            <w:noProof/>
            <w:webHidden/>
          </w:rPr>
          <w:t>19</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71" w:history="1">
        <w:r w:rsidRPr="0051279D">
          <w:rPr>
            <w:rStyle w:val="Hyperlink"/>
            <w:rFonts w:eastAsia="Times New Roman" w:cs="Times New Roman"/>
            <w:bCs/>
            <w:noProof/>
            <w:lang w:val="fr-WINDIES"/>
          </w:rPr>
          <w:t>c.</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Synthèse de l’évolution des tailles en 2020</w:t>
        </w:r>
        <w:r>
          <w:rPr>
            <w:noProof/>
            <w:webHidden/>
          </w:rPr>
          <w:tab/>
        </w:r>
        <w:r>
          <w:rPr>
            <w:noProof/>
            <w:webHidden/>
          </w:rPr>
          <w:fldChar w:fldCharType="begin"/>
        </w:r>
        <w:r>
          <w:rPr>
            <w:noProof/>
            <w:webHidden/>
          </w:rPr>
          <w:instrText xml:space="preserve"> PAGEREF _Toc71496171 \h </w:instrText>
        </w:r>
        <w:r>
          <w:rPr>
            <w:noProof/>
            <w:webHidden/>
          </w:rPr>
        </w:r>
        <w:r>
          <w:rPr>
            <w:noProof/>
            <w:webHidden/>
          </w:rPr>
          <w:fldChar w:fldCharType="separate"/>
        </w:r>
        <w:r>
          <w:rPr>
            <w:noProof/>
            <w:webHidden/>
          </w:rPr>
          <w:t>26</w:t>
        </w:r>
        <w:r>
          <w:rPr>
            <w:noProof/>
            <w:webHidden/>
          </w:rPr>
          <w:fldChar w:fldCharType="end"/>
        </w:r>
      </w:hyperlink>
    </w:p>
    <w:p w:rsidR="007B33BD" w:rsidRPr="00856E8B" w:rsidRDefault="007B33BD">
      <w:pPr>
        <w:pStyle w:val="TOC1"/>
        <w:tabs>
          <w:tab w:val="left" w:pos="660"/>
          <w:tab w:val="right" w:leader="dot" w:pos="8494"/>
        </w:tabs>
        <w:rPr>
          <w:rFonts w:ascii="Calibri" w:eastAsia="Times New Roman" w:hAnsi="Calibri" w:cs="Times New Roman"/>
          <w:noProof/>
          <w:lang w:val="en-US"/>
        </w:rPr>
      </w:pPr>
      <w:hyperlink w:anchor="_Toc71496172" w:history="1">
        <w:r w:rsidRPr="0051279D">
          <w:rPr>
            <w:rStyle w:val="Hyperlink"/>
            <w:noProof/>
            <w:lang w:val="fr-WINDIES"/>
          </w:rPr>
          <w:t>VI.</w:t>
        </w:r>
        <w:r w:rsidRPr="00856E8B">
          <w:rPr>
            <w:rFonts w:ascii="Calibri" w:eastAsia="Times New Roman" w:hAnsi="Calibri" w:cs="Times New Roman"/>
            <w:noProof/>
            <w:lang w:val="en-US"/>
          </w:rPr>
          <w:tab/>
        </w:r>
        <w:r w:rsidRPr="0051279D">
          <w:rPr>
            <w:rStyle w:val="Hyperlink"/>
            <w:noProof/>
            <w:lang w:val="fr-WINDIES"/>
          </w:rPr>
          <w:t>Analyses des données biologiques des espèces de petits pélagiques</w:t>
        </w:r>
        <w:r>
          <w:rPr>
            <w:noProof/>
            <w:webHidden/>
          </w:rPr>
          <w:tab/>
        </w:r>
        <w:r>
          <w:rPr>
            <w:noProof/>
            <w:webHidden/>
          </w:rPr>
          <w:fldChar w:fldCharType="begin"/>
        </w:r>
        <w:r>
          <w:rPr>
            <w:noProof/>
            <w:webHidden/>
          </w:rPr>
          <w:instrText xml:space="preserve"> PAGEREF _Toc71496172 \h </w:instrText>
        </w:r>
        <w:r>
          <w:rPr>
            <w:noProof/>
            <w:webHidden/>
          </w:rPr>
        </w:r>
        <w:r>
          <w:rPr>
            <w:noProof/>
            <w:webHidden/>
          </w:rPr>
          <w:fldChar w:fldCharType="separate"/>
        </w:r>
        <w:r>
          <w:rPr>
            <w:noProof/>
            <w:webHidden/>
          </w:rPr>
          <w:t>28</w:t>
        </w:r>
        <w:r>
          <w:rPr>
            <w:noProof/>
            <w:webHidden/>
          </w:rPr>
          <w:fldChar w:fldCharType="end"/>
        </w:r>
      </w:hyperlink>
    </w:p>
    <w:p w:rsidR="007B33BD" w:rsidRPr="00856E8B" w:rsidRDefault="007B33BD">
      <w:pPr>
        <w:pStyle w:val="TOC1"/>
        <w:tabs>
          <w:tab w:val="left" w:pos="660"/>
          <w:tab w:val="right" w:leader="dot" w:pos="8494"/>
        </w:tabs>
        <w:rPr>
          <w:rFonts w:ascii="Calibri" w:eastAsia="Times New Roman" w:hAnsi="Calibri" w:cs="Times New Roman"/>
          <w:noProof/>
          <w:lang w:val="en-US"/>
        </w:rPr>
      </w:pPr>
      <w:hyperlink w:anchor="_Toc71496173" w:history="1">
        <w:r w:rsidRPr="0051279D">
          <w:rPr>
            <w:rStyle w:val="Hyperlink"/>
            <w:noProof/>
            <w:lang w:val="fr-WINDIES"/>
          </w:rPr>
          <w:t>VII.</w:t>
        </w:r>
        <w:r w:rsidRPr="00856E8B">
          <w:rPr>
            <w:rFonts w:ascii="Calibri" w:eastAsia="Times New Roman" w:hAnsi="Calibri" w:cs="Times New Roman"/>
            <w:noProof/>
            <w:lang w:val="en-US"/>
          </w:rPr>
          <w:tab/>
        </w:r>
        <w:r w:rsidRPr="0051279D">
          <w:rPr>
            <w:rStyle w:val="Hyperlink"/>
            <w:noProof/>
            <w:lang w:val="fr-WINDIES"/>
          </w:rPr>
          <w:t>Valorisation des rejets des usines de farine</w:t>
        </w:r>
        <w:r>
          <w:rPr>
            <w:noProof/>
            <w:webHidden/>
          </w:rPr>
          <w:tab/>
        </w:r>
        <w:r>
          <w:rPr>
            <w:noProof/>
            <w:webHidden/>
          </w:rPr>
          <w:fldChar w:fldCharType="begin"/>
        </w:r>
        <w:r>
          <w:rPr>
            <w:noProof/>
            <w:webHidden/>
          </w:rPr>
          <w:instrText xml:space="preserve"> PAGEREF _Toc71496173 \h </w:instrText>
        </w:r>
        <w:r>
          <w:rPr>
            <w:noProof/>
            <w:webHidden/>
          </w:rPr>
        </w:r>
        <w:r>
          <w:rPr>
            <w:noProof/>
            <w:webHidden/>
          </w:rPr>
          <w:fldChar w:fldCharType="separate"/>
        </w:r>
        <w:r>
          <w:rPr>
            <w:noProof/>
            <w:webHidden/>
          </w:rPr>
          <w:t>32</w:t>
        </w:r>
        <w:r>
          <w:rPr>
            <w:noProof/>
            <w:webHidden/>
          </w:rPr>
          <w:fldChar w:fldCharType="end"/>
        </w:r>
      </w:hyperlink>
    </w:p>
    <w:p w:rsidR="007B33BD" w:rsidRPr="00856E8B" w:rsidRDefault="007B33BD">
      <w:pPr>
        <w:pStyle w:val="TOC1"/>
        <w:tabs>
          <w:tab w:val="left" w:pos="660"/>
          <w:tab w:val="right" w:leader="dot" w:pos="8494"/>
        </w:tabs>
        <w:rPr>
          <w:rFonts w:ascii="Calibri" w:eastAsia="Times New Roman" w:hAnsi="Calibri" w:cs="Times New Roman"/>
          <w:noProof/>
          <w:lang w:val="en-US"/>
        </w:rPr>
      </w:pPr>
      <w:hyperlink w:anchor="_Toc71496174" w:history="1">
        <w:r w:rsidRPr="0051279D">
          <w:rPr>
            <w:rStyle w:val="Hyperlink"/>
            <w:noProof/>
            <w:lang w:val="fr-WINDIES"/>
          </w:rPr>
          <w:t>VIII.</w:t>
        </w:r>
        <w:r w:rsidRPr="00856E8B">
          <w:rPr>
            <w:rFonts w:ascii="Calibri" w:eastAsia="Times New Roman" w:hAnsi="Calibri" w:cs="Times New Roman"/>
            <w:noProof/>
            <w:lang w:val="en-US"/>
          </w:rPr>
          <w:tab/>
        </w:r>
        <w:r w:rsidRPr="0051279D">
          <w:rPr>
            <w:rStyle w:val="Hyperlink"/>
            <w:noProof/>
            <w:lang w:val="fr-WINDIES"/>
          </w:rPr>
          <w:t>Conclusions et perspectives</w:t>
        </w:r>
        <w:r>
          <w:rPr>
            <w:noProof/>
            <w:webHidden/>
          </w:rPr>
          <w:tab/>
        </w:r>
        <w:r>
          <w:rPr>
            <w:noProof/>
            <w:webHidden/>
          </w:rPr>
          <w:fldChar w:fldCharType="begin"/>
        </w:r>
        <w:r>
          <w:rPr>
            <w:noProof/>
            <w:webHidden/>
          </w:rPr>
          <w:instrText xml:space="preserve"> PAGEREF _Toc71496174 \h </w:instrText>
        </w:r>
        <w:r>
          <w:rPr>
            <w:noProof/>
            <w:webHidden/>
          </w:rPr>
        </w:r>
        <w:r>
          <w:rPr>
            <w:noProof/>
            <w:webHidden/>
          </w:rPr>
          <w:fldChar w:fldCharType="separate"/>
        </w:r>
        <w:r>
          <w:rPr>
            <w:noProof/>
            <w:webHidden/>
          </w:rPr>
          <w:t>33</w:t>
        </w:r>
        <w:r>
          <w:rPr>
            <w:noProof/>
            <w:webHidden/>
          </w:rPr>
          <w:fldChar w:fldCharType="end"/>
        </w:r>
      </w:hyperlink>
    </w:p>
    <w:p w:rsidR="007B33BD" w:rsidRPr="00856E8B" w:rsidRDefault="007B33BD">
      <w:pPr>
        <w:pStyle w:val="TOC1"/>
        <w:tabs>
          <w:tab w:val="right" w:leader="dot" w:pos="8494"/>
        </w:tabs>
        <w:rPr>
          <w:rFonts w:ascii="Calibri" w:eastAsia="Times New Roman" w:hAnsi="Calibri" w:cs="Times New Roman"/>
          <w:noProof/>
          <w:lang w:val="en-US"/>
        </w:rPr>
      </w:pPr>
      <w:hyperlink w:anchor="_Toc71496175" w:history="1">
        <w:r w:rsidRPr="0051279D">
          <w:rPr>
            <w:rStyle w:val="Hyperlink"/>
            <w:noProof/>
            <w:lang w:val="fr-WINDIES"/>
          </w:rPr>
          <w:t>ReMerciement</w:t>
        </w:r>
        <w:r w:rsidRPr="0051279D">
          <w:rPr>
            <w:rStyle w:val="Hyperlink"/>
            <w:noProof/>
          </w:rPr>
          <w:t>s</w:t>
        </w:r>
        <w:r>
          <w:rPr>
            <w:noProof/>
            <w:webHidden/>
          </w:rPr>
          <w:tab/>
        </w:r>
        <w:r>
          <w:rPr>
            <w:noProof/>
            <w:webHidden/>
          </w:rPr>
          <w:fldChar w:fldCharType="begin"/>
        </w:r>
        <w:r>
          <w:rPr>
            <w:noProof/>
            <w:webHidden/>
          </w:rPr>
          <w:instrText xml:space="preserve"> PAGEREF _Toc71496175 \h </w:instrText>
        </w:r>
        <w:r>
          <w:rPr>
            <w:noProof/>
            <w:webHidden/>
          </w:rPr>
        </w:r>
        <w:r>
          <w:rPr>
            <w:noProof/>
            <w:webHidden/>
          </w:rPr>
          <w:fldChar w:fldCharType="separate"/>
        </w:r>
        <w:r>
          <w:rPr>
            <w:noProof/>
            <w:webHidden/>
          </w:rPr>
          <w:t>35</w:t>
        </w:r>
        <w:r>
          <w:rPr>
            <w:noProof/>
            <w:webHidden/>
          </w:rPr>
          <w:fldChar w:fldCharType="end"/>
        </w:r>
      </w:hyperlink>
    </w:p>
    <w:p w:rsidR="007B33BD" w:rsidRPr="00856E8B" w:rsidRDefault="007B33BD">
      <w:pPr>
        <w:pStyle w:val="TOC1"/>
        <w:tabs>
          <w:tab w:val="right" w:leader="dot" w:pos="8494"/>
        </w:tabs>
        <w:rPr>
          <w:rFonts w:ascii="Calibri" w:eastAsia="Times New Roman" w:hAnsi="Calibri" w:cs="Times New Roman"/>
          <w:noProof/>
          <w:lang w:val="en-US"/>
        </w:rPr>
      </w:pPr>
      <w:hyperlink w:anchor="_Toc71496176" w:history="1">
        <w:r w:rsidRPr="0051279D">
          <w:rPr>
            <w:rStyle w:val="Hyperlink"/>
            <w:noProof/>
            <w:lang w:val="fr-WINDIES"/>
          </w:rPr>
          <w:t>Equipe du projet</w:t>
        </w:r>
        <w:r>
          <w:rPr>
            <w:noProof/>
            <w:webHidden/>
          </w:rPr>
          <w:tab/>
        </w:r>
        <w:r>
          <w:rPr>
            <w:noProof/>
            <w:webHidden/>
          </w:rPr>
          <w:fldChar w:fldCharType="begin"/>
        </w:r>
        <w:r>
          <w:rPr>
            <w:noProof/>
            <w:webHidden/>
          </w:rPr>
          <w:instrText xml:space="preserve"> PAGEREF _Toc71496176 \h </w:instrText>
        </w:r>
        <w:r>
          <w:rPr>
            <w:noProof/>
            <w:webHidden/>
          </w:rPr>
        </w:r>
        <w:r>
          <w:rPr>
            <w:noProof/>
            <w:webHidden/>
          </w:rPr>
          <w:fldChar w:fldCharType="separate"/>
        </w:r>
        <w:r>
          <w:rPr>
            <w:noProof/>
            <w:webHidden/>
          </w:rPr>
          <w:t>35</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77" w:history="1">
        <w:r w:rsidRPr="0051279D">
          <w:rPr>
            <w:rStyle w:val="Hyperlink"/>
            <w:rFonts w:eastAsia="Times New Roman" w:cs="Times New Roman"/>
            <w:bCs/>
            <w:noProof/>
            <w:lang w:val="fr-WINDIES"/>
          </w:rPr>
          <w:t>IX.</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Annexes</w:t>
        </w:r>
        <w:r>
          <w:rPr>
            <w:noProof/>
            <w:webHidden/>
          </w:rPr>
          <w:tab/>
        </w:r>
        <w:r>
          <w:rPr>
            <w:noProof/>
            <w:webHidden/>
          </w:rPr>
          <w:fldChar w:fldCharType="begin"/>
        </w:r>
        <w:r>
          <w:rPr>
            <w:noProof/>
            <w:webHidden/>
          </w:rPr>
          <w:instrText xml:space="preserve"> PAGEREF _Toc71496177 \h </w:instrText>
        </w:r>
        <w:r>
          <w:rPr>
            <w:noProof/>
            <w:webHidden/>
          </w:rPr>
        </w:r>
        <w:r>
          <w:rPr>
            <w:noProof/>
            <w:webHidden/>
          </w:rPr>
          <w:fldChar w:fldCharType="separate"/>
        </w:r>
        <w:r>
          <w:rPr>
            <w:noProof/>
            <w:webHidden/>
          </w:rPr>
          <w:t>36</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78" w:history="1">
        <w:r w:rsidRPr="0051279D">
          <w:rPr>
            <w:rStyle w:val="Hyperlink"/>
            <w:rFonts w:eastAsia="Times New Roman" w:cs="Times New Roman"/>
            <w:bCs/>
            <w:noProof/>
            <w:lang w:val="fr-WINDIES"/>
          </w:rPr>
          <w:t>a.</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Annexe 1: Elaboration du protocole de collecte des données au niveau des usines de farine</w:t>
        </w:r>
        <w:r>
          <w:rPr>
            <w:noProof/>
            <w:webHidden/>
          </w:rPr>
          <w:tab/>
        </w:r>
        <w:r>
          <w:rPr>
            <w:noProof/>
            <w:webHidden/>
          </w:rPr>
          <w:fldChar w:fldCharType="begin"/>
        </w:r>
        <w:r>
          <w:rPr>
            <w:noProof/>
            <w:webHidden/>
          </w:rPr>
          <w:instrText xml:space="preserve"> PAGEREF _Toc71496178 \h </w:instrText>
        </w:r>
        <w:r>
          <w:rPr>
            <w:noProof/>
            <w:webHidden/>
          </w:rPr>
        </w:r>
        <w:r>
          <w:rPr>
            <w:noProof/>
            <w:webHidden/>
          </w:rPr>
          <w:fldChar w:fldCharType="separate"/>
        </w:r>
        <w:r>
          <w:rPr>
            <w:noProof/>
            <w:webHidden/>
          </w:rPr>
          <w:t>36</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79" w:history="1">
        <w:r w:rsidRPr="0051279D">
          <w:rPr>
            <w:rStyle w:val="Hyperlink"/>
            <w:rFonts w:ascii="Symbol" w:eastAsia="Times New Roman" w:hAnsi="Symbol" w:cs="Times New Roman"/>
            <w:bCs/>
            <w:noProof/>
            <w:lang w:val="fr-WINDIES"/>
          </w:rPr>
          <w:t></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Fiche de suivi de la production des usines de farine et huile de poisson :</w:t>
        </w:r>
        <w:r>
          <w:rPr>
            <w:noProof/>
            <w:webHidden/>
          </w:rPr>
          <w:tab/>
        </w:r>
        <w:r>
          <w:rPr>
            <w:noProof/>
            <w:webHidden/>
          </w:rPr>
          <w:fldChar w:fldCharType="begin"/>
        </w:r>
        <w:r>
          <w:rPr>
            <w:noProof/>
            <w:webHidden/>
          </w:rPr>
          <w:instrText xml:space="preserve"> PAGEREF _Toc71496179 \h </w:instrText>
        </w:r>
        <w:r>
          <w:rPr>
            <w:noProof/>
            <w:webHidden/>
          </w:rPr>
        </w:r>
        <w:r>
          <w:rPr>
            <w:noProof/>
            <w:webHidden/>
          </w:rPr>
          <w:fldChar w:fldCharType="separate"/>
        </w:r>
        <w:r>
          <w:rPr>
            <w:noProof/>
            <w:webHidden/>
          </w:rPr>
          <w:t>36</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80" w:history="1">
        <w:r w:rsidRPr="0051279D">
          <w:rPr>
            <w:rStyle w:val="Hyperlink"/>
            <w:rFonts w:ascii="Symbol" w:eastAsia="Times New Roman" w:hAnsi="Symbol" w:cs="Times New Roman"/>
            <w:bCs/>
            <w:noProof/>
            <w:lang w:val="fr-WINDIES"/>
          </w:rPr>
          <w:t></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Fiche de données biologiques :</w:t>
        </w:r>
        <w:r>
          <w:rPr>
            <w:noProof/>
            <w:webHidden/>
          </w:rPr>
          <w:tab/>
        </w:r>
        <w:r>
          <w:rPr>
            <w:noProof/>
            <w:webHidden/>
          </w:rPr>
          <w:fldChar w:fldCharType="begin"/>
        </w:r>
        <w:r>
          <w:rPr>
            <w:noProof/>
            <w:webHidden/>
          </w:rPr>
          <w:instrText xml:space="preserve"> PAGEREF _Toc71496180 \h </w:instrText>
        </w:r>
        <w:r>
          <w:rPr>
            <w:noProof/>
            <w:webHidden/>
          </w:rPr>
        </w:r>
        <w:r>
          <w:rPr>
            <w:noProof/>
            <w:webHidden/>
          </w:rPr>
          <w:fldChar w:fldCharType="separate"/>
        </w:r>
        <w:r>
          <w:rPr>
            <w:noProof/>
            <w:webHidden/>
          </w:rPr>
          <w:t>37</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81" w:history="1">
        <w:r w:rsidRPr="0051279D">
          <w:rPr>
            <w:rStyle w:val="Hyperlink"/>
            <w:rFonts w:ascii="Symbol" w:eastAsia="Times New Roman" w:hAnsi="Symbol" w:cs="Times New Roman"/>
            <w:bCs/>
            <w:noProof/>
            <w:lang w:val="fr-WINDIES"/>
          </w:rPr>
          <w:t></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Fiche de mensuration :</w:t>
        </w:r>
        <w:r>
          <w:rPr>
            <w:noProof/>
            <w:webHidden/>
          </w:rPr>
          <w:tab/>
        </w:r>
        <w:r>
          <w:rPr>
            <w:noProof/>
            <w:webHidden/>
          </w:rPr>
          <w:fldChar w:fldCharType="begin"/>
        </w:r>
        <w:r>
          <w:rPr>
            <w:noProof/>
            <w:webHidden/>
          </w:rPr>
          <w:instrText xml:space="preserve"> PAGEREF _Toc71496181 \h </w:instrText>
        </w:r>
        <w:r>
          <w:rPr>
            <w:noProof/>
            <w:webHidden/>
          </w:rPr>
        </w:r>
        <w:r>
          <w:rPr>
            <w:noProof/>
            <w:webHidden/>
          </w:rPr>
          <w:fldChar w:fldCharType="separate"/>
        </w:r>
        <w:r>
          <w:rPr>
            <w:noProof/>
            <w:webHidden/>
          </w:rPr>
          <w:t>37</w:t>
        </w:r>
        <w:r>
          <w:rPr>
            <w:noProof/>
            <w:webHidden/>
          </w:rPr>
          <w:fldChar w:fldCharType="end"/>
        </w:r>
      </w:hyperlink>
    </w:p>
    <w:p w:rsidR="007B33BD" w:rsidRPr="00856E8B" w:rsidRDefault="007B33BD">
      <w:pPr>
        <w:pStyle w:val="TOC1"/>
        <w:tabs>
          <w:tab w:val="left" w:pos="440"/>
          <w:tab w:val="right" w:leader="dot" w:pos="8494"/>
        </w:tabs>
        <w:rPr>
          <w:rFonts w:ascii="Calibri" w:eastAsia="Times New Roman" w:hAnsi="Calibri" w:cs="Times New Roman"/>
          <w:noProof/>
          <w:lang w:val="en-US"/>
        </w:rPr>
      </w:pPr>
      <w:hyperlink w:anchor="_Toc71496182" w:history="1">
        <w:r w:rsidRPr="0051279D">
          <w:rPr>
            <w:rStyle w:val="Hyperlink"/>
            <w:rFonts w:eastAsia="Times New Roman" w:cs="Times New Roman"/>
            <w:bCs/>
            <w:noProof/>
            <w:lang w:val="fr-WINDIES"/>
          </w:rPr>
          <w:t>b.</w:t>
        </w:r>
        <w:r w:rsidRPr="00856E8B">
          <w:rPr>
            <w:rFonts w:ascii="Calibri" w:eastAsia="Times New Roman" w:hAnsi="Calibri" w:cs="Times New Roman"/>
            <w:noProof/>
            <w:lang w:val="en-US"/>
          </w:rPr>
          <w:tab/>
        </w:r>
        <w:r w:rsidRPr="0051279D">
          <w:rPr>
            <w:rStyle w:val="Hyperlink"/>
            <w:rFonts w:eastAsia="Times New Roman" w:cs="Times New Roman"/>
            <w:bCs/>
            <w:noProof/>
            <w:lang w:val="fr-WINDIES"/>
          </w:rPr>
          <w:t>Annexe 2 liste de bateaux, pirogues et usines échantillonnées :</w:t>
        </w:r>
        <w:r>
          <w:rPr>
            <w:noProof/>
            <w:webHidden/>
          </w:rPr>
          <w:tab/>
        </w:r>
        <w:r>
          <w:rPr>
            <w:noProof/>
            <w:webHidden/>
          </w:rPr>
          <w:fldChar w:fldCharType="begin"/>
        </w:r>
        <w:r>
          <w:rPr>
            <w:noProof/>
            <w:webHidden/>
          </w:rPr>
          <w:instrText xml:space="preserve"> PAGEREF _Toc71496182 \h </w:instrText>
        </w:r>
        <w:r>
          <w:rPr>
            <w:noProof/>
            <w:webHidden/>
          </w:rPr>
        </w:r>
        <w:r>
          <w:rPr>
            <w:noProof/>
            <w:webHidden/>
          </w:rPr>
          <w:fldChar w:fldCharType="separate"/>
        </w:r>
        <w:r>
          <w:rPr>
            <w:noProof/>
            <w:webHidden/>
          </w:rPr>
          <w:t>39</w:t>
        </w:r>
        <w:r>
          <w:rPr>
            <w:noProof/>
            <w:webHidden/>
          </w:rPr>
          <w:fldChar w:fldCharType="end"/>
        </w:r>
      </w:hyperlink>
    </w:p>
    <w:p w:rsidR="006F58B7" w:rsidRDefault="00D036E3">
      <w:r>
        <w:rPr>
          <w:b/>
          <w:bCs/>
        </w:rPr>
        <w:fldChar w:fldCharType="end"/>
      </w:r>
    </w:p>
    <w:p w:rsidR="006F58B7" w:rsidRDefault="006F58B7">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9B0331" w:rsidRDefault="009B0331">
      <w:pPr>
        <w:spacing w:after="160" w:line="259" w:lineRule="auto"/>
        <w:rPr>
          <w:noProof/>
          <w:szCs w:val="36"/>
        </w:rPr>
      </w:pPr>
    </w:p>
    <w:p w:rsidR="00BE67C9" w:rsidRPr="004606D6" w:rsidRDefault="004A04AB" w:rsidP="00661A15">
      <w:pPr>
        <w:pStyle w:val="Heading1"/>
        <w:numPr>
          <w:ilvl w:val="0"/>
          <w:numId w:val="5"/>
        </w:numPr>
        <w:rPr>
          <w:caps w:val="0"/>
          <w:sz w:val="26"/>
          <w:szCs w:val="26"/>
          <w:lang w:val="fr-WINDIES"/>
        </w:rPr>
      </w:pPr>
      <w:bookmarkStart w:id="2" w:name="_Toc71496164"/>
      <w:r w:rsidRPr="004606D6">
        <w:rPr>
          <w:caps w:val="0"/>
          <w:sz w:val="26"/>
          <w:szCs w:val="26"/>
          <w:lang w:val="fr-WINDIES"/>
        </w:rPr>
        <w:lastRenderedPageBreak/>
        <w:t>Introduction</w:t>
      </w:r>
      <w:bookmarkEnd w:id="2"/>
    </w:p>
    <w:p w:rsidR="0048088A" w:rsidRDefault="0048088A" w:rsidP="0048088A">
      <w:pPr>
        <w:pStyle w:val="text"/>
        <w:tabs>
          <w:tab w:val="left" w:pos="0"/>
        </w:tabs>
        <w:rPr>
          <w:rFonts w:ascii="Arial Narrow" w:hAnsi="Arial Narrow"/>
          <w:sz w:val="24"/>
          <w:szCs w:val="24"/>
          <w:lang w:val="fr-WINDIES"/>
        </w:rPr>
      </w:pPr>
    </w:p>
    <w:p w:rsidR="0048088A" w:rsidRPr="003B18FD" w:rsidRDefault="0048088A" w:rsidP="0048088A">
      <w:pPr>
        <w:pStyle w:val="text"/>
        <w:tabs>
          <w:tab w:val="left" w:pos="0"/>
        </w:tabs>
        <w:rPr>
          <w:rFonts w:ascii="Calibri Light" w:eastAsia="Calibri" w:hAnsi="Calibri Light" w:cs="Calibri Light"/>
          <w:color w:val="auto"/>
          <w:kern w:val="0"/>
          <w:sz w:val="24"/>
          <w:szCs w:val="22"/>
          <w:lang w:val="fr-FR"/>
        </w:rPr>
      </w:pPr>
      <w:r w:rsidRPr="003B18FD">
        <w:rPr>
          <w:rFonts w:ascii="Calibri Light" w:eastAsia="Calibri" w:hAnsi="Calibri Light" w:cs="Calibri Light"/>
          <w:color w:val="auto"/>
          <w:kern w:val="0"/>
          <w:sz w:val="24"/>
          <w:szCs w:val="22"/>
          <w:lang w:val="fr-FR"/>
        </w:rPr>
        <w:t>Les principales espèces en pélagiques exploitées dans cette zone mauritanienne appartiennent aux groupes des clupéidés, carangidés, scombridés et engraulidés. Les stocks de ces espèces migratrices sont partagés entre plusieurs pays de la sous-région. Ces espèces jouent un rôle écologique, social et économique de premier ordre. Elles se situent au milieu de la chaine trophique et constituent un élément essentiel du régime alimentaire de la plupart des poissons piscivores (poissons démersaux, courbine, tassergal, thons, etc.), des mammifères et des oiseaux marins. Les évaluations récentes des stocks des petits pélagiques montrent des biomasses fluctuantes en raison notamment des changements hydro-climatiques et du niveau de l’exploitation.</w:t>
      </w:r>
    </w:p>
    <w:p w:rsidR="0048088A" w:rsidRPr="003B18FD" w:rsidDel="00FD5C42" w:rsidRDefault="0048088A" w:rsidP="0048088A">
      <w:pPr>
        <w:pStyle w:val="text"/>
        <w:tabs>
          <w:tab w:val="left" w:pos="0"/>
        </w:tabs>
        <w:rPr>
          <w:rFonts w:ascii="Calibri Light" w:eastAsia="Calibri" w:hAnsi="Calibri Light" w:cs="Calibri Light"/>
          <w:color w:val="auto"/>
          <w:kern w:val="0"/>
          <w:sz w:val="24"/>
          <w:szCs w:val="22"/>
          <w:lang w:val="fr-FR"/>
        </w:rPr>
      </w:pPr>
      <w:r w:rsidRPr="003B18FD">
        <w:rPr>
          <w:rFonts w:ascii="Calibri Light" w:eastAsia="Calibri" w:hAnsi="Calibri Light" w:cs="Calibri Light"/>
          <w:color w:val="auto"/>
          <w:kern w:val="0"/>
          <w:sz w:val="24"/>
          <w:szCs w:val="22"/>
          <w:lang w:val="fr-FR"/>
        </w:rPr>
        <w:t>Les captures des petits pélagiques en Mauritanie se situent en moyenne à plus d’un million de tonnes par an en fonction des fluctuations environnementales annuelles et de l’effort de pêche, leur contribution dans les captures globales peut atteindre plus de 80 %. Ces espèces, qui étaient en grande partie exploitées par des flottilles industrielles étrangères opérant sous le régime de la licence libre, sont de plus en plus ciblées par des flottilles artisanales, côtières.</w:t>
      </w:r>
    </w:p>
    <w:p w:rsidR="0048088A" w:rsidRPr="003B18FD" w:rsidRDefault="0048088A" w:rsidP="0048088A">
      <w:pPr>
        <w:pStyle w:val="text"/>
        <w:tabs>
          <w:tab w:val="left" w:pos="0"/>
        </w:tabs>
        <w:rPr>
          <w:rFonts w:ascii="Calibri Light" w:eastAsia="Calibri" w:hAnsi="Calibri Light" w:cs="Calibri Light"/>
          <w:color w:val="auto"/>
          <w:kern w:val="0"/>
          <w:sz w:val="24"/>
          <w:szCs w:val="22"/>
          <w:lang w:val="fr-FR"/>
        </w:rPr>
      </w:pPr>
      <w:r w:rsidRPr="003B18FD">
        <w:rPr>
          <w:rFonts w:ascii="Calibri Light" w:eastAsia="Calibri" w:hAnsi="Calibri Light" w:cs="Calibri Light"/>
          <w:color w:val="auto"/>
          <w:kern w:val="0"/>
          <w:sz w:val="24"/>
          <w:szCs w:val="22"/>
          <w:lang w:val="fr-FR"/>
        </w:rPr>
        <w:t xml:space="preserve">On assiste depuis 2012 à l’expansion de </w:t>
      </w:r>
      <w:bookmarkStart w:id="3" w:name="_Hlk91679743"/>
      <w:r w:rsidRPr="003B18FD">
        <w:rPr>
          <w:rFonts w:ascii="Calibri Light" w:eastAsia="Calibri" w:hAnsi="Calibri Light" w:cs="Calibri Light"/>
          <w:color w:val="auto"/>
          <w:kern w:val="0"/>
          <w:sz w:val="24"/>
          <w:szCs w:val="22"/>
          <w:lang w:val="fr-FR"/>
        </w:rPr>
        <w:t xml:space="preserve">l’industrie de farine et d’huile de poissons </w:t>
      </w:r>
      <w:bookmarkEnd w:id="3"/>
      <w:r w:rsidRPr="003B18FD">
        <w:rPr>
          <w:rFonts w:ascii="Calibri Light" w:eastAsia="Calibri" w:hAnsi="Calibri Light" w:cs="Calibri Light"/>
          <w:color w:val="auto"/>
          <w:kern w:val="0"/>
          <w:sz w:val="24"/>
          <w:szCs w:val="22"/>
          <w:lang w:val="fr-FR"/>
        </w:rPr>
        <w:t xml:space="preserve">qui nécessite une attention particulière en vue de maitriser le dimensionnement de ces unités et la capacité de pêche et éviter la dégradation, voire l’effondrement des stocks en difficultés (sardinelle ronde, l’éthmalose, etc.). </w:t>
      </w:r>
    </w:p>
    <w:p w:rsidR="00387BB7" w:rsidRPr="00183054" w:rsidRDefault="0048088A" w:rsidP="003B18FD">
      <w:pPr>
        <w:spacing w:line="276" w:lineRule="auto"/>
        <w:jc w:val="both"/>
        <w:rPr>
          <w:rFonts w:cs="Calibri Light"/>
          <w:sz w:val="24"/>
        </w:rPr>
      </w:pPr>
      <w:r>
        <w:rPr>
          <w:rFonts w:cs="Calibri Light"/>
          <w:sz w:val="24"/>
        </w:rPr>
        <w:t xml:space="preserve">Ces espèces </w:t>
      </w:r>
      <w:r w:rsidR="006D7BF8" w:rsidRPr="00183054">
        <w:rPr>
          <w:rFonts w:cs="Calibri Light"/>
          <w:sz w:val="24"/>
        </w:rPr>
        <w:t xml:space="preserve">subissent une pression de </w:t>
      </w:r>
      <w:r w:rsidR="0039163E">
        <w:rPr>
          <w:rFonts w:cs="Calibri Light"/>
          <w:sz w:val="24"/>
        </w:rPr>
        <w:t xml:space="preserve">plus en plus importante au cours des </w:t>
      </w:r>
      <w:r w:rsidR="0039163E" w:rsidRPr="00183054">
        <w:rPr>
          <w:rFonts w:cs="Calibri Light"/>
          <w:sz w:val="24"/>
        </w:rPr>
        <w:t>trente</w:t>
      </w:r>
      <w:r w:rsidR="006D7BF8" w:rsidRPr="00183054">
        <w:rPr>
          <w:rFonts w:cs="Calibri Light"/>
          <w:sz w:val="24"/>
        </w:rPr>
        <w:t xml:space="preserve"> dernières années. En effet, </w:t>
      </w:r>
      <w:r w:rsidR="003B18FD">
        <w:rPr>
          <w:rFonts w:cs="Calibri Light"/>
          <w:sz w:val="24"/>
        </w:rPr>
        <w:t>l’</w:t>
      </w:r>
      <w:r w:rsidR="006D7BF8" w:rsidRPr="00183054">
        <w:rPr>
          <w:rFonts w:cs="Calibri Light"/>
          <w:sz w:val="24"/>
        </w:rPr>
        <w:t xml:space="preserve">augmentation des captures </w:t>
      </w:r>
      <w:r w:rsidR="00F24220">
        <w:rPr>
          <w:rFonts w:cs="Calibri Light"/>
          <w:sz w:val="24"/>
        </w:rPr>
        <w:t>masque</w:t>
      </w:r>
      <w:r w:rsidR="00F24220" w:rsidRPr="00183054">
        <w:rPr>
          <w:rFonts w:cs="Calibri Light"/>
          <w:sz w:val="24"/>
        </w:rPr>
        <w:t xml:space="preserve"> </w:t>
      </w:r>
      <w:r w:rsidR="006D7BF8" w:rsidRPr="00183054">
        <w:rPr>
          <w:rFonts w:cs="Calibri Light"/>
          <w:sz w:val="24"/>
        </w:rPr>
        <w:t>une situation préoccupante quant à la santé et l’état des stocks exploités.</w:t>
      </w:r>
      <w:bookmarkStart w:id="4" w:name="_Toc17812079"/>
      <w:bookmarkStart w:id="5" w:name="_Toc17811744"/>
      <w:bookmarkStart w:id="6" w:name="_Toc17811438"/>
      <w:r w:rsidR="0039163E">
        <w:rPr>
          <w:rFonts w:cs="Calibri Light"/>
          <w:sz w:val="24"/>
        </w:rPr>
        <w:t xml:space="preserve"> Ainsi</w:t>
      </w:r>
      <w:r w:rsidR="00387BB7">
        <w:rPr>
          <w:rFonts w:cs="Calibri Light"/>
          <w:sz w:val="24"/>
        </w:rPr>
        <w:t xml:space="preserve"> les groupes de travail de COPACE et de l’IMROP sur </w:t>
      </w:r>
      <w:r w:rsidR="00387BB7" w:rsidRPr="00183054">
        <w:rPr>
          <w:rFonts w:cs="Calibri Light"/>
          <w:sz w:val="24"/>
        </w:rPr>
        <w:t>l’état de</w:t>
      </w:r>
      <w:r w:rsidR="00387BB7">
        <w:rPr>
          <w:rFonts w:cs="Calibri Light"/>
          <w:sz w:val="24"/>
        </w:rPr>
        <w:t xml:space="preserve">s stocks des petits pélagiques </w:t>
      </w:r>
      <w:r w:rsidR="00387BB7" w:rsidRPr="00183054">
        <w:rPr>
          <w:rFonts w:cs="Calibri Light"/>
          <w:sz w:val="24"/>
        </w:rPr>
        <w:t>montre</w:t>
      </w:r>
      <w:r w:rsidR="00387BB7">
        <w:rPr>
          <w:rFonts w:cs="Calibri Light"/>
          <w:sz w:val="24"/>
        </w:rPr>
        <w:t>nt</w:t>
      </w:r>
      <w:r w:rsidR="00387BB7" w:rsidRPr="00183054">
        <w:rPr>
          <w:rFonts w:cs="Calibri Light"/>
          <w:sz w:val="24"/>
        </w:rPr>
        <w:t xml:space="preserve"> qu’en dehors de la sardine et des maquereaux, les </w:t>
      </w:r>
      <w:r w:rsidR="00387BB7">
        <w:rPr>
          <w:rFonts w:cs="Calibri Light"/>
          <w:sz w:val="24"/>
        </w:rPr>
        <w:t xml:space="preserve">autres </w:t>
      </w:r>
      <w:r w:rsidR="00387BB7" w:rsidRPr="00183054">
        <w:rPr>
          <w:rFonts w:cs="Calibri Light"/>
          <w:sz w:val="24"/>
        </w:rPr>
        <w:t xml:space="preserve">espèces </w:t>
      </w:r>
      <w:r w:rsidR="00D76742">
        <w:rPr>
          <w:rFonts w:cs="Calibri Light"/>
          <w:sz w:val="24"/>
        </w:rPr>
        <w:t>sont soit surexploitées ou</w:t>
      </w:r>
      <w:r w:rsidR="00387BB7">
        <w:rPr>
          <w:rFonts w:cs="Calibri Light"/>
          <w:sz w:val="24"/>
        </w:rPr>
        <w:t xml:space="preserve"> </w:t>
      </w:r>
      <w:r w:rsidR="00387BB7" w:rsidRPr="00183054">
        <w:rPr>
          <w:rFonts w:cs="Calibri Light"/>
          <w:sz w:val="24"/>
        </w:rPr>
        <w:t>pleinement exploitées. Les situations les plus préoccupantes sont celles de la sardinelle ronde et de l’ethmalose, dont les indicateurs commencent à devenir assez inquiétants avec la réduction des tailles pêchées et de plus en plus de captures constituées de poissons juvéniles.</w:t>
      </w:r>
      <w:r w:rsidR="00387BB7">
        <w:rPr>
          <w:rFonts w:cs="Calibri Light"/>
          <w:sz w:val="24"/>
        </w:rPr>
        <w:t xml:space="preserve"> </w:t>
      </w:r>
      <w:r w:rsidR="00387BB7" w:rsidRPr="00183054">
        <w:rPr>
          <w:rFonts w:cs="Calibri Light"/>
          <w:sz w:val="24"/>
        </w:rPr>
        <w:t>Ces groupes de travail ont mis aussi en évidence que les taux d’échantillonnage scientifique des captures (fréquences de taille, composition détaillée des captures par espèce, rejets, etc.) sont anormalement bas par rapport à la quantité pêchée.</w:t>
      </w:r>
    </w:p>
    <w:p w:rsidR="00F17D49" w:rsidRPr="00183054" w:rsidRDefault="00D76742" w:rsidP="00B83290">
      <w:pPr>
        <w:autoSpaceDE w:val="0"/>
        <w:autoSpaceDN w:val="0"/>
        <w:adjustRightInd w:val="0"/>
        <w:spacing w:after="0" w:line="276" w:lineRule="auto"/>
        <w:jc w:val="both"/>
        <w:rPr>
          <w:rFonts w:cs="Calibri Light"/>
          <w:sz w:val="24"/>
        </w:rPr>
      </w:pPr>
      <w:r>
        <w:rPr>
          <w:rFonts w:cs="Calibri Light"/>
          <w:sz w:val="24"/>
        </w:rPr>
        <w:t>Dans la zone m</w:t>
      </w:r>
      <w:r w:rsidR="0039163E">
        <w:rPr>
          <w:rFonts w:cs="Calibri Light"/>
          <w:sz w:val="24"/>
        </w:rPr>
        <w:t>auritanie</w:t>
      </w:r>
      <w:r>
        <w:rPr>
          <w:rFonts w:cs="Calibri Light"/>
          <w:sz w:val="24"/>
        </w:rPr>
        <w:t>nne</w:t>
      </w:r>
      <w:r w:rsidR="0039163E">
        <w:rPr>
          <w:rFonts w:cs="Calibri Light"/>
          <w:sz w:val="24"/>
        </w:rPr>
        <w:t>, l’exploitation de ces ressources a été marquée</w:t>
      </w:r>
      <w:r>
        <w:rPr>
          <w:rFonts w:cs="Calibri Light"/>
          <w:sz w:val="24"/>
        </w:rPr>
        <w:t xml:space="preserve">, </w:t>
      </w:r>
      <w:r w:rsidRPr="00183054">
        <w:rPr>
          <w:rFonts w:cs="Calibri Light"/>
          <w:sz w:val="24"/>
        </w:rPr>
        <w:t>au cours des deux dernières décennies</w:t>
      </w:r>
      <w:r>
        <w:rPr>
          <w:rFonts w:cs="Calibri Light"/>
          <w:sz w:val="24"/>
        </w:rPr>
        <w:t>,</w:t>
      </w:r>
      <w:r w:rsidR="0039163E">
        <w:rPr>
          <w:rFonts w:cs="Calibri Light"/>
          <w:sz w:val="24"/>
        </w:rPr>
        <w:t xml:space="preserve"> par le développement d’une pêcherie artisanale </w:t>
      </w:r>
      <w:r w:rsidR="00F17D49" w:rsidRPr="00183054">
        <w:rPr>
          <w:rFonts w:cs="Calibri Light"/>
          <w:sz w:val="24"/>
        </w:rPr>
        <w:t xml:space="preserve">de petits pélagiques </w:t>
      </w:r>
      <w:r>
        <w:rPr>
          <w:rFonts w:cs="Calibri Light"/>
          <w:sz w:val="24"/>
        </w:rPr>
        <w:t>pour alimenter l’industr</w:t>
      </w:r>
      <w:r w:rsidR="0039163E">
        <w:rPr>
          <w:rFonts w:cs="Calibri Light"/>
          <w:sz w:val="24"/>
        </w:rPr>
        <w:t>ie de la farine</w:t>
      </w:r>
      <w:r w:rsidR="00F17D49" w:rsidRPr="00183054">
        <w:rPr>
          <w:rFonts w:cs="Calibri Light"/>
          <w:sz w:val="24"/>
        </w:rPr>
        <w:t xml:space="preserve">. </w:t>
      </w:r>
      <w:r>
        <w:rPr>
          <w:rFonts w:cs="Calibri Light"/>
          <w:sz w:val="24"/>
        </w:rPr>
        <w:t>L</w:t>
      </w:r>
      <w:r w:rsidR="0039163E">
        <w:rPr>
          <w:rFonts w:cs="Calibri Light"/>
          <w:sz w:val="24"/>
        </w:rPr>
        <w:t>imitée à quelques unités à Nouakchott</w:t>
      </w:r>
      <w:r>
        <w:rPr>
          <w:rFonts w:cs="Calibri Light"/>
          <w:sz w:val="24"/>
        </w:rPr>
        <w:t xml:space="preserve"> opérant pour la consommation humaine, la flotte artisanale ciblant les petits pélagique </w:t>
      </w:r>
      <w:r w:rsidR="0039163E">
        <w:rPr>
          <w:rFonts w:cs="Calibri Light"/>
          <w:sz w:val="24"/>
        </w:rPr>
        <w:t xml:space="preserve">a connu un développement exponentiel sur la période </w:t>
      </w:r>
      <w:r>
        <w:rPr>
          <w:rFonts w:cs="Calibri Light"/>
          <w:sz w:val="24"/>
        </w:rPr>
        <w:t xml:space="preserve">de </w:t>
      </w:r>
      <w:r w:rsidR="0039163E">
        <w:rPr>
          <w:rFonts w:cs="Calibri Light"/>
          <w:sz w:val="24"/>
        </w:rPr>
        <w:t>2012 à 2016</w:t>
      </w:r>
      <w:r>
        <w:rPr>
          <w:rFonts w:cs="Calibri Light"/>
          <w:sz w:val="24"/>
        </w:rPr>
        <w:t>. Ces unités essentiellement affrétées assurent l’approvisionnement des usines de farine en pleine croi</w:t>
      </w:r>
      <w:r w:rsidR="00F17D49" w:rsidRPr="00183054">
        <w:rPr>
          <w:rFonts w:cs="Calibri Light"/>
          <w:sz w:val="24"/>
        </w:rPr>
        <w:t xml:space="preserve">ssance à Nouadhibou et en zone Sud à Nouakchott. </w:t>
      </w:r>
      <w:r w:rsidR="008001B0">
        <w:rPr>
          <w:rFonts w:cs="Calibri Light"/>
          <w:sz w:val="24"/>
        </w:rPr>
        <w:t xml:space="preserve">A la suite de </w:t>
      </w:r>
      <w:r w:rsidR="008001B0">
        <w:rPr>
          <w:rFonts w:cs="Calibri Light"/>
          <w:sz w:val="24"/>
        </w:rPr>
        <w:lastRenderedPageBreak/>
        <w:t>l’application effective de la stratégie des pêches 2015-2019, notamment en termes de mauritanisation des équipages, une grande partie de cette flottille s’est vu retiré de la zone, laissant la place à des senneurs plus performants</w:t>
      </w:r>
      <w:r w:rsidR="00316FB2">
        <w:rPr>
          <w:rFonts w:cs="Calibri Light"/>
          <w:sz w:val="24"/>
        </w:rPr>
        <w:t xml:space="preserve"> qui peuvent être assimilés à des unités industrielles accentuant ainsi </w:t>
      </w:r>
      <w:r w:rsidR="00F17D49" w:rsidRPr="00183054">
        <w:rPr>
          <w:rFonts w:cs="Calibri Light"/>
          <w:sz w:val="24"/>
        </w:rPr>
        <w:t xml:space="preserve">la pression de pêche </w:t>
      </w:r>
      <w:r w:rsidR="00316FB2">
        <w:rPr>
          <w:rFonts w:cs="Calibri Light"/>
          <w:sz w:val="24"/>
        </w:rPr>
        <w:t>sur ces ressources</w:t>
      </w:r>
      <w:r w:rsidR="00F17D49" w:rsidRPr="00183054">
        <w:rPr>
          <w:rFonts w:cs="Calibri Light"/>
          <w:sz w:val="24"/>
        </w:rPr>
        <w:t>.</w:t>
      </w:r>
      <w:bookmarkEnd w:id="4"/>
      <w:bookmarkEnd w:id="5"/>
      <w:bookmarkEnd w:id="6"/>
      <w:r w:rsidR="00316FB2">
        <w:rPr>
          <w:rFonts w:cs="Calibri Light"/>
          <w:sz w:val="24"/>
        </w:rPr>
        <w:t xml:space="preserve"> </w:t>
      </w:r>
    </w:p>
    <w:p w:rsidR="004F13A0" w:rsidRDefault="004F13A0" w:rsidP="00B83290">
      <w:pPr>
        <w:pStyle w:val="Tramemoyenne1-Accent11"/>
        <w:spacing w:line="276" w:lineRule="auto"/>
        <w:jc w:val="both"/>
        <w:rPr>
          <w:rFonts w:ascii="Calibri Light" w:eastAsia="Calibri" w:hAnsi="Calibri Light" w:cs="Calibri Light"/>
          <w:sz w:val="24"/>
          <w:lang w:val="fr-FR"/>
        </w:rPr>
      </w:pPr>
    </w:p>
    <w:p w:rsidR="00B35D48" w:rsidRDefault="00DF3C19" w:rsidP="00B83290">
      <w:pPr>
        <w:pStyle w:val="Tramemoyenne1-Accent11"/>
        <w:spacing w:line="276" w:lineRule="auto"/>
        <w:jc w:val="both"/>
        <w:rPr>
          <w:rFonts w:ascii="Calibri Light" w:eastAsia="Calibri" w:hAnsi="Calibri Light" w:cs="Calibri Light"/>
          <w:sz w:val="24"/>
          <w:lang w:val="fr-FR"/>
        </w:rPr>
      </w:pPr>
      <w:r>
        <w:rPr>
          <w:rFonts w:ascii="Calibri Light" w:eastAsia="Calibri" w:hAnsi="Calibri Light" w:cs="Calibri Light"/>
          <w:sz w:val="24"/>
          <w:lang w:val="fr-FR"/>
        </w:rPr>
        <w:t xml:space="preserve">Afin d’inscrire le développement de la pêche côtière pélagique dans la durabilité et de mieux positionner les produits de farine et huile de poisson </w:t>
      </w:r>
      <w:r w:rsidR="00354C30">
        <w:rPr>
          <w:rFonts w:ascii="Calibri Light" w:eastAsia="Calibri" w:hAnsi="Calibri Light" w:cs="Calibri Light"/>
          <w:sz w:val="24"/>
          <w:lang w:val="fr-FR"/>
        </w:rPr>
        <w:t>sur le marché international</w:t>
      </w:r>
      <w:r>
        <w:rPr>
          <w:rFonts w:ascii="Calibri Light" w:eastAsia="Calibri" w:hAnsi="Calibri Light" w:cs="Calibri Light"/>
          <w:sz w:val="24"/>
          <w:lang w:val="fr-FR"/>
        </w:rPr>
        <w:t xml:space="preserve">, un partenariat public-privé a été mis en place </w:t>
      </w:r>
      <w:r w:rsidR="00354C30">
        <w:rPr>
          <w:rFonts w:ascii="Calibri Light" w:eastAsia="Calibri" w:hAnsi="Calibri Light" w:cs="Calibri Light"/>
          <w:sz w:val="24"/>
          <w:lang w:val="fr-FR"/>
        </w:rPr>
        <w:t>en 2017. Ce partenariat a été acté par un projet d’amélioration des pêcheries de Petits Pélagiques travaillant pour l’industrie de farine (FIP-PP)</w:t>
      </w:r>
      <w:r>
        <w:rPr>
          <w:rFonts w:ascii="Calibri Light" w:eastAsia="Calibri" w:hAnsi="Calibri Light" w:cs="Calibri Light"/>
          <w:sz w:val="24"/>
          <w:lang w:val="fr-FR"/>
        </w:rPr>
        <w:t xml:space="preserve">.  </w:t>
      </w:r>
      <w:r w:rsidR="00354C30">
        <w:rPr>
          <w:rFonts w:ascii="Calibri Light" w:eastAsia="Calibri" w:hAnsi="Calibri Light" w:cs="Calibri Light"/>
          <w:sz w:val="24"/>
          <w:lang w:val="fr-FR"/>
        </w:rPr>
        <w:t xml:space="preserve">L’étude de la Pré-évaluation de ces pêcheries a mis en exergue un manque crucial des données et des connaissances aussi bien sur les ressources que sur l’exploitation. Pour combler ce gap, un plan d’action a été élaboré et soumis à des partenaires pour financement. Dans l’attente de mobilisation de fond, un mini-projet pour </w:t>
      </w:r>
      <w:r w:rsidR="009509BF" w:rsidRPr="00183054">
        <w:rPr>
          <w:rFonts w:ascii="Calibri Light" w:eastAsia="Calibri" w:hAnsi="Calibri Light" w:cs="Calibri Light"/>
          <w:sz w:val="24"/>
          <w:lang w:val="fr-FR"/>
        </w:rPr>
        <w:t>renforce</w:t>
      </w:r>
      <w:r w:rsidR="00354C30">
        <w:rPr>
          <w:rFonts w:ascii="Calibri Light" w:eastAsia="Calibri" w:hAnsi="Calibri Light" w:cs="Calibri Light"/>
          <w:sz w:val="24"/>
          <w:lang w:val="fr-FR"/>
        </w:rPr>
        <w:t>r et appuyer le</w:t>
      </w:r>
      <w:r w:rsidR="009509BF" w:rsidRPr="00183054">
        <w:rPr>
          <w:rFonts w:ascii="Calibri Light" w:eastAsia="Calibri" w:hAnsi="Calibri Light" w:cs="Calibri Light"/>
          <w:sz w:val="24"/>
          <w:lang w:val="fr-FR"/>
        </w:rPr>
        <w:t xml:space="preserve"> système de suivi </w:t>
      </w:r>
      <w:r w:rsidR="00354C30">
        <w:rPr>
          <w:rFonts w:ascii="Calibri Light" w:eastAsia="Calibri" w:hAnsi="Calibri Light" w:cs="Calibri Light"/>
          <w:sz w:val="24"/>
          <w:lang w:val="fr-FR"/>
        </w:rPr>
        <w:t>de l’IMROP a été financé par les opérateurs locaux de l’industrie de farine</w:t>
      </w:r>
      <w:r w:rsidR="009509BF" w:rsidRPr="00183054">
        <w:rPr>
          <w:rFonts w:ascii="Calibri Light" w:eastAsia="Calibri" w:hAnsi="Calibri Light" w:cs="Calibri Light"/>
          <w:sz w:val="24"/>
          <w:lang w:val="fr-FR"/>
        </w:rPr>
        <w:t xml:space="preserve">.  </w:t>
      </w:r>
    </w:p>
    <w:p w:rsidR="002E0101" w:rsidRDefault="009509BF" w:rsidP="00F86557">
      <w:pPr>
        <w:spacing w:line="276" w:lineRule="auto"/>
        <w:jc w:val="both"/>
        <w:rPr>
          <w:sz w:val="24"/>
        </w:rPr>
      </w:pPr>
      <w:r w:rsidRPr="00183054">
        <w:rPr>
          <w:rFonts w:cs="Calibri Light"/>
          <w:sz w:val="24"/>
        </w:rPr>
        <w:t xml:space="preserve">Le présent </w:t>
      </w:r>
      <w:r w:rsidR="007821DA" w:rsidRPr="00183054">
        <w:rPr>
          <w:rFonts w:cs="Calibri Light"/>
          <w:sz w:val="24"/>
        </w:rPr>
        <w:t xml:space="preserve">document </w:t>
      </w:r>
      <w:r w:rsidRPr="00183054">
        <w:rPr>
          <w:rFonts w:cs="Calibri Light"/>
          <w:sz w:val="24"/>
        </w:rPr>
        <w:t xml:space="preserve">donne les principaux résultats de </w:t>
      </w:r>
      <w:r w:rsidR="00F40ACC">
        <w:rPr>
          <w:rFonts w:cs="Calibri Light"/>
          <w:sz w:val="24"/>
        </w:rPr>
        <w:t xml:space="preserve">ce mini-projet notamment en </w:t>
      </w:r>
      <w:r w:rsidR="00AC3413">
        <w:rPr>
          <w:rFonts w:cs="Calibri Light"/>
          <w:sz w:val="24"/>
        </w:rPr>
        <w:t>termes</w:t>
      </w:r>
      <w:r w:rsidR="00F40ACC">
        <w:rPr>
          <w:rFonts w:cs="Calibri Light"/>
          <w:sz w:val="24"/>
        </w:rPr>
        <w:t xml:space="preserve"> de suivi de débarquements et les usines de farine</w:t>
      </w:r>
      <w:r w:rsidR="00F86557">
        <w:rPr>
          <w:rFonts w:cs="Calibri Light"/>
          <w:sz w:val="24"/>
        </w:rPr>
        <w:t xml:space="preserve"> pour la période de mai à décembre 2021</w:t>
      </w:r>
      <w:r w:rsidRPr="00183054">
        <w:rPr>
          <w:rFonts w:cs="Calibri Light"/>
          <w:sz w:val="24"/>
        </w:rPr>
        <w:t xml:space="preserve"> </w:t>
      </w:r>
      <w:r w:rsidR="00B2270D" w:rsidRPr="00183054">
        <w:rPr>
          <w:sz w:val="24"/>
        </w:rPr>
        <w:t xml:space="preserve">L’utilisation et la valorisation de ces données </w:t>
      </w:r>
      <w:r w:rsidR="009B0331" w:rsidRPr="00183054">
        <w:rPr>
          <w:sz w:val="24"/>
        </w:rPr>
        <w:t>permet</w:t>
      </w:r>
      <w:r w:rsidR="009B0331">
        <w:rPr>
          <w:sz w:val="24"/>
        </w:rPr>
        <w:t>tent</w:t>
      </w:r>
      <w:r w:rsidR="00B2270D" w:rsidRPr="00183054">
        <w:rPr>
          <w:sz w:val="24"/>
        </w:rPr>
        <w:t xml:space="preserve"> aux scientifiques de fournir des avis techniques en temps réel aux </w:t>
      </w:r>
      <w:r w:rsidRPr="00183054">
        <w:rPr>
          <w:sz w:val="24"/>
        </w:rPr>
        <w:t xml:space="preserve">décideurs et tous les preneurs </w:t>
      </w:r>
      <w:r w:rsidR="007821DA" w:rsidRPr="00183054">
        <w:rPr>
          <w:sz w:val="24"/>
        </w:rPr>
        <w:t xml:space="preserve">de décisions </w:t>
      </w:r>
      <w:r w:rsidR="00B2270D" w:rsidRPr="00183054">
        <w:rPr>
          <w:sz w:val="24"/>
        </w:rPr>
        <w:t>afin de mieux gérer cette ressource instable et sensible aussi bien aux conditions environnementales qu’à l’activité pêche elle-même.</w:t>
      </w:r>
    </w:p>
    <w:p w:rsidR="00BF6F42" w:rsidRDefault="00BF6F42" w:rsidP="007241C4">
      <w:pPr>
        <w:spacing w:line="276" w:lineRule="auto"/>
        <w:jc w:val="both"/>
        <w:rPr>
          <w:sz w:val="24"/>
          <w:szCs w:val="24"/>
        </w:rPr>
      </w:pPr>
      <w:r>
        <w:rPr>
          <w:sz w:val="24"/>
          <w:szCs w:val="24"/>
        </w:rPr>
        <w:t>La contribution du projet FIP</w:t>
      </w:r>
      <w:r w:rsidR="007241C4">
        <w:rPr>
          <w:sz w:val="24"/>
          <w:szCs w:val="24"/>
        </w:rPr>
        <w:t xml:space="preserve"> P</w:t>
      </w:r>
      <w:r>
        <w:rPr>
          <w:sz w:val="24"/>
          <w:szCs w:val="24"/>
        </w:rPr>
        <w:t xml:space="preserve">etit pélagique en Mauritanie dans l’amélioration de collecte de données est très importante. En effet le volume de travail </w:t>
      </w:r>
      <w:r w:rsidR="007241C4">
        <w:rPr>
          <w:sz w:val="24"/>
          <w:szCs w:val="24"/>
        </w:rPr>
        <w:t>effectué</w:t>
      </w:r>
      <w:r>
        <w:rPr>
          <w:sz w:val="24"/>
          <w:szCs w:val="24"/>
        </w:rPr>
        <w:t xml:space="preserve"> montre l</w:t>
      </w:r>
      <w:r w:rsidR="007241C4">
        <w:rPr>
          <w:sz w:val="24"/>
          <w:szCs w:val="24"/>
        </w:rPr>
        <w:t xml:space="preserve">’atteinte d’un </w:t>
      </w:r>
      <w:r>
        <w:rPr>
          <w:sz w:val="24"/>
          <w:szCs w:val="24"/>
        </w:rPr>
        <w:t xml:space="preserve">taux élevé de l’échantillonnage malgré la durée </w:t>
      </w:r>
      <w:r w:rsidR="007241C4">
        <w:rPr>
          <w:sz w:val="24"/>
          <w:szCs w:val="24"/>
        </w:rPr>
        <w:t>de démarrage des activités de FIP et sa concentration à la zone Nord-</w:t>
      </w:r>
      <w:r>
        <w:rPr>
          <w:sz w:val="24"/>
          <w:szCs w:val="24"/>
        </w:rPr>
        <w:t>Nouadhibou. Les données collectées cette année par l’IMROP avec l’appui d’autres projets y compris le FIP ont servi aux évaluations menées par le groupe COPACE, qui a tenu un</w:t>
      </w:r>
      <w:r w:rsidR="007241C4">
        <w:rPr>
          <w:sz w:val="24"/>
          <w:szCs w:val="24"/>
        </w:rPr>
        <w:t xml:space="preserve">e réunion en ligne </w:t>
      </w:r>
      <w:r>
        <w:rPr>
          <w:sz w:val="24"/>
          <w:szCs w:val="24"/>
        </w:rPr>
        <w:t xml:space="preserve">en juin </w:t>
      </w:r>
      <w:r w:rsidR="007241C4">
        <w:rPr>
          <w:sz w:val="24"/>
          <w:szCs w:val="24"/>
        </w:rPr>
        <w:t>2021</w:t>
      </w:r>
      <w:r>
        <w:rPr>
          <w:sz w:val="24"/>
          <w:szCs w:val="24"/>
        </w:rPr>
        <w:t xml:space="preserve">. Les principales espèces ciblées par le </w:t>
      </w:r>
      <w:r w:rsidR="007241C4">
        <w:rPr>
          <w:sz w:val="24"/>
          <w:szCs w:val="24"/>
        </w:rPr>
        <w:t>projet (</w:t>
      </w:r>
      <w:r>
        <w:rPr>
          <w:sz w:val="24"/>
          <w:szCs w:val="24"/>
        </w:rPr>
        <w:t>la sardine, les deux sardinelles et l’ethmalose) ont fait l’obje</w:t>
      </w:r>
      <w:r w:rsidR="007241C4">
        <w:rPr>
          <w:sz w:val="24"/>
          <w:szCs w:val="24"/>
        </w:rPr>
        <w:t xml:space="preserve">t d’une évaluation basée </w:t>
      </w:r>
      <w:r>
        <w:rPr>
          <w:sz w:val="24"/>
          <w:szCs w:val="24"/>
        </w:rPr>
        <w:t xml:space="preserve">sur </w:t>
      </w:r>
      <w:r w:rsidR="007241C4">
        <w:rPr>
          <w:sz w:val="24"/>
          <w:szCs w:val="24"/>
        </w:rPr>
        <w:t>les données diverses collectées</w:t>
      </w:r>
      <w:r>
        <w:rPr>
          <w:sz w:val="24"/>
          <w:szCs w:val="24"/>
        </w:rPr>
        <w:t xml:space="preserve"> (fréquence de taille, effort</w:t>
      </w:r>
      <w:r w:rsidR="007241C4">
        <w:rPr>
          <w:sz w:val="24"/>
          <w:szCs w:val="24"/>
        </w:rPr>
        <w:t>s de pêche</w:t>
      </w:r>
      <w:r>
        <w:rPr>
          <w:sz w:val="24"/>
          <w:szCs w:val="24"/>
        </w:rPr>
        <w:t>, capture</w:t>
      </w:r>
      <w:r w:rsidR="007241C4">
        <w:rPr>
          <w:sz w:val="24"/>
          <w:szCs w:val="24"/>
        </w:rPr>
        <w:t>s et quantité transformée</w:t>
      </w:r>
      <w:r>
        <w:rPr>
          <w:sz w:val="24"/>
          <w:szCs w:val="24"/>
        </w:rPr>
        <w:t xml:space="preserve">) fournies.  </w:t>
      </w:r>
    </w:p>
    <w:p w:rsidR="00BF6F42" w:rsidRDefault="00BF6F42" w:rsidP="00BF6F42">
      <w:pPr>
        <w:spacing w:line="276" w:lineRule="auto"/>
        <w:jc w:val="both"/>
        <w:rPr>
          <w:sz w:val="24"/>
          <w:szCs w:val="24"/>
        </w:rPr>
      </w:pPr>
      <w:r>
        <w:rPr>
          <w:sz w:val="24"/>
          <w:szCs w:val="24"/>
        </w:rPr>
        <w:t xml:space="preserve">Vu les objectifs définis par le FIP qui n’ont pas été tous atteints défaut du temps insuffisant, il a été jugé utile de prolonger les activités du projet afin de réaliser le maximum possible de ces objectifs sachant qu’il reste un reliquat financier qui peut être </w:t>
      </w:r>
      <w:r w:rsidR="007241C4">
        <w:rPr>
          <w:sz w:val="24"/>
          <w:szCs w:val="24"/>
        </w:rPr>
        <w:t>mobilisé</w:t>
      </w:r>
      <w:r>
        <w:rPr>
          <w:sz w:val="24"/>
          <w:szCs w:val="24"/>
        </w:rPr>
        <w:t xml:space="preserve"> pour les mêmes objectifs. </w:t>
      </w:r>
    </w:p>
    <w:p w:rsidR="00BF6F42" w:rsidRDefault="007241C4" w:rsidP="007241C4">
      <w:pPr>
        <w:spacing w:line="276" w:lineRule="auto"/>
        <w:jc w:val="both"/>
        <w:rPr>
          <w:sz w:val="24"/>
          <w:szCs w:val="24"/>
        </w:rPr>
      </w:pPr>
      <w:r>
        <w:rPr>
          <w:sz w:val="24"/>
          <w:szCs w:val="24"/>
        </w:rPr>
        <w:t>Les</w:t>
      </w:r>
      <w:r w:rsidR="00BF6F42">
        <w:rPr>
          <w:sz w:val="24"/>
          <w:szCs w:val="24"/>
        </w:rPr>
        <w:t xml:space="preserve"> principales </w:t>
      </w:r>
      <w:r>
        <w:rPr>
          <w:sz w:val="24"/>
          <w:szCs w:val="24"/>
        </w:rPr>
        <w:t>activités portant sur la</w:t>
      </w:r>
      <w:r w:rsidR="00BF6F42">
        <w:rPr>
          <w:sz w:val="24"/>
          <w:szCs w:val="24"/>
        </w:rPr>
        <w:t xml:space="preserve"> collecte de données </w:t>
      </w:r>
      <w:r>
        <w:rPr>
          <w:sz w:val="24"/>
          <w:szCs w:val="24"/>
        </w:rPr>
        <w:t>au</w:t>
      </w:r>
      <w:r w:rsidR="00BF6F42">
        <w:rPr>
          <w:sz w:val="24"/>
          <w:szCs w:val="24"/>
        </w:rPr>
        <w:t xml:space="preserve"> débarquement et le suivi des usines de farines au moins pour couvrir une année</w:t>
      </w:r>
      <w:r>
        <w:rPr>
          <w:sz w:val="24"/>
          <w:szCs w:val="24"/>
        </w:rPr>
        <w:t xml:space="preserve"> ont été arrêté en attendant d’obtenir </w:t>
      </w:r>
      <w:r w:rsidR="00BF6F42">
        <w:rPr>
          <w:sz w:val="24"/>
          <w:szCs w:val="24"/>
        </w:rPr>
        <w:t>un financement</w:t>
      </w:r>
      <w:r>
        <w:rPr>
          <w:sz w:val="24"/>
          <w:szCs w:val="24"/>
        </w:rPr>
        <w:t xml:space="preserve"> pérenne</w:t>
      </w:r>
      <w:r w:rsidR="00BF6F42">
        <w:rPr>
          <w:sz w:val="24"/>
          <w:szCs w:val="24"/>
        </w:rPr>
        <w:t xml:space="preserve"> pour une durée plus longue </w:t>
      </w:r>
      <w:r>
        <w:rPr>
          <w:sz w:val="24"/>
          <w:szCs w:val="24"/>
        </w:rPr>
        <w:t xml:space="preserve">permettant ainsi d’assurer </w:t>
      </w:r>
      <w:r w:rsidR="00BF6F42">
        <w:rPr>
          <w:sz w:val="24"/>
          <w:szCs w:val="24"/>
        </w:rPr>
        <w:t xml:space="preserve">une couverture </w:t>
      </w:r>
      <w:r>
        <w:rPr>
          <w:sz w:val="24"/>
          <w:szCs w:val="24"/>
        </w:rPr>
        <w:t xml:space="preserve">plus large de </w:t>
      </w:r>
      <w:r w:rsidR="00BF6F42">
        <w:rPr>
          <w:sz w:val="24"/>
          <w:szCs w:val="24"/>
        </w:rPr>
        <w:t xml:space="preserve">de tous les points de débarquement </w:t>
      </w:r>
      <w:r>
        <w:rPr>
          <w:sz w:val="24"/>
          <w:szCs w:val="24"/>
        </w:rPr>
        <w:t>sur le littoral</w:t>
      </w:r>
      <w:r w:rsidR="00BF6F42">
        <w:rPr>
          <w:sz w:val="24"/>
          <w:szCs w:val="24"/>
        </w:rPr>
        <w:t xml:space="preserve">. </w:t>
      </w:r>
    </w:p>
    <w:p w:rsidR="007241C4" w:rsidRDefault="007241C4" w:rsidP="007241C4">
      <w:pPr>
        <w:spacing w:line="276" w:lineRule="auto"/>
        <w:jc w:val="both"/>
        <w:rPr>
          <w:sz w:val="24"/>
          <w:szCs w:val="24"/>
        </w:rPr>
      </w:pPr>
      <w:r>
        <w:rPr>
          <w:sz w:val="24"/>
          <w:szCs w:val="24"/>
        </w:rPr>
        <w:lastRenderedPageBreak/>
        <w:t xml:space="preserve">L’activité de la pêche pélagique en 2021 est impactée par plusieurs évènements </w:t>
      </w:r>
      <w:r w:rsidRPr="00884126">
        <w:rPr>
          <w:sz w:val="24"/>
          <w:szCs w:val="24"/>
        </w:rPr>
        <w:t>impactés</w:t>
      </w:r>
      <w:r w:rsidR="00BF6F42" w:rsidRPr="00884126">
        <w:rPr>
          <w:sz w:val="24"/>
          <w:szCs w:val="24"/>
        </w:rPr>
        <w:t xml:space="preserve"> la qualité de données collectées. </w:t>
      </w:r>
      <w:r>
        <w:rPr>
          <w:sz w:val="24"/>
          <w:szCs w:val="24"/>
        </w:rPr>
        <w:t>Il s’agit en particulier :</w:t>
      </w:r>
    </w:p>
    <w:p w:rsidR="007241C4" w:rsidRPr="007241C4" w:rsidRDefault="007241C4" w:rsidP="007241C4">
      <w:pPr>
        <w:numPr>
          <w:ilvl w:val="0"/>
          <w:numId w:val="35"/>
        </w:numPr>
        <w:spacing w:line="276" w:lineRule="auto"/>
        <w:jc w:val="both"/>
      </w:pPr>
      <w:r>
        <w:rPr>
          <w:sz w:val="24"/>
          <w:szCs w:val="24"/>
        </w:rPr>
        <w:t xml:space="preserve">Un éloignement de l’activité de pêche pélagique </w:t>
      </w:r>
      <w:r w:rsidR="0084292C">
        <w:rPr>
          <w:sz w:val="24"/>
          <w:szCs w:val="24"/>
        </w:rPr>
        <w:t>au-delà</w:t>
      </w:r>
      <w:r>
        <w:rPr>
          <w:sz w:val="24"/>
          <w:szCs w:val="24"/>
        </w:rPr>
        <w:t xml:space="preserve"> de 80 m pendant les périodes ce qui a incité la majorité de la flotte d’arrêter leurs activités.</w:t>
      </w:r>
    </w:p>
    <w:p w:rsidR="007241C4" w:rsidRPr="007241C4" w:rsidRDefault="0084292C" w:rsidP="0084292C">
      <w:pPr>
        <w:numPr>
          <w:ilvl w:val="0"/>
          <w:numId w:val="35"/>
        </w:numPr>
        <w:spacing w:line="276" w:lineRule="auto"/>
        <w:jc w:val="both"/>
      </w:pPr>
      <w:r>
        <w:rPr>
          <w:sz w:val="24"/>
          <w:szCs w:val="24"/>
        </w:rPr>
        <w:t xml:space="preserve">Un arrêt temporaire </w:t>
      </w:r>
      <w:r w:rsidR="007241C4" w:rsidRPr="007241C4">
        <w:rPr>
          <w:sz w:val="24"/>
          <w:szCs w:val="24"/>
        </w:rPr>
        <w:t xml:space="preserve">coïncidée avec </w:t>
      </w:r>
      <w:r w:rsidR="00BF6F42" w:rsidRPr="007241C4">
        <w:rPr>
          <w:sz w:val="24"/>
          <w:szCs w:val="24"/>
        </w:rPr>
        <w:t xml:space="preserve">la période d’abondance de sardinelles en Mauritanie notamment la </w:t>
      </w:r>
      <w:r w:rsidR="007241C4" w:rsidRPr="007241C4">
        <w:rPr>
          <w:sz w:val="24"/>
          <w:szCs w:val="24"/>
        </w:rPr>
        <w:t xml:space="preserve">sardinelle </w:t>
      </w:r>
      <w:r w:rsidR="00BF6F42" w:rsidRPr="007241C4">
        <w:rPr>
          <w:sz w:val="24"/>
          <w:szCs w:val="24"/>
        </w:rPr>
        <w:t>ronde.</w:t>
      </w:r>
      <w:r>
        <w:rPr>
          <w:sz w:val="24"/>
          <w:szCs w:val="24"/>
        </w:rPr>
        <w:t xml:space="preserve"> Ce qui a répercuté sur le taux d’échantillonnage pour ces espèces d’importance dans le suivi.</w:t>
      </w:r>
      <w:r w:rsidR="00BF6F42" w:rsidRPr="007241C4">
        <w:rPr>
          <w:sz w:val="24"/>
          <w:szCs w:val="24"/>
        </w:rPr>
        <w:t xml:space="preserve"> </w:t>
      </w:r>
    </w:p>
    <w:p w:rsidR="007241C4" w:rsidRPr="0084292C" w:rsidRDefault="00BF6F42" w:rsidP="0084292C">
      <w:pPr>
        <w:numPr>
          <w:ilvl w:val="0"/>
          <w:numId w:val="35"/>
        </w:numPr>
        <w:spacing w:line="276" w:lineRule="auto"/>
        <w:jc w:val="both"/>
        <w:rPr>
          <w:sz w:val="24"/>
          <w:szCs w:val="24"/>
        </w:rPr>
      </w:pPr>
      <w:r w:rsidRPr="0084292C">
        <w:rPr>
          <w:sz w:val="24"/>
          <w:szCs w:val="24"/>
        </w:rPr>
        <w:t xml:space="preserve">Un changement </w:t>
      </w:r>
      <w:r w:rsidR="0084292C">
        <w:rPr>
          <w:sz w:val="24"/>
          <w:szCs w:val="24"/>
        </w:rPr>
        <w:t>du zonage à la reprise en juillet qui n’a pas été adhéré par toute la flottille côtière ce qui n’a pas permis un retour normal de l’activité de pêche.</w:t>
      </w:r>
      <w:r w:rsidRPr="0084292C">
        <w:rPr>
          <w:sz w:val="24"/>
          <w:szCs w:val="24"/>
        </w:rPr>
        <w:t xml:space="preserve"> </w:t>
      </w:r>
    </w:p>
    <w:p w:rsidR="00BF6F42" w:rsidRPr="0084292C" w:rsidRDefault="0084292C" w:rsidP="0084292C">
      <w:pPr>
        <w:spacing w:line="276" w:lineRule="auto"/>
        <w:jc w:val="both"/>
        <w:rPr>
          <w:b/>
          <w:bCs/>
          <w:i/>
          <w:iCs/>
          <w:sz w:val="24"/>
          <w:szCs w:val="24"/>
        </w:rPr>
      </w:pPr>
      <w:r w:rsidRPr="0084292C">
        <w:rPr>
          <w:b/>
          <w:bCs/>
          <w:i/>
          <w:iCs/>
          <w:sz w:val="24"/>
          <w:szCs w:val="24"/>
        </w:rPr>
        <w:t>En fin, l’</w:t>
      </w:r>
      <w:r w:rsidR="00BF6F42" w:rsidRPr="0084292C">
        <w:rPr>
          <w:b/>
          <w:bCs/>
          <w:i/>
          <w:iCs/>
          <w:sz w:val="24"/>
          <w:szCs w:val="24"/>
        </w:rPr>
        <w:t xml:space="preserve">année 2021, est marquée aussi par l’absence des campagnes pélagiques dans la </w:t>
      </w:r>
      <w:r w:rsidRPr="0084292C">
        <w:rPr>
          <w:b/>
          <w:bCs/>
          <w:i/>
          <w:iCs/>
          <w:sz w:val="24"/>
          <w:szCs w:val="24"/>
        </w:rPr>
        <w:t>sous-région</w:t>
      </w:r>
      <w:r w:rsidR="00BF6F42" w:rsidRPr="0084292C">
        <w:rPr>
          <w:b/>
          <w:bCs/>
          <w:i/>
          <w:iCs/>
          <w:sz w:val="24"/>
          <w:szCs w:val="24"/>
        </w:rPr>
        <w:t xml:space="preserve">, car aucun pays n’a effectué une évaluation directe des ressources pélagiques.   </w:t>
      </w:r>
    </w:p>
    <w:p w:rsidR="0034744E" w:rsidRPr="004606D6" w:rsidRDefault="0034744E" w:rsidP="0034744E">
      <w:pPr>
        <w:pStyle w:val="Heading1"/>
        <w:numPr>
          <w:ilvl w:val="0"/>
          <w:numId w:val="5"/>
        </w:numPr>
        <w:rPr>
          <w:caps w:val="0"/>
          <w:sz w:val="26"/>
          <w:szCs w:val="26"/>
          <w:lang w:val="fr-WINDIES"/>
        </w:rPr>
      </w:pPr>
      <w:bookmarkStart w:id="7" w:name="_Hlk36462702"/>
      <w:bookmarkStart w:id="8" w:name="_Toc71496166"/>
      <w:r w:rsidRPr="004606D6">
        <w:rPr>
          <w:caps w:val="0"/>
          <w:sz w:val="26"/>
          <w:szCs w:val="26"/>
          <w:lang w:val="fr-WINDIES"/>
        </w:rPr>
        <w:t xml:space="preserve">Evolution du parc </w:t>
      </w:r>
      <w:r w:rsidR="009F33EF" w:rsidRPr="004606D6">
        <w:rPr>
          <w:caps w:val="0"/>
          <w:sz w:val="26"/>
          <w:szCs w:val="26"/>
          <w:lang w:val="fr-WINDIES"/>
        </w:rPr>
        <w:t>ravitaillant les usines de farine</w:t>
      </w:r>
      <w:bookmarkEnd w:id="8"/>
      <w:r w:rsidR="00F86557">
        <w:rPr>
          <w:caps w:val="0"/>
          <w:sz w:val="26"/>
          <w:szCs w:val="26"/>
          <w:lang w:val="fr-WINDIES"/>
        </w:rPr>
        <w:t xml:space="preserve"> en 2021</w:t>
      </w:r>
    </w:p>
    <w:p w:rsidR="0034744E" w:rsidRPr="00401C4C" w:rsidRDefault="0034744E" w:rsidP="0034744E">
      <w:pPr>
        <w:spacing w:line="276" w:lineRule="auto"/>
        <w:jc w:val="both"/>
        <w:rPr>
          <w:rFonts w:cs="Calibri Light"/>
          <w:sz w:val="24"/>
        </w:rPr>
      </w:pPr>
      <w:r w:rsidRPr="00401C4C">
        <w:rPr>
          <w:rFonts w:cs="Calibri Light"/>
          <w:sz w:val="24"/>
        </w:rPr>
        <w:t xml:space="preserve">Les espèces des petits pélagiques </w:t>
      </w:r>
      <w:r w:rsidR="009F33EF" w:rsidRPr="00401C4C">
        <w:rPr>
          <w:rFonts w:cs="Calibri Light"/>
          <w:sz w:val="24"/>
        </w:rPr>
        <w:t xml:space="preserve">transformées par les usines </w:t>
      </w:r>
      <w:r w:rsidRPr="00401C4C">
        <w:rPr>
          <w:rFonts w:cs="Calibri Light"/>
          <w:sz w:val="24"/>
        </w:rPr>
        <w:t xml:space="preserve">sont exploitées </w:t>
      </w:r>
      <w:r w:rsidR="009F33EF" w:rsidRPr="00401C4C">
        <w:rPr>
          <w:rFonts w:cs="Calibri Light"/>
          <w:sz w:val="24"/>
        </w:rPr>
        <w:t>par des segments artisanaux et côtiers travaillant d</w:t>
      </w:r>
      <w:r w:rsidRPr="00401C4C">
        <w:rPr>
          <w:rFonts w:cs="Calibri Light"/>
          <w:sz w:val="24"/>
        </w:rPr>
        <w:t>ans le cadre d’une seule concession dénommée «pélagiques » par des navires travaillant dans le régime national</w:t>
      </w:r>
      <w:r w:rsidRPr="00401C4C">
        <w:rPr>
          <w:rFonts w:cs="Calibri Light"/>
          <w:sz w:val="24"/>
        </w:rPr>
        <w:footnoteReference w:id="1"/>
      </w:r>
      <w:r w:rsidRPr="00401C4C">
        <w:rPr>
          <w:rFonts w:cs="Calibri Light"/>
          <w:sz w:val="24"/>
        </w:rPr>
        <w:t xml:space="preserve"> </w:t>
      </w:r>
      <w:r w:rsidR="001302FD">
        <w:rPr>
          <w:rFonts w:cs="Calibri Light"/>
          <w:sz w:val="24"/>
        </w:rPr>
        <w:t xml:space="preserve">ou </w:t>
      </w:r>
      <w:r w:rsidRPr="00401C4C">
        <w:rPr>
          <w:rFonts w:cs="Calibri Light"/>
          <w:sz w:val="24"/>
        </w:rPr>
        <w:t>dans le régime étranger qui concerne en particulier les accords de pêche et les conventions internationales.</w:t>
      </w:r>
    </w:p>
    <w:p w:rsidR="0034744E" w:rsidRPr="00401C4C" w:rsidRDefault="0034744E" w:rsidP="0034744E">
      <w:pPr>
        <w:spacing w:line="276" w:lineRule="auto"/>
        <w:jc w:val="both"/>
        <w:rPr>
          <w:rFonts w:cs="Calibri Light"/>
          <w:sz w:val="24"/>
        </w:rPr>
      </w:pPr>
      <w:r w:rsidRPr="00401C4C">
        <w:rPr>
          <w:rFonts w:cs="Calibri Light"/>
          <w:sz w:val="24"/>
        </w:rPr>
        <w:t>Les pêcheries artisanale</w:t>
      </w:r>
      <w:r w:rsidR="009F33EF" w:rsidRPr="00401C4C">
        <w:rPr>
          <w:rFonts w:cs="Calibri Light"/>
          <w:sz w:val="24"/>
        </w:rPr>
        <w:t>s</w:t>
      </w:r>
      <w:r w:rsidRPr="00401C4C">
        <w:rPr>
          <w:rFonts w:cs="Calibri Light"/>
          <w:sz w:val="24"/>
        </w:rPr>
        <w:t xml:space="preserve"> et </w:t>
      </w:r>
      <w:r w:rsidR="009F33EF" w:rsidRPr="00401C4C">
        <w:rPr>
          <w:rFonts w:cs="Calibri Light"/>
          <w:sz w:val="24"/>
        </w:rPr>
        <w:t>côtières</w:t>
      </w:r>
      <w:r w:rsidRPr="00401C4C">
        <w:rPr>
          <w:rFonts w:cs="Calibri Light"/>
          <w:sz w:val="24"/>
        </w:rPr>
        <w:t xml:space="preserve"> ciblent essentiellement les clupéidés (sardine, sardinelles et eth</w:t>
      </w:r>
      <w:r w:rsidR="009F33EF" w:rsidRPr="00401C4C">
        <w:rPr>
          <w:rFonts w:cs="Calibri Light"/>
          <w:sz w:val="24"/>
        </w:rPr>
        <w:t xml:space="preserve">malose) qui constituent la préférence des usiniers. </w:t>
      </w:r>
    </w:p>
    <w:p w:rsidR="0034744E" w:rsidRDefault="009F33EF" w:rsidP="0034744E">
      <w:pPr>
        <w:pStyle w:val="Default"/>
        <w:spacing w:line="276" w:lineRule="auto"/>
        <w:jc w:val="both"/>
        <w:rPr>
          <w:rFonts w:ascii="Calibri Light" w:eastAsia="Calibri" w:hAnsi="Calibri Light" w:cs="Calibri Light"/>
          <w:color w:val="auto"/>
          <w:szCs w:val="22"/>
          <w:lang w:eastAsia="en-US"/>
        </w:rPr>
      </w:pPr>
      <w:r w:rsidRPr="00401C4C">
        <w:rPr>
          <w:rFonts w:ascii="Calibri Light" w:eastAsia="Calibri" w:hAnsi="Calibri Light" w:cs="Calibri Light"/>
          <w:color w:val="auto"/>
          <w:szCs w:val="22"/>
          <w:lang w:eastAsia="en-US"/>
        </w:rPr>
        <w:t>L</w:t>
      </w:r>
      <w:r w:rsidR="00F86557">
        <w:rPr>
          <w:rFonts w:ascii="Calibri Light" w:eastAsia="Calibri" w:hAnsi="Calibri Light" w:cs="Calibri Light"/>
          <w:color w:val="auto"/>
          <w:szCs w:val="22"/>
          <w:lang w:eastAsia="en-US"/>
        </w:rPr>
        <w:t xml:space="preserve">es </w:t>
      </w:r>
      <w:r w:rsidR="0034744E" w:rsidRPr="00401C4C">
        <w:rPr>
          <w:rFonts w:ascii="Calibri Light" w:eastAsia="Calibri" w:hAnsi="Calibri Light" w:cs="Calibri Light"/>
          <w:color w:val="auto"/>
          <w:szCs w:val="22"/>
          <w:lang w:eastAsia="en-US"/>
        </w:rPr>
        <w:t xml:space="preserve">pirogues senneurs concernent les embarcations dont la longueur est supérieure à 14.5 m motorisée ou non de puissance inférieure ou égale à 150 CV. Ce type de pêche pourrait être considéré comme pêche artisanale pélagique </w:t>
      </w:r>
      <w:r w:rsidRPr="00401C4C">
        <w:rPr>
          <w:rFonts w:ascii="Calibri Light" w:eastAsia="Calibri" w:hAnsi="Calibri Light" w:cs="Calibri Light"/>
          <w:color w:val="auto"/>
          <w:szCs w:val="22"/>
          <w:lang w:eastAsia="en-US"/>
        </w:rPr>
        <w:t>à</w:t>
      </w:r>
      <w:r w:rsidR="0034744E" w:rsidRPr="00401C4C">
        <w:rPr>
          <w:rFonts w:ascii="Calibri Light" w:eastAsia="Calibri" w:hAnsi="Calibri Light" w:cs="Calibri Light"/>
          <w:color w:val="auto"/>
          <w:szCs w:val="22"/>
          <w:lang w:eastAsia="en-US"/>
        </w:rPr>
        <w:t xml:space="preserve"> moyen échelle telle que suggéré dans le projet du Plan d’Aménagement des Petits pélagiques.</w:t>
      </w:r>
    </w:p>
    <w:p w:rsidR="00BF6F42" w:rsidRDefault="00BF6F42" w:rsidP="0034744E">
      <w:pPr>
        <w:pStyle w:val="Default"/>
        <w:spacing w:line="276" w:lineRule="auto"/>
        <w:jc w:val="both"/>
        <w:rPr>
          <w:rFonts w:ascii="Calibri Light" w:eastAsia="Calibri" w:hAnsi="Calibri Light" w:cs="Calibri Light"/>
          <w:color w:val="auto"/>
          <w:szCs w:val="22"/>
          <w:lang w:eastAsia="en-US"/>
        </w:rPr>
      </w:pPr>
    </w:p>
    <w:p w:rsidR="00BF6F42" w:rsidRDefault="00BF6F42"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84565B" w:rsidRDefault="0084565B" w:rsidP="0034744E">
      <w:pPr>
        <w:pStyle w:val="Default"/>
        <w:spacing w:line="276" w:lineRule="auto"/>
        <w:jc w:val="both"/>
        <w:rPr>
          <w:rFonts w:ascii="Calibri Light" w:eastAsia="Calibri" w:hAnsi="Calibri Light" w:cs="Calibri Light"/>
          <w:color w:val="auto"/>
          <w:szCs w:val="22"/>
          <w:lang w:eastAsia="en-US"/>
        </w:rPr>
      </w:pPr>
    </w:p>
    <w:p w:rsidR="00BF6F42" w:rsidRPr="00401C4C" w:rsidRDefault="00BF6F42" w:rsidP="0034744E">
      <w:pPr>
        <w:pStyle w:val="Default"/>
        <w:spacing w:line="276" w:lineRule="auto"/>
        <w:jc w:val="both"/>
        <w:rPr>
          <w:rFonts w:ascii="Calibri Light" w:eastAsia="Calibri" w:hAnsi="Calibri Light" w:cs="Calibri Light"/>
          <w:color w:val="auto"/>
          <w:szCs w:val="22"/>
          <w:lang w:eastAsia="en-US"/>
        </w:rPr>
      </w:pPr>
    </w:p>
    <w:p w:rsidR="00183054" w:rsidRPr="00401C4C" w:rsidRDefault="00A8577F" w:rsidP="00401C4C">
      <w:pPr>
        <w:pStyle w:val="FigureTitle"/>
        <w:rPr>
          <w:lang w:val="fr-WINDIES"/>
        </w:rPr>
      </w:pPr>
      <w:bookmarkStart w:id="9" w:name="_Toc525547125"/>
      <w:r>
        <w:rPr>
          <w:lang w:val="fr-WINDIES"/>
        </w:rPr>
        <w:lastRenderedPageBreak/>
        <w:t>Figure 1</w:t>
      </w:r>
      <w:r w:rsidR="00183054" w:rsidRPr="00401C4C">
        <w:rPr>
          <w:lang w:val="fr-WINDIES"/>
        </w:rPr>
        <w:t xml:space="preserve"> : Evolution annuelle du nombre d’embarcation des pirogues senneurs</w:t>
      </w:r>
      <w:bookmarkEnd w:id="9"/>
    </w:p>
    <w:p w:rsidR="00183054" w:rsidRPr="003F13AA" w:rsidRDefault="00183054" w:rsidP="0034744E">
      <w:pPr>
        <w:pStyle w:val="Default"/>
        <w:spacing w:line="276" w:lineRule="auto"/>
        <w:jc w:val="both"/>
        <w:rPr>
          <w:rFonts w:ascii="Times New Roman" w:hAnsi="Times New Roman" w:cs="Times New Roman"/>
          <w:color w:val="auto"/>
        </w:rPr>
      </w:pPr>
    </w:p>
    <w:p w:rsidR="0034744E" w:rsidRDefault="00032AE6" w:rsidP="0034744E">
      <w:pPr>
        <w:pStyle w:val="Default"/>
        <w:spacing w:line="276" w:lineRule="auto"/>
        <w:jc w:val="center"/>
        <w:rPr>
          <w:noProof/>
          <w:sz w:val="28"/>
          <w:szCs w:val="28"/>
          <w:lang w:val="en-US" w:eastAsia="en-US"/>
        </w:rPr>
      </w:pPr>
      <w:r w:rsidRPr="00F86557">
        <w:rPr>
          <w:noProof/>
          <w:sz w:val="28"/>
          <w:szCs w:val="28"/>
          <w:lang w:val="en-GB" w:eastAsia="en-GB"/>
        </w:rPr>
        <w:drawing>
          <wp:inline distT="0" distB="0" distL="0" distR="0">
            <wp:extent cx="5062855" cy="3062605"/>
            <wp:effectExtent l="0" t="0" r="4445" b="4445"/>
            <wp:docPr id="1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557" w:rsidRPr="003F13AA" w:rsidRDefault="00F86557" w:rsidP="0034744E">
      <w:pPr>
        <w:pStyle w:val="Default"/>
        <w:spacing w:line="276" w:lineRule="auto"/>
        <w:jc w:val="center"/>
        <w:rPr>
          <w:rFonts w:ascii="Times New Roman" w:hAnsi="Times New Roman" w:cs="Times New Roman"/>
          <w:noProof/>
        </w:rPr>
      </w:pPr>
    </w:p>
    <w:p w:rsidR="0034744E" w:rsidRPr="00184DD6" w:rsidRDefault="0034744E" w:rsidP="0034744E">
      <w:pPr>
        <w:pStyle w:val="Default"/>
        <w:spacing w:line="276" w:lineRule="auto"/>
        <w:jc w:val="both"/>
        <w:rPr>
          <w:rFonts w:ascii="Calibri Light" w:eastAsia="Calibri" w:hAnsi="Calibri Light" w:cs="Calibri Light"/>
          <w:color w:val="auto"/>
          <w:szCs w:val="22"/>
          <w:lang w:eastAsia="en-US"/>
        </w:rPr>
      </w:pPr>
      <w:r w:rsidRPr="00184DD6">
        <w:rPr>
          <w:rFonts w:ascii="Calibri Light" w:eastAsia="Calibri" w:hAnsi="Calibri Light" w:cs="Calibri Light"/>
          <w:color w:val="auto"/>
          <w:szCs w:val="22"/>
          <w:lang w:eastAsia="en-US"/>
        </w:rPr>
        <w:t xml:space="preserve">L’activité de pêche des pirogues senneurs s’est accrue depuis 2010 à 2016 durant lesquelles le nombre était respectivement de 171 pirogues et 2016 </w:t>
      </w:r>
      <w:r w:rsidR="001302FD">
        <w:rPr>
          <w:rFonts w:ascii="Calibri Light" w:eastAsia="Calibri" w:hAnsi="Calibri Light" w:cs="Calibri Light"/>
          <w:color w:val="auto"/>
          <w:szCs w:val="22"/>
          <w:lang w:eastAsia="en-US"/>
        </w:rPr>
        <w:t xml:space="preserve">ou </w:t>
      </w:r>
      <w:r w:rsidRPr="00184DD6">
        <w:rPr>
          <w:rFonts w:ascii="Calibri Light" w:eastAsia="Calibri" w:hAnsi="Calibri Light" w:cs="Calibri Light"/>
          <w:color w:val="auto"/>
          <w:szCs w:val="22"/>
          <w:lang w:eastAsia="en-US"/>
        </w:rPr>
        <w:t xml:space="preserve">plus de 350 pirogues actives sans compter les embarcations annexes qui servent à encercler le banc par la senne. La période de 2011-2016 est marquée aussi par l’arrivée des pêcheurs d’origine sénégalaises travaillant à bord des pirogues majoritairement affrêtées par des opérateurs de pêche proriétaires des usines de farine. Le contrat de travail entre les deux parties consiste à ce que l’usinier assure le financement de l’activité de pêche (achat de </w:t>
      </w:r>
      <w:r w:rsidR="00032AE6">
        <w:rPr>
          <w:rFonts w:ascii="Calibri Light" w:eastAsia="Calibri" w:hAnsi="Calibri Light" w:cs="Calibri Light"/>
          <w:noProof/>
          <w:lang w:val="en-GB" w:eastAsia="en-GB"/>
        </w:rPr>
        <w:drawing>
          <wp:anchor distT="0" distB="0" distL="114300" distR="114300" simplePos="0" relativeHeight="251658240" behindDoc="1" locked="0" layoutInCell="1" allowOverlap="1">
            <wp:simplePos x="0" y="0"/>
            <wp:positionH relativeFrom="column">
              <wp:posOffset>4039235</wp:posOffset>
            </wp:positionH>
            <wp:positionV relativeFrom="paragraph">
              <wp:posOffset>26035</wp:posOffset>
            </wp:positionV>
            <wp:extent cx="1203960" cy="2148840"/>
            <wp:effectExtent l="0" t="0" r="0" b="3810"/>
            <wp:wrapTight wrapText="bothSides">
              <wp:wrapPolygon edited="0">
                <wp:start x="0" y="0"/>
                <wp:lineTo x="0" y="21447"/>
                <wp:lineTo x="21190" y="21447"/>
                <wp:lineTo x="21190" y="0"/>
                <wp:lineTo x="0" y="0"/>
              </wp:wrapPolygon>
            </wp:wrapTight>
            <wp:docPr id="17"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396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DD6">
        <w:rPr>
          <w:rFonts w:ascii="Calibri Light" w:eastAsia="Calibri" w:hAnsi="Calibri Light" w:cs="Calibri Light"/>
          <w:color w:val="auto"/>
          <w:szCs w:val="22"/>
          <w:lang w:eastAsia="en-US"/>
        </w:rPr>
        <w:t>la ration, matériels de pêches) en contre partie de reserver toute la quantité pêchée en petits pélagiques à l’</w:t>
      </w:r>
      <w:r w:rsidR="001302FD" w:rsidRPr="00184DD6">
        <w:rPr>
          <w:rFonts w:ascii="Calibri Light" w:eastAsia="Calibri" w:hAnsi="Calibri Light" w:cs="Calibri Light"/>
          <w:color w:val="auto"/>
          <w:szCs w:val="22"/>
          <w:lang w:eastAsia="en-US"/>
        </w:rPr>
        <w:t>approvisionnement</w:t>
      </w:r>
      <w:r w:rsidRPr="00184DD6">
        <w:rPr>
          <w:rFonts w:ascii="Calibri Light" w:eastAsia="Calibri" w:hAnsi="Calibri Light" w:cs="Calibri Light"/>
          <w:color w:val="auto"/>
          <w:szCs w:val="22"/>
          <w:lang w:eastAsia="en-US"/>
        </w:rPr>
        <w:t xml:space="preserve"> ses usines avec un prix abordable. Ce </w:t>
      </w:r>
      <w:r w:rsidR="001302FD" w:rsidRPr="00184DD6">
        <w:rPr>
          <w:rFonts w:ascii="Calibri Light" w:eastAsia="Calibri" w:hAnsi="Calibri Light" w:cs="Calibri Light"/>
          <w:color w:val="auto"/>
          <w:szCs w:val="22"/>
          <w:lang w:eastAsia="en-US"/>
        </w:rPr>
        <w:t>système</w:t>
      </w:r>
      <w:r w:rsidRPr="00184DD6">
        <w:rPr>
          <w:rFonts w:ascii="Calibri Light" w:eastAsia="Calibri" w:hAnsi="Calibri Light" w:cs="Calibri Light"/>
          <w:color w:val="auto"/>
          <w:szCs w:val="22"/>
          <w:lang w:eastAsia="en-US"/>
        </w:rPr>
        <w:t xml:space="preserve"> d’organisation a permis d’assurer le ravitaillement des usines de farine jusqu’à fin 2016. L’application effective de la reglémentation sur la nationalité des marins en début de l’année 2017 a mis fin à ce type de license de pêche d’affraitement. Les pêcheurs sénégalais, dont le nombre est estimé lors de l’enquête cadre de juillet 2015 à 6000 marins, ont commencé de quitter la zone pour passer à moins de 139 pêcheurs selon l’enquête cadre de décembre 2016.  </w:t>
      </w:r>
    </w:p>
    <w:p w:rsidR="00D27AEB" w:rsidRPr="00184DD6" w:rsidRDefault="00D27AEB" w:rsidP="0034744E">
      <w:pPr>
        <w:pStyle w:val="Default"/>
        <w:spacing w:line="276" w:lineRule="auto"/>
        <w:jc w:val="both"/>
        <w:rPr>
          <w:rFonts w:ascii="Calibri Light" w:eastAsia="Calibri" w:hAnsi="Calibri Light" w:cs="Calibri Light"/>
          <w:color w:val="auto"/>
          <w:szCs w:val="22"/>
          <w:lang w:eastAsia="en-US"/>
        </w:rPr>
      </w:pPr>
    </w:p>
    <w:p w:rsidR="0034744E" w:rsidRPr="00184DD6" w:rsidRDefault="0034744E" w:rsidP="0034744E">
      <w:pPr>
        <w:pStyle w:val="Default"/>
        <w:spacing w:line="276" w:lineRule="auto"/>
        <w:jc w:val="both"/>
        <w:rPr>
          <w:rFonts w:ascii="Calibri Light" w:eastAsia="Calibri" w:hAnsi="Calibri Light" w:cs="Calibri Light"/>
          <w:color w:val="auto"/>
          <w:szCs w:val="22"/>
          <w:lang w:eastAsia="en-US"/>
        </w:rPr>
      </w:pPr>
      <w:r w:rsidRPr="00184DD6">
        <w:rPr>
          <w:rFonts w:ascii="Calibri Light" w:eastAsia="Calibri" w:hAnsi="Calibri Light" w:cs="Calibri Light"/>
          <w:color w:val="auto"/>
          <w:szCs w:val="22"/>
          <w:lang w:eastAsia="en-US"/>
        </w:rPr>
        <w:t>Depuis le départ des pêcheurs sénégalais, nous avons constaté le developpement d’une pêche nationale dirigé</w:t>
      </w:r>
      <w:r w:rsidR="001302FD">
        <w:rPr>
          <w:rFonts w:ascii="Calibri Light" w:eastAsia="Calibri" w:hAnsi="Calibri Light" w:cs="Calibri Light"/>
          <w:color w:val="auto"/>
          <w:szCs w:val="22"/>
          <w:lang w:eastAsia="en-US"/>
        </w:rPr>
        <w:t>e</w:t>
      </w:r>
      <w:r w:rsidRPr="00184DD6">
        <w:rPr>
          <w:rFonts w:ascii="Calibri Light" w:eastAsia="Calibri" w:hAnsi="Calibri Light" w:cs="Calibri Light"/>
          <w:color w:val="auto"/>
          <w:szCs w:val="22"/>
          <w:lang w:eastAsia="en-US"/>
        </w:rPr>
        <w:t xml:space="preserve"> par des pêcheurs mauritaniens d’origine Ndiago. Ces pêcheurs qui étaient localisés dans la zone de Nouakchott ont commencé de travailler dans la zone nord en utilisant pour la prémière fois des pirogues en plastique dans la pêche de la senne. Le nombre des pirogues senneurs selon l’enquête cadre en novembre 2019 a </w:t>
      </w:r>
      <w:r w:rsidRPr="00184DD6">
        <w:rPr>
          <w:rFonts w:ascii="Calibri Light" w:eastAsia="Calibri" w:hAnsi="Calibri Light" w:cs="Calibri Light"/>
          <w:color w:val="auto"/>
          <w:szCs w:val="22"/>
          <w:lang w:eastAsia="en-US"/>
        </w:rPr>
        <w:lastRenderedPageBreak/>
        <w:t>atteint environ 264 senneus sur l’ensemble du littoral avant de connaitre une chute en 2020 pour arriver à environ 178.</w:t>
      </w:r>
    </w:p>
    <w:p w:rsidR="0034744E" w:rsidRPr="00184DD6" w:rsidRDefault="0034744E" w:rsidP="0034744E">
      <w:pPr>
        <w:pStyle w:val="Default"/>
        <w:spacing w:line="276" w:lineRule="auto"/>
        <w:jc w:val="both"/>
        <w:rPr>
          <w:rFonts w:ascii="Calibri Light" w:eastAsia="Calibri" w:hAnsi="Calibri Light" w:cs="Calibri Light"/>
          <w:color w:val="auto"/>
          <w:szCs w:val="22"/>
          <w:lang w:eastAsia="en-US"/>
        </w:rPr>
      </w:pPr>
      <w:r w:rsidRPr="00184DD6">
        <w:rPr>
          <w:rFonts w:ascii="Calibri Light" w:eastAsia="Calibri" w:hAnsi="Calibri Light" w:cs="Calibri Light"/>
          <w:color w:val="auto"/>
          <w:szCs w:val="22"/>
          <w:lang w:eastAsia="en-US"/>
        </w:rPr>
        <w:t xml:space="preserve">L’autre type de pêche qui assure l’approvisionnement de l’industrie de farine, appartient à des bateaux classés en trois segments. Les bateaux dont les tailles sont inférieures à 26 m sont classés dans le segment 1. La deuxième catégorie appelée segment 2 concerne toute pêche exercée par un navire de pêche dont la longueur est supérieure à 26 m et inférieurs à 40 m. La troisième catégorie concerne les bateaux du segment 3 dont les tailles sont supérieures à 40m et inférieure à 60 m et dépourvues du système de congélation à bord.  Cette catégorie de pêche regroupe à la fois des senneurs et des chalutiers utilisant des chaluts à bœufs.  </w:t>
      </w:r>
    </w:p>
    <w:p w:rsidR="00D27AEB" w:rsidRPr="00184DD6" w:rsidRDefault="00D27AEB" w:rsidP="0034744E">
      <w:pPr>
        <w:pStyle w:val="Default"/>
        <w:spacing w:line="276" w:lineRule="auto"/>
        <w:jc w:val="both"/>
        <w:rPr>
          <w:rFonts w:ascii="Calibri Light" w:eastAsia="Calibri" w:hAnsi="Calibri Light" w:cs="Calibri Light"/>
          <w:color w:val="auto"/>
          <w:szCs w:val="22"/>
          <w:lang w:eastAsia="en-US"/>
        </w:rPr>
      </w:pPr>
    </w:p>
    <w:p w:rsidR="0034744E" w:rsidRPr="00184DD6" w:rsidRDefault="0034744E" w:rsidP="0034744E">
      <w:pPr>
        <w:pStyle w:val="Default"/>
        <w:spacing w:line="276" w:lineRule="auto"/>
        <w:jc w:val="both"/>
        <w:rPr>
          <w:rFonts w:ascii="Calibri Light" w:eastAsia="Calibri" w:hAnsi="Calibri Light" w:cs="Calibri Light"/>
          <w:color w:val="auto"/>
          <w:szCs w:val="22"/>
          <w:lang w:eastAsia="en-US"/>
        </w:rPr>
      </w:pPr>
      <w:r w:rsidRPr="00184DD6">
        <w:rPr>
          <w:rFonts w:ascii="Calibri Light" w:eastAsia="Calibri" w:hAnsi="Calibri Light" w:cs="Calibri Light"/>
          <w:color w:val="auto"/>
          <w:szCs w:val="22"/>
          <w:lang w:eastAsia="en-US"/>
        </w:rPr>
        <w:t>Le nombre des bateaux du segment 1 reste faible durant toute la période et fluctue autour de 10 alors que celui du segment 2 est passé de 9 en 2015 à environ 26 en 2020.</w:t>
      </w:r>
    </w:p>
    <w:p w:rsidR="0034744E" w:rsidRDefault="0034744E" w:rsidP="0034744E">
      <w:pPr>
        <w:pStyle w:val="Default"/>
        <w:spacing w:line="276" w:lineRule="auto"/>
        <w:jc w:val="both"/>
        <w:rPr>
          <w:rFonts w:ascii="Calibri Light" w:eastAsia="Calibri" w:hAnsi="Calibri Light" w:cs="Calibri Light"/>
          <w:color w:val="auto"/>
          <w:szCs w:val="22"/>
          <w:lang w:eastAsia="en-US"/>
        </w:rPr>
      </w:pPr>
      <w:r w:rsidRPr="00184DD6">
        <w:rPr>
          <w:rFonts w:ascii="Calibri Light" w:eastAsia="Calibri" w:hAnsi="Calibri Light" w:cs="Calibri Light"/>
          <w:color w:val="auto"/>
          <w:szCs w:val="22"/>
          <w:lang w:eastAsia="en-US"/>
        </w:rPr>
        <w:t xml:space="preserve">Le nombre des bateaux le plus important est celui du segment 3 avec environ 59 en 2018 dont une vingtaine utilisant les chaluts pélagiques simples avant de connaitre une chute importante en 2020  surtout pour les chalutiers côtiers qui ont quitté la zone après la modification du zonage en 2019.  </w:t>
      </w:r>
    </w:p>
    <w:p w:rsidR="0034744E" w:rsidRPr="00A8577F" w:rsidRDefault="0034744E" w:rsidP="00B1058F">
      <w:pPr>
        <w:pStyle w:val="FigureTitle"/>
        <w:rPr>
          <w:noProof/>
        </w:rPr>
      </w:pPr>
      <w:r w:rsidRPr="00401C4C">
        <w:rPr>
          <w:lang w:val="fr-WINDIES"/>
        </w:rPr>
        <w:t>Figure </w:t>
      </w:r>
      <w:r w:rsidR="00A8577F">
        <w:rPr>
          <w:lang w:val="fr-WINDIES"/>
        </w:rPr>
        <w:t>2</w:t>
      </w:r>
      <w:r w:rsidRPr="00401C4C">
        <w:rPr>
          <w:lang w:val="fr-WINDIES"/>
        </w:rPr>
        <w:t xml:space="preserve">: Evolution du nombre des bateaux côtiers </w:t>
      </w:r>
      <w:r w:rsidR="00B1058F">
        <w:rPr>
          <w:lang w:val="fr-WINDIES"/>
        </w:rPr>
        <w:t xml:space="preserve"> 2016 -2021 </w:t>
      </w:r>
      <w:r w:rsidR="00032AE6" w:rsidRPr="00B1058F">
        <w:rPr>
          <w:noProof/>
          <w:lang w:val="en-GB"/>
        </w:rPr>
        <w:drawing>
          <wp:inline distT="0" distB="0" distL="0" distR="0">
            <wp:extent cx="4796790" cy="2910840"/>
            <wp:effectExtent l="0" t="0" r="3810" b="3810"/>
            <wp:docPr id="1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565B" w:rsidRPr="00A8577F" w:rsidRDefault="0084565B" w:rsidP="00B1058F">
      <w:pPr>
        <w:pStyle w:val="FigureTitle"/>
        <w:rPr>
          <w:noProof/>
        </w:rPr>
      </w:pPr>
    </w:p>
    <w:p w:rsidR="0084565B" w:rsidRPr="00A8577F" w:rsidRDefault="0084565B" w:rsidP="00B1058F">
      <w:pPr>
        <w:pStyle w:val="FigureTitle"/>
        <w:rPr>
          <w:noProof/>
        </w:rPr>
      </w:pPr>
    </w:p>
    <w:p w:rsidR="0084565B" w:rsidRPr="00A8577F" w:rsidRDefault="0084565B" w:rsidP="00B1058F">
      <w:pPr>
        <w:pStyle w:val="FigureTitle"/>
        <w:rPr>
          <w:noProof/>
        </w:rPr>
      </w:pPr>
    </w:p>
    <w:p w:rsidR="0084565B" w:rsidRDefault="0084565B" w:rsidP="00B1058F">
      <w:pPr>
        <w:pStyle w:val="FigureTitle"/>
        <w:rPr>
          <w:rFonts w:cs="Arial"/>
        </w:rPr>
      </w:pPr>
    </w:p>
    <w:p w:rsidR="00DE4899" w:rsidRDefault="00744141" w:rsidP="004606D6">
      <w:pPr>
        <w:pStyle w:val="Heading1"/>
        <w:numPr>
          <w:ilvl w:val="0"/>
          <w:numId w:val="5"/>
        </w:numPr>
        <w:rPr>
          <w:caps w:val="0"/>
          <w:sz w:val="26"/>
          <w:szCs w:val="26"/>
          <w:lang w:val="fr-WINDIES"/>
        </w:rPr>
      </w:pPr>
      <w:bookmarkStart w:id="10" w:name="_Hlk59366760"/>
      <w:bookmarkStart w:id="11" w:name="_Toc71496168"/>
      <w:r w:rsidRPr="004606D6">
        <w:rPr>
          <w:caps w:val="0"/>
          <w:sz w:val="26"/>
          <w:szCs w:val="26"/>
          <w:lang w:val="fr-WINDIES"/>
        </w:rPr>
        <w:lastRenderedPageBreak/>
        <w:t xml:space="preserve">Echantillonnage des </w:t>
      </w:r>
      <w:r w:rsidR="00E41B0D" w:rsidRPr="004606D6">
        <w:rPr>
          <w:caps w:val="0"/>
          <w:sz w:val="26"/>
          <w:szCs w:val="26"/>
          <w:lang w:val="fr-WINDIES"/>
        </w:rPr>
        <w:t xml:space="preserve">tailles au niveau des </w:t>
      </w:r>
      <w:r w:rsidRPr="004606D6">
        <w:rPr>
          <w:caps w:val="0"/>
          <w:sz w:val="26"/>
          <w:szCs w:val="26"/>
          <w:lang w:val="fr-WINDIES"/>
        </w:rPr>
        <w:t>usines</w:t>
      </w:r>
      <w:bookmarkEnd w:id="11"/>
      <w:r w:rsidR="00BF6F42">
        <w:rPr>
          <w:caps w:val="0"/>
          <w:sz w:val="26"/>
          <w:szCs w:val="26"/>
          <w:lang w:val="fr-WINDIES"/>
        </w:rPr>
        <w:t xml:space="preserve"> Mai à Décembre 2021</w:t>
      </w:r>
    </w:p>
    <w:p w:rsidR="0084565B" w:rsidRPr="0084565B" w:rsidRDefault="0084565B" w:rsidP="00A8577F">
      <w:pPr>
        <w:spacing w:after="0" w:line="276" w:lineRule="auto"/>
        <w:jc w:val="both"/>
        <w:rPr>
          <w:rFonts w:cs="Calibri Light"/>
          <w:sz w:val="24"/>
        </w:rPr>
      </w:pPr>
      <w:r w:rsidRPr="0084565B">
        <w:rPr>
          <w:rFonts w:cs="Calibri Light"/>
          <w:sz w:val="24"/>
        </w:rPr>
        <w:t xml:space="preserve">Au cours de cette période entre mai et </w:t>
      </w:r>
      <w:r>
        <w:rPr>
          <w:rFonts w:cs="Calibri Light"/>
          <w:sz w:val="24"/>
        </w:rPr>
        <w:t>octobre 20021</w:t>
      </w:r>
      <w:r w:rsidRPr="0084565B">
        <w:rPr>
          <w:rFonts w:cs="Calibri Light"/>
          <w:sz w:val="24"/>
        </w:rPr>
        <w:t xml:space="preserve">, 221 échantillons ont été </w:t>
      </w:r>
      <w:r>
        <w:rPr>
          <w:rFonts w:cs="Calibri Light"/>
          <w:sz w:val="24"/>
        </w:rPr>
        <w:t>prélevé</w:t>
      </w:r>
      <w:r w:rsidRPr="0084565B">
        <w:rPr>
          <w:rFonts w:cs="Calibri Light"/>
          <w:sz w:val="24"/>
        </w:rPr>
        <w:t xml:space="preserve"> en couvrant une capture de 27251 tonnes dont 4637 </w:t>
      </w:r>
      <w:r>
        <w:rPr>
          <w:rFonts w:cs="Calibri Light"/>
          <w:sz w:val="24"/>
        </w:rPr>
        <w:t xml:space="preserve">a </w:t>
      </w:r>
      <w:r w:rsidRPr="0084565B">
        <w:rPr>
          <w:rFonts w:cs="Calibri Light"/>
          <w:sz w:val="24"/>
        </w:rPr>
        <w:t xml:space="preserve">fait l’objet d’une analyse </w:t>
      </w:r>
      <w:r>
        <w:rPr>
          <w:rFonts w:cs="Calibri Light"/>
          <w:sz w:val="24"/>
        </w:rPr>
        <w:t>ce qui représente</w:t>
      </w:r>
      <w:r w:rsidRPr="0084565B">
        <w:rPr>
          <w:rFonts w:cs="Calibri Light"/>
          <w:sz w:val="24"/>
        </w:rPr>
        <w:t xml:space="preserve"> 17%. </w:t>
      </w:r>
      <w:r>
        <w:rPr>
          <w:rFonts w:cs="Calibri Light"/>
          <w:sz w:val="24"/>
        </w:rPr>
        <w:t xml:space="preserve">Plus de </w:t>
      </w:r>
      <w:r w:rsidRPr="0084565B">
        <w:rPr>
          <w:rFonts w:cs="Calibri Light"/>
          <w:sz w:val="24"/>
        </w:rPr>
        <w:t>22635</w:t>
      </w:r>
      <w:r>
        <w:rPr>
          <w:rFonts w:cs="Calibri Light"/>
          <w:sz w:val="24"/>
        </w:rPr>
        <w:t xml:space="preserve"> individus ont </w:t>
      </w:r>
      <w:r w:rsidRPr="0084565B">
        <w:rPr>
          <w:rFonts w:cs="Calibri Light"/>
          <w:sz w:val="24"/>
        </w:rPr>
        <w:t>mesuré dominé</w:t>
      </w:r>
      <w:r>
        <w:rPr>
          <w:rFonts w:cs="Calibri Light"/>
          <w:sz w:val="24"/>
        </w:rPr>
        <w:t>s principalement</w:t>
      </w:r>
      <w:r w:rsidRPr="0084565B">
        <w:rPr>
          <w:rFonts w:cs="Calibri Light"/>
          <w:sz w:val="24"/>
        </w:rPr>
        <w:t xml:space="preserve"> par la sardine et la sardinelle plate. </w:t>
      </w:r>
      <w:r w:rsidR="00A8577F">
        <w:rPr>
          <w:rFonts w:cs="Calibri Light"/>
          <w:sz w:val="24"/>
        </w:rPr>
        <w:t xml:space="preserve"> </w:t>
      </w:r>
    </w:p>
    <w:p w:rsidR="003B6A98" w:rsidRDefault="0084565B" w:rsidP="00A8577F">
      <w:pPr>
        <w:spacing w:after="0" w:line="276" w:lineRule="auto"/>
        <w:jc w:val="both"/>
        <w:rPr>
          <w:rFonts w:cs="Calibri Light"/>
          <w:sz w:val="24"/>
        </w:rPr>
      </w:pPr>
      <w:r w:rsidRPr="0084565B">
        <w:rPr>
          <w:rFonts w:cs="Calibri Light"/>
          <w:sz w:val="24"/>
        </w:rPr>
        <w:t xml:space="preserve">Neuf (9) espèces ont été rencontrées dans le débarquement </w:t>
      </w:r>
      <w:r w:rsidR="003B6A98">
        <w:rPr>
          <w:rFonts w:cs="Calibri Light"/>
          <w:sz w:val="24"/>
        </w:rPr>
        <w:t>échantillonné telles que</w:t>
      </w:r>
      <w:r w:rsidRPr="0084565B">
        <w:rPr>
          <w:rFonts w:cs="Calibri Light"/>
          <w:sz w:val="24"/>
        </w:rPr>
        <w:t xml:space="preserve"> : </w:t>
      </w:r>
    </w:p>
    <w:p w:rsidR="003B6A98" w:rsidRDefault="003B6A98" w:rsidP="00A8577F">
      <w:pPr>
        <w:numPr>
          <w:ilvl w:val="0"/>
          <w:numId w:val="35"/>
        </w:numPr>
        <w:spacing w:after="0" w:line="276" w:lineRule="auto"/>
        <w:jc w:val="both"/>
        <w:rPr>
          <w:sz w:val="24"/>
          <w:szCs w:val="24"/>
        </w:rPr>
      </w:pPr>
      <w:r>
        <w:rPr>
          <w:rFonts w:cs="Calibri Light"/>
          <w:sz w:val="24"/>
        </w:rPr>
        <w:t>L</w:t>
      </w:r>
      <w:r w:rsidR="0084565B" w:rsidRPr="0084565B">
        <w:rPr>
          <w:rFonts w:cs="Calibri Light"/>
          <w:sz w:val="24"/>
        </w:rPr>
        <w:t>es trois</w:t>
      </w:r>
      <w:r w:rsidR="0084565B">
        <w:rPr>
          <w:sz w:val="24"/>
          <w:szCs w:val="24"/>
        </w:rPr>
        <w:t xml:space="preserve"> </w:t>
      </w:r>
      <w:r>
        <w:rPr>
          <w:sz w:val="24"/>
          <w:szCs w:val="24"/>
        </w:rPr>
        <w:t xml:space="preserve">espèces de </w:t>
      </w:r>
      <w:r w:rsidR="0084565B">
        <w:rPr>
          <w:sz w:val="24"/>
          <w:szCs w:val="24"/>
        </w:rPr>
        <w:t>chinchards</w:t>
      </w:r>
      <w:r>
        <w:rPr>
          <w:sz w:val="24"/>
          <w:szCs w:val="24"/>
        </w:rPr>
        <w:t> ;</w:t>
      </w:r>
    </w:p>
    <w:p w:rsidR="003B6A98" w:rsidRDefault="003B6A98" w:rsidP="00A8577F">
      <w:pPr>
        <w:numPr>
          <w:ilvl w:val="0"/>
          <w:numId w:val="35"/>
        </w:numPr>
        <w:spacing w:after="0" w:line="276" w:lineRule="auto"/>
        <w:jc w:val="both"/>
        <w:rPr>
          <w:sz w:val="24"/>
          <w:szCs w:val="24"/>
        </w:rPr>
      </w:pPr>
      <w:r>
        <w:rPr>
          <w:sz w:val="24"/>
          <w:szCs w:val="24"/>
        </w:rPr>
        <w:t>Les</w:t>
      </w:r>
      <w:r w:rsidR="0084565B">
        <w:rPr>
          <w:sz w:val="24"/>
          <w:szCs w:val="24"/>
        </w:rPr>
        <w:t xml:space="preserve"> deux </w:t>
      </w:r>
      <w:r>
        <w:rPr>
          <w:sz w:val="24"/>
          <w:szCs w:val="24"/>
        </w:rPr>
        <w:t xml:space="preserve">espèces de </w:t>
      </w:r>
      <w:r w:rsidR="0084565B">
        <w:rPr>
          <w:sz w:val="24"/>
          <w:szCs w:val="24"/>
        </w:rPr>
        <w:t>sardinelles</w:t>
      </w:r>
      <w:r>
        <w:rPr>
          <w:sz w:val="24"/>
          <w:szCs w:val="24"/>
        </w:rPr>
        <w:t> ;</w:t>
      </w:r>
    </w:p>
    <w:p w:rsidR="003B6A98" w:rsidRDefault="003B6A98" w:rsidP="00A8577F">
      <w:pPr>
        <w:numPr>
          <w:ilvl w:val="0"/>
          <w:numId w:val="35"/>
        </w:numPr>
        <w:spacing w:after="0" w:line="276" w:lineRule="auto"/>
        <w:jc w:val="both"/>
        <w:rPr>
          <w:sz w:val="24"/>
          <w:szCs w:val="24"/>
        </w:rPr>
      </w:pPr>
      <w:r>
        <w:rPr>
          <w:sz w:val="24"/>
          <w:szCs w:val="24"/>
        </w:rPr>
        <w:t>L</w:t>
      </w:r>
      <w:r w:rsidR="0084565B" w:rsidRPr="003B6A98">
        <w:rPr>
          <w:sz w:val="24"/>
          <w:szCs w:val="24"/>
        </w:rPr>
        <w:t>a sardine</w:t>
      </w:r>
      <w:r>
        <w:rPr>
          <w:sz w:val="24"/>
          <w:szCs w:val="24"/>
        </w:rPr>
        <w:t> ;</w:t>
      </w:r>
    </w:p>
    <w:p w:rsidR="003B6A98" w:rsidRDefault="003B6A98" w:rsidP="00A8577F">
      <w:pPr>
        <w:numPr>
          <w:ilvl w:val="0"/>
          <w:numId w:val="35"/>
        </w:numPr>
        <w:spacing w:after="0" w:line="276" w:lineRule="auto"/>
        <w:jc w:val="both"/>
        <w:rPr>
          <w:sz w:val="24"/>
          <w:szCs w:val="24"/>
        </w:rPr>
      </w:pPr>
      <w:r>
        <w:rPr>
          <w:sz w:val="24"/>
          <w:szCs w:val="24"/>
        </w:rPr>
        <w:t>L</w:t>
      </w:r>
      <w:r w:rsidR="0084565B" w:rsidRPr="003B6A98">
        <w:rPr>
          <w:sz w:val="24"/>
          <w:szCs w:val="24"/>
        </w:rPr>
        <w:t>e maquereau</w:t>
      </w:r>
      <w:r>
        <w:rPr>
          <w:sz w:val="24"/>
          <w:szCs w:val="24"/>
        </w:rPr>
        <w:t> ;</w:t>
      </w:r>
    </w:p>
    <w:p w:rsidR="003B6A98" w:rsidRDefault="003B6A98" w:rsidP="00A8577F">
      <w:pPr>
        <w:numPr>
          <w:ilvl w:val="0"/>
          <w:numId w:val="35"/>
        </w:numPr>
        <w:spacing w:after="0" w:line="276" w:lineRule="auto"/>
        <w:jc w:val="both"/>
        <w:rPr>
          <w:sz w:val="24"/>
          <w:szCs w:val="24"/>
        </w:rPr>
      </w:pPr>
      <w:r>
        <w:rPr>
          <w:sz w:val="24"/>
          <w:szCs w:val="24"/>
        </w:rPr>
        <w:t>L’e</w:t>
      </w:r>
      <w:r w:rsidR="0084565B" w:rsidRPr="003B6A98">
        <w:rPr>
          <w:sz w:val="24"/>
          <w:szCs w:val="24"/>
        </w:rPr>
        <w:t xml:space="preserve">thmalose </w:t>
      </w:r>
    </w:p>
    <w:p w:rsidR="003B6A98" w:rsidRDefault="003B6A98" w:rsidP="00A8577F">
      <w:pPr>
        <w:numPr>
          <w:ilvl w:val="0"/>
          <w:numId w:val="35"/>
        </w:numPr>
        <w:spacing w:after="0" w:line="276" w:lineRule="auto"/>
        <w:jc w:val="both"/>
        <w:rPr>
          <w:sz w:val="24"/>
          <w:szCs w:val="24"/>
        </w:rPr>
      </w:pPr>
      <w:r>
        <w:rPr>
          <w:sz w:val="24"/>
          <w:szCs w:val="24"/>
        </w:rPr>
        <w:t>Le mulet</w:t>
      </w:r>
    </w:p>
    <w:p w:rsidR="00A8577F" w:rsidRDefault="0084565B" w:rsidP="00A8577F">
      <w:pPr>
        <w:spacing w:after="0" w:line="276" w:lineRule="auto"/>
        <w:jc w:val="both"/>
        <w:rPr>
          <w:sz w:val="24"/>
          <w:szCs w:val="24"/>
        </w:rPr>
      </w:pPr>
      <w:r w:rsidRPr="003B6A98">
        <w:rPr>
          <w:sz w:val="24"/>
          <w:szCs w:val="24"/>
        </w:rPr>
        <w:t>Ces résultats proviennent de l’échantillonnage de débarquements des pirogues et des bateaux côtie</w:t>
      </w:r>
      <w:r w:rsidR="003B6A98">
        <w:rPr>
          <w:sz w:val="24"/>
          <w:szCs w:val="24"/>
        </w:rPr>
        <w:t>rs en plus des usines de farine</w:t>
      </w:r>
      <w:r w:rsidRPr="003B6A98">
        <w:rPr>
          <w:sz w:val="24"/>
          <w:szCs w:val="24"/>
        </w:rPr>
        <w:t xml:space="preserve">. </w:t>
      </w:r>
    </w:p>
    <w:p w:rsidR="0084565B" w:rsidRPr="00A8577F" w:rsidRDefault="00A8577F" w:rsidP="00A8577F">
      <w:pPr>
        <w:pBdr>
          <w:top w:val="single" w:sz="4" w:space="1" w:color="auto"/>
          <w:left w:val="single" w:sz="4" w:space="4" w:color="auto"/>
          <w:bottom w:val="single" w:sz="4" w:space="1" w:color="auto"/>
          <w:right w:val="single" w:sz="4" w:space="4" w:color="auto"/>
        </w:pBdr>
        <w:spacing w:after="0" w:line="276" w:lineRule="auto"/>
        <w:jc w:val="both"/>
        <w:rPr>
          <w:b/>
          <w:bCs/>
          <w:sz w:val="24"/>
          <w:szCs w:val="24"/>
        </w:rPr>
      </w:pPr>
      <w:r w:rsidRPr="00A8577F">
        <w:rPr>
          <w:b/>
          <w:bCs/>
          <w:sz w:val="24"/>
          <w:szCs w:val="24"/>
        </w:rPr>
        <w:t xml:space="preserve">Durant cette période, </w:t>
      </w:r>
      <w:r w:rsidR="0084565B" w:rsidRPr="00A8577F">
        <w:rPr>
          <w:b/>
          <w:bCs/>
          <w:sz w:val="24"/>
          <w:szCs w:val="24"/>
        </w:rPr>
        <w:t>38 bateaux côtiers, 52 pirogues et 17 usines de farines ont été suivi par notre équipe durant cette période.</w:t>
      </w:r>
    </w:p>
    <w:p w:rsidR="0084565B" w:rsidRPr="00A8577F" w:rsidRDefault="0084565B" w:rsidP="00A8577F">
      <w:pPr>
        <w:pStyle w:val="Heading1"/>
        <w:numPr>
          <w:ilvl w:val="1"/>
          <w:numId w:val="5"/>
        </w:numPr>
        <w:rPr>
          <w:caps w:val="0"/>
          <w:sz w:val="26"/>
          <w:szCs w:val="26"/>
          <w:lang w:val="fr-WINDIES"/>
        </w:rPr>
      </w:pPr>
      <w:r w:rsidRPr="00A8577F">
        <w:rPr>
          <w:caps w:val="0"/>
          <w:sz w:val="26"/>
          <w:szCs w:val="26"/>
          <w:lang w:val="fr-WINDIES"/>
        </w:rPr>
        <w:t>La sardine :</w:t>
      </w:r>
    </w:p>
    <w:p w:rsidR="0084565B" w:rsidRPr="00E8077C" w:rsidRDefault="00A8577F" w:rsidP="00A8577F">
      <w:pPr>
        <w:spacing w:after="0" w:line="276" w:lineRule="auto"/>
        <w:jc w:val="both"/>
        <w:rPr>
          <w:sz w:val="24"/>
          <w:szCs w:val="24"/>
        </w:rPr>
      </w:pPr>
      <w:r>
        <w:rPr>
          <w:sz w:val="24"/>
          <w:szCs w:val="24"/>
        </w:rPr>
        <w:t>La présence de cette espèce </w:t>
      </w:r>
      <w:r w:rsidR="0084565B">
        <w:rPr>
          <w:sz w:val="24"/>
          <w:szCs w:val="24"/>
        </w:rPr>
        <w:t>dans les débarquements est observée à partir du mois de septembre. Depuis le moi</w:t>
      </w:r>
      <w:r>
        <w:rPr>
          <w:sz w:val="24"/>
          <w:szCs w:val="24"/>
        </w:rPr>
        <w:t>s</w:t>
      </w:r>
      <w:r w:rsidR="0084565B">
        <w:rPr>
          <w:sz w:val="24"/>
          <w:szCs w:val="24"/>
        </w:rPr>
        <w:t xml:space="preserve"> de mai</w:t>
      </w:r>
      <w:r>
        <w:rPr>
          <w:sz w:val="24"/>
          <w:szCs w:val="24"/>
        </w:rPr>
        <w:t>,</w:t>
      </w:r>
      <w:r w:rsidR="0084565B">
        <w:rPr>
          <w:sz w:val="24"/>
          <w:szCs w:val="24"/>
        </w:rPr>
        <w:t xml:space="preserve"> la sardine est remontée en quittant la </w:t>
      </w:r>
      <w:r>
        <w:rPr>
          <w:sz w:val="24"/>
          <w:szCs w:val="24"/>
        </w:rPr>
        <w:t>zone</w:t>
      </w:r>
      <w:r w:rsidR="0084565B">
        <w:rPr>
          <w:sz w:val="24"/>
          <w:szCs w:val="24"/>
        </w:rPr>
        <w:t xml:space="preserve"> Mauritanienne et tout récemment les premières traces ont été observées et on attend le pic de capture vers les mois de décembre janvier et février comme d’habitude. Les quantités</w:t>
      </w:r>
      <w:r>
        <w:rPr>
          <w:sz w:val="24"/>
          <w:szCs w:val="24"/>
        </w:rPr>
        <w:t xml:space="preserve"> débarquées</w:t>
      </w:r>
      <w:r w:rsidR="0084565B">
        <w:rPr>
          <w:sz w:val="24"/>
          <w:szCs w:val="24"/>
        </w:rPr>
        <w:t xml:space="preserve"> proviennen</w:t>
      </w:r>
      <w:r>
        <w:rPr>
          <w:sz w:val="24"/>
          <w:szCs w:val="24"/>
        </w:rPr>
        <w:t>t totalement de bateaux côtiers et</w:t>
      </w:r>
      <w:r w:rsidR="0084565B">
        <w:rPr>
          <w:sz w:val="24"/>
          <w:szCs w:val="24"/>
        </w:rPr>
        <w:t xml:space="preserve"> elles sont plus de 4100 tonnes. Ces quantités sont écrasées en farine. </w:t>
      </w:r>
    </w:p>
    <w:p w:rsidR="0084565B" w:rsidRPr="00A8577F" w:rsidRDefault="0084565B" w:rsidP="00A8577F">
      <w:pPr>
        <w:spacing w:after="0" w:line="276" w:lineRule="auto"/>
        <w:jc w:val="both"/>
        <w:rPr>
          <w:sz w:val="24"/>
          <w:szCs w:val="24"/>
        </w:rPr>
      </w:pPr>
      <w:r w:rsidRPr="00A8577F">
        <w:rPr>
          <w:sz w:val="24"/>
          <w:szCs w:val="24"/>
        </w:rPr>
        <w:t>Les individus de la sardine pêchée durant cette période ont un poids moyen de 75g et des longu</w:t>
      </w:r>
      <w:r w:rsidR="00A8577F">
        <w:rPr>
          <w:sz w:val="24"/>
          <w:szCs w:val="24"/>
        </w:rPr>
        <w:t xml:space="preserve">eurs variant entre 13 et 27 cm </w:t>
      </w:r>
      <w:r w:rsidRPr="00A8577F">
        <w:rPr>
          <w:sz w:val="24"/>
          <w:szCs w:val="24"/>
        </w:rPr>
        <w:t xml:space="preserve">avec un mode autour de 18 cm </w:t>
      </w:r>
      <w:r w:rsidR="00A8577F">
        <w:rPr>
          <w:sz w:val="24"/>
          <w:szCs w:val="24"/>
        </w:rPr>
        <w:t>comme montre la figure 3</w:t>
      </w:r>
      <w:r w:rsidRPr="00A8577F">
        <w:rPr>
          <w:sz w:val="24"/>
          <w:szCs w:val="24"/>
        </w:rPr>
        <w:t xml:space="preserve">:  </w:t>
      </w:r>
    </w:p>
    <w:p w:rsidR="00A8577F" w:rsidRPr="00A8577F" w:rsidRDefault="00A8577F" w:rsidP="00A8577F">
      <w:pPr>
        <w:spacing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3</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de la sardine </w:t>
      </w:r>
    </w:p>
    <w:p w:rsidR="0084565B" w:rsidRDefault="00032AE6" w:rsidP="0084565B">
      <w:pPr>
        <w:spacing w:line="276" w:lineRule="auto"/>
        <w:jc w:val="both"/>
      </w:pPr>
      <w:r w:rsidRPr="0084565B">
        <w:rPr>
          <w:noProof/>
          <w:lang w:val="en-GB" w:eastAsia="en-GB"/>
        </w:rPr>
        <w:drawing>
          <wp:inline distT="0" distB="0" distL="0" distR="0">
            <wp:extent cx="4664710" cy="2352675"/>
            <wp:effectExtent l="0" t="0" r="2540" b="9525"/>
            <wp:docPr id="1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565B" w:rsidRPr="00A8577F" w:rsidRDefault="0084565B" w:rsidP="00A8577F">
      <w:pPr>
        <w:pStyle w:val="Heading1"/>
        <w:numPr>
          <w:ilvl w:val="1"/>
          <w:numId w:val="5"/>
        </w:numPr>
        <w:rPr>
          <w:caps w:val="0"/>
          <w:sz w:val="26"/>
          <w:szCs w:val="26"/>
          <w:lang w:val="fr-WINDIES"/>
        </w:rPr>
      </w:pPr>
      <w:r w:rsidRPr="00A8577F">
        <w:rPr>
          <w:caps w:val="0"/>
          <w:sz w:val="26"/>
          <w:szCs w:val="26"/>
          <w:lang w:val="fr-WINDIES"/>
        </w:rPr>
        <w:lastRenderedPageBreak/>
        <w:t>Sardinelle plate :</w:t>
      </w:r>
    </w:p>
    <w:p w:rsidR="0084565B" w:rsidRDefault="0084565B" w:rsidP="00616DB3">
      <w:pPr>
        <w:spacing w:line="276" w:lineRule="auto"/>
        <w:jc w:val="both"/>
        <w:rPr>
          <w:sz w:val="24"/>
          <w:szCs w:val="24"/>
        </w:rPr>
      </w:pPr>
      <w:r>
        <w:rPr>
          <w:sz w:val="24"/>
          <w:szCs w:val="24"/>
        </w:rPr>
        <w:t xml:space="preserve">Cette espèce est présente dans toutes les captures, elle est la plus occurrente durant cette période. Les pics de ses captures ont été observés pendant les mois de juillet et août. Un nombre total de 14100 individus </w:t>
      </w:r>
      <w:r w:rsidR="000515CD">
        <w:rPr>
          <w:sz w:val="24"/>
          <w:szCs w:val="24"/>
        </w:rPr>
        <w:t xml:space="preserve">ont </w:t>
      </w:r>
      <w:r>
        <w:rPr>
          <w:sz w:val="24"/>
          <w:szCs w:val="24"/>
        </w:rPr>
        <w:t>été mesuré</w:t>
      </w:r>
      <w:r w:rsidR="00616DB3">
        <w:rPr>
          <w:sz w:val="24"/>
          <w:szCs w:val="24"/>
        </w:rPr>
        <w:t xml:space="preserve"> sur plus de </w:t>
      </w:r>
      <w:r>
        <w:rPr>
          <w:sz w:val="24"/>
          <w:szCs w:val="24"/>
        </w:rPr>
        <w:t xml:space="preserve">11 000 tonnes </w:t>
      </w:r>
      <w:r w:rsidR="00616DB3">
        <w:rPr>
          <w:sz w:val="24"/>
          <w:szCs w:val="24"/>
        </w:rPr>
        <w:t>échantillonné provient essentiellement d</w:t>
      </w:r>
      <w:r>
        <w:rPr>
          <w:sz w:val="24"/>
          <w:szCs w:val="24"/>
        </w:rPr>
        <w:t>es bateaux plus de 82%. Le poids moyen des individus pêchés varie selon les mois, il est de 155g.</w:t>
      </w:r>
    </w:p>
    <w:p w:rsidR="00A8577F" w:rsidRPr="00A8577F" w:rsidRDefault="00A8577F" w:rsidP="00A8577F">
      <w:pPr>
        <w:spacing w:line="276" w:lineRule="auto"/>
        <w:jc w:val="both"/>
        <w:rPr>
          <w:rFonts w:ascii="Calibri" w:hAnsi="Calibri" w:cs="Segoe UI"/>
          <w:color w:val="5192C9"/>
          <w:sz w:val="24"/>
          <w:szCs w:val="32"/>
          <w:lang w:val="fr-WINDIES" w:eastAsia="en-GB"/>
        </w:rPr>
      </w:pPr>
      <w:r>
        <w:rPr>
          <w:rFonts w:ascii="Calibri" w:hAnsi="Calibri" w:cs="Segoe UI"/>
          <w:color w:val="5192C9"/>
          <w:sz w:val="24"/>
          <w:szCs w:val="32"/>
          <w:lang w:val="fr-WINDIES" w:eastAsia="en-GB"/>
        </w:rPr>
        <w:t xml:space="preserve">Tableau 1: Variation de poids de la sardinelle plate </w:t>
      </w:r>
    </w:p>
    <w:tbl>
      <w:tblPr>
        <w:tblW w:w="0" w:type="auto"/>
        <w:jc w:val="righ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39"/>
        <w:gridCol w:w="1217"/>
        <w:gridCol w:w="1217"/>
        <w:gridCol w:w="1240"/>
        <w:gridCol w:w="1228"/>
        <w:gridCol w:w="1309"/>
        <w:gridCol w:w="1270"/>
      </w:tblGrid>
      <w:tr w:rsidR="0084565B" w:rsidTr="00F662FB">
        <w:trPr>
          <w:jc w:val="right"/>
        </w:trPr>
        <w:tc>
          <w:tcPr>
            <w:tcW w:w="1316" w:type="dxa"/>
            <w:tcBorders>
              <w:bottom w:val="single" w:sz="12" w:space="0" w:color="9CC2E5"/>
            </w:tcBorders>
            <w:shd w:val="clear" w:color="auto" w:fill="auto"/>
          </w:tcPr>
          <w:p w:rsidR="0084565B" w:rsidRPr="00F662FB" w:rsidRDefault="0084565B" w:rsidP="00F662FB">
            <w:pPr>
              <w:spacing w:line="276" w:lineRule="auto"/>
              <w:jc w:val="both"/>
              <w:rPr>
                <w:b/>
                <w:bCs/>
                <w:sz w:val="24"/>
                <w:szCs w:val="24"/>
              </w:rPr>
            </w:pPr>
            <w:r w:rsidRPr="00F662FB">
              <w:rPr>
                <w:b/>
                <w:bCs/>
                <w:sz w:val="24"/>
                <w:szCs w:val="24"/>
              </w:rPr>
              <w:t>Mois</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mai</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juin</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juillet</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août</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septembre</w:t>
            </w:r>
          </w:p>
        </w:tc>
        <w:tc>
          <w:tcPr>
            <w:tcW w:w="1316" w:type="dxa"/>
            <w:tcBorders>
              <w:bottom w:val="single" w:sz="12" w:space="0" w:color="9CC2E5"/>
            </w:tcBorders>
            <w:shd w:val="clear" w:color="auto" w:fill="auto"/>
          </w:tcPr>
          <w:p w:rsidR="0084565B" w:rsidRPr="00F662FB" w:rsidRDefault="0084565B" w:rsidP="00F662FB">
            <w:pPr>
              <w:spacing w:line="276" w:lineRule="auto"/>
              <w:jc w:val="center"/>
              <w:rPr>
                <w:b/>
                <w:bCs/>
                <w:sz w:val="24"/>
                <w:szCs w:val="24"/>
              </w:rPr>
            </w:pPr>
            <w:r w:rsidRPr="00F662FB">
              <w:rPr>
                <w:b/>
                <w:bCs/>
                <w:sz w:val="24"/>
                <w:szCs w:val="24"/>
              </w:rPr>
              <w:t>octobre</w:t>
            </w:r>
          </w:p>
        </w:tc>
      </w:tr>
      <w:tr w:rsidR="0084565B" w:rsidTr="00F662FB">
        <w:trPr>
          <w:jc w:val="right"/>
        </w:trPr>
        <w:tc>
          <w:tcPr>
            <w:tcW w:w="1316" w:type="dxa"/>
            <w:shd w:val="clear" w:color="auto" w:fill="auto"/>
          </w:tcPr>
          <w:p w:rsidR="0084565B" w:rsidRPr="00F662FB" w:rsidRDefault="0084565B" w:rsidP="00F662FB">
            <w:pPr>
              <w:spacing w:line="276" w:lineRule="auto"/>
              <w:jc w:val="both"/>
              <w:rPr>
                <w:b/>
                <w:bCs/>
                <w:sz w:val="24"/>
                <w:szCs w:val="24"/>
              </w:rPr>
            </w:pPr>
            <w:r w:rsidRPr="00F662FB">
              <w:rPr>
                <w:b/>
                <w:bCs/>
                <w:sz w:val="24"/>
                <w:szCs w:val="24"/>
              </w:rPr>
              <w:t>Poids (g)</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130</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126</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217</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152</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149</w:t>
            </w:r>
          </w:p>
        </w:tc>
        <w:tc>
          <w:tcPr>
            <w:tcW w:w="1316" w:type="dxa"/>
            <w:shd w:val="clear" w:color="auto" w:fill="auto"/>
          </w:tcPr>
          <w:p w:rsidR="0084565B" w:rsidRPr="00F662FB" w:rsidRDefault="0084565B" w:rsidP="00F662FB">
            <w:pPr>
              <w:spacing w:line="276" w:lineRule="auto"/>
              <w:jc w:val="center"/>
              <w:rPr>
                <w:sz w:val="24"/>
                <w:szCs w:val="24"/>
              </w:rPr>
            </w:pPr>
            <w:r w:rsidRPr="00F662FB">
              <w:rPr>
                <w:sz w:val="24"/>
                <w:szCs w:val="24"/>
              </w:rPr>
              <w:t>144</w:t>
            </w:r>
          </w:p>
        </w:tc>
      </w:tr>
    </w:tbl>
    <w:p w:rsidR="0084565B" w:rsidRDefault="0084565B" w:rsidP="0084565B">
      <w:pPr>
        <w:spacing w:line="276" w:lineRule="auto"/>
        <w:jc w:val="both"/>
        <w:rPr>
          <w:sz w:val="24"/>
          <w:szCs w:val="24"/>
        </w:rPr>
      </w:pPr>
      <w:r>
        <w:rPr>
          <w:sz w:val="24"/>
          <w:szCs w:val="24"/>
        </w:rPr>
        <w:t>Les individus mesurés de cette espèce ont des tailles variant entre 13 et 37 cm avec un mode de 23 cm comme montre la figure ci-dessous.</w:t>
      </w:r>
    </w:p>
    <w:p w:rsidR="00616DB3" w:rsidRPr="00A8577F" w:rsidRDefault="00616DB3" w:rsidP="00616DB3">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4</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de la sardinelle plate </w:t>
      </w:r>
    </w:p>
    <w:p w:rsidR="0084565B" w:rsidRDefault="00032AE6" w:rsidP="00753CF6">
      <w:pPr>
        <w:spacing w:line="276" w:lineRule="auto"/>
        <w:jc w:val="center"/>
        <w:rPr>
          <w:sz w:val="24"/>
          <w:szCs w:val="24"/>
        </w:rPr>
      </w:pPr>
      <w:r w:rsidRPr="0084565B">
        <w:rPr>
          <w:noProof/>
          <w:sz w:val="24"/>
          <w:szCs w:val="24"/>
          <w:lang w:val="en-GB" w:eastAsia="en-GB"/>
        </w:rPr>
        <w:drawing>
          <wp:inline distT="0" distB="0" distL="0" distR="0">
            <wp:extent cx="4827905" cy="2395220"/>
            <wp:effectExtent l="0" t="0" r="10795" b="508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565B" w:rsidRPr="009C7607" w:rsidRDefault="0084565B" w:rsidP="009C7607">
      <w:pPr>
        <w:pStyle w:val="Heading1"/>
        <w:numPr>
          <w:ilvl w:val="1"/>
          <w:numId w:val="5"/>
        </w:numPr>
        <w:rPr>
          <w:caps w:val="0"/>
          <w:sz w:val="26"/>
          <w:szCs w:val="26"/>
          <w:lang w:val="fr-WINDIES"/>
        </w:rPr>
      </w:pPr>
      <w:r w:rsidRPr="009C7607">
        <w:rPr>
          <w:caps w:val="0"/>
          <w:sz w:val="26"/>
          <w:szCs w:val="26"/>
          <w:lang w:val="fr-WINDIES"/>
        </w:rPr>
        <w:t>Sardinelle ronde :</w:t>
      </w:r>
    </w:p>
    <w:p w:rsidR="0084565B" w:rsidRDefault="0084565B" w:rsidP="009C7607">
      <w:pPr>
        <w:spacing w:line="276" w:lineRule="auto"/>
        <w:jc w:val="both"/>
        <w:rPr>
          <w:sz w:val="24"/>
          <w:szCs w:val="24"/>
        </w:rPr>
      </w:pPr>
      <w:r>
        <w:rPr>
          <w:sz w:val="24"/>
          <w:szCs w:val="24"/>
        </w:rPr>
        <w:t>Les débarquements de cette espèce ont connu une rupture de quelques mois notamment durant les mois d’avril et mai</w:t>
      </w:r>
      <w:r w:rsidR="009C7607">
        <w:rPr>
          <w:sz w:val="24"/>
          <w:szCs w:val="24"/>
        </w:rPr>
        <w:t>. Ce</w:t>
      </w:r>
      <w:r>
        <w:rPr>
          <w:sz w:val="24"/>
          <w:szCs w:val="24"/>
        </w:rPr>
        <w:t xml:space="preserve"> n’est qu’en juin que cette espèce est réapparue dans les captures sachant que les mois de juillet et août représentent toujours la période de son abondance en Mauritanie. L’absence de cette espèce dans les captures durant les mois cités ci-dessus est due</w:t>
      </w:r>
      <w:r w:rsidR="009C7607">
        <w:rPr>
          <w:sz w:val="24"/>
          <w:szCs w:val="24"/>
        </w:rPr>
        <w:t xml:space="preserve"> </w:t>
      </w:r>
      <w:r>
        <w:rPr>
          <w:sz w:val="24"/>
          <w:szCs w:val="24"/>
        </w:rPr>
        <w:t xml:space="preserve">à la baisse de l’activité de pêche pélagique durant la période </w:t>
      </w:r>
      <w:r w:rsidR="009C7607">
        <w:rPr>
          <w:sz w:val="24"/>
          <w:szCs w:val="24"/>
        </w:rPr>
        <w:t>mais</w:t>
      </w:r>
      <w:r>
        <w:rPr>
          <w:sz w:val="24"/>
          <w:szCs w:val="24"/>
        </w:rPr>
        <w:t xml:space="preserve"> aussi la faible abondance observée depuis quelque temps.</w:t>
      </w:r>
    </w:p>
    <w:p w:rsidR="0084565B" w:rsidRDefault="0084565B" w:rsidP="00753CF6">
      <w:pPr>
        <w:spacing w:after="0" w:line="276" w:lineRule="auto"/>
        <w:jc w:val="both"/>
        <w:rPr>
          <w:sz w:val="24"/>
          <w:szCs w:val="24"/>
        </w:rPr>
      </w:pPr>
      <w:r>
        <w:rPr>
          <w:sz w:val="24"/>
          <w:szCs w:val="24"/>
        </w:rPr>
        <w:t xml:space="preserve">L’équipe de FIP a </w:t>
      </w:r>
      <w:r w:rsidR="009C7607">
        <w:rPr>
          <w:sz w:val="24"/>
          <w:szCs w:val="24"/>
        </w:rPr>
        <w:t>échantillonné p</w:t>
      </w:r>
      <w:r>
        <w:rPr>
          <w:sz w:val="24"/>
          <w:szCs w:val="24"/>
        </w:rPr>
        <w:t xml:space="preserve">lus de 3200 tonnes de cette espèce pêchée </w:t>
      </w:r>
      <w:r w:rsidR="009C7607">
        <w:rPr>
          <w:sz w:val="24"/>
          <w:szCs w:val="24"/>
        </w:rPr>
        <w:t>majoritairement par les bateaux. Plus de 1</w:t>
      </w:r>
      <w:r>
        <w:rPr>
          <w:sz w:val="24"/>
          <w:szCs w:val="24"/>
        </w:rPr>
        <w:t>900 individus</w:t>
      </w:r>
      <w:r w:rsidR="009C7607">
        <w:rPr>
          <w:sz w:val="24"/>
          <w:szCs w:val="24"/>
        </w:rPr>
        <w:t xml:space="preserve"> ont été mésuré</w:t>
      </w:r>
      <w:r>
        <w:rPr>
          <w:sz w:val="24"/>
          <w:szCs w:val="24"/>
        </w:rPr>
        <w:t xml:space="preserve">. Il est important de rappeler que la transformation de cette espèce en farine est interdite par le gouvernement mauritanien, elle est </w:t>
      </w:r>
      <w:r w:rsidR="009C7607">
        <w:rPr>
          <w:sz w:val="24"/>
          <w:szCs w:val="24"/>
        </w:rPr>
        <w:t xml:space="preserve">réservée </w:t>
      </w:r>
      <w:r>
        <w:rPr>
          <w:sz w:val="24"/>
          <w:szCs w:val="24"/>
        </w:rPr>
        <w:t xml:space="preserve">à la consommation </w:t>
      </w:r>
      <w:r w:rsidR="009C7607">
        <w:rPr>
          <w:sz w:val="24"/>
          <w:szCs w:val="24"/>
        </w:rPr>
        <w:t>humaine</w:t>
      </w:r>
      <w:r>
        <w:rPr>
          <w:sz w:val="24"/>
          <w:szCs w:val="24"/>
        </w:rPr>
        <w:t xml:space="preserve"> ou à l’exportation. Néanmoins, des quantités de cette espèce ont été observées au niveau des usines pour la transformation provenant essentiellement de déchets.</w:t>
      </w:r>
    </w:p>
    <w:p w:rsidR="0084565B" w:rsidRDefault="0084565B" w:rsidP="00753CF6">
      <w:pPr>
        <w:spacing w:after="0" w:line="276" w:lineRule="auto"/>
        <w:jc w:val="both"/>
        <w:rPr>
          <w:sz w:val="24"/>
          <w:szCs w:val="24"/>
        </w:rPr>
      </w:pPr>
      <w:r>
        <w:rPr>
          <w:sz w:val="24"/>
          <w:szCs w:val="24"/>
        </w:rPr>
        <w:lastRenderedPageBreak/>
        <w:t>Le poids moyen de cette espèce varie selon les mois entre 408 et 196 g, il est de 261 g. De même les tailles capturées ont varié entre 17 et 39 cm avec un mode de 28 cm comme dans la figure ci-dessous :</w:t>
      </w:r>
    </w:p>
    <w:p w:rsidR="009C7607" w:rsidRPr="00A8577F" w:rsidRDefault="009C7607" w:rsidP="009C7607">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5</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de la sardinelle ronde </w:t>
      </w:r>
    </w:p>
    <w:p w:rsidR="0084565B" w:rsidRPr="006D1734" w:rsidRDefault="00032AE6" w:rsidP="00753CF6">
      <w:pPr>
        <w:spacing w:line="276" w:lineRule="auto"/>
        <w:jc w:val="center"/>
        <w:rPr>
          <w:sz w:val="24"/>
          <w:szCs w:val="24"/>
        </w:rPr>
      </w:pPr>
      <w:r w:rsidRPr="0084565B">
        <w:rPr>
          <w:noProof/>
          <w:sz w:val="24"/>
          <w:szCs w:val="24"/>
          <w:lang w:val="en-GB" w:eastAsia="en-GB"/>
        </w:rPr>
        <w:drawing>
          <wp:inline distT="0" distB="0" distL="0" distR="0">
            <wp:extent cx="4730750" cy="2313940"/>
            <wp:effectExtent l="0" t="0" r="12700" b="10160"/>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565B" w:rsidRPr="009C7607" w:rsidRDefault="009C7607" w:rsidP="009C7607">
      <w:pPr>
        <w:pStyle w:val="Heading1"/>
        <w:numPr>
          <w:ilvl w:val="1"/>
          <w:numId w:val="5"/>
        </w:numPr>
        <w:rPr>
          <w:caps w:val="0"/>
          <w:sz w:val="26"/>
          <w:szCs w:val="26"/>
          <w:lang w:val="fr-WINDIES"/>
        </w:rPr>
      </w:pPr>
      <w:r>
        <w:rPr>
          <w:caps w:val="0"/>
          <w:sz w:val="26"/>
          <w:szCs w:val="26"/>
          <w:lang w:val="fr-WINDIES"/>
        </w:rPr>
        <w:t>M</w:t>
      </w:r>
      <w:r w:rsidR="0084565B" w:rsidRPr="009C7607">
        <w:rPr>
          <w:caps w:val="0"/>
          <w:sz w:val="26"/>
          <w:szCs w:val="26"/>
          <w:lang w:val="fr-WINDIES"/>
        </w:rPr>
        <w:t>aquereau :</w:t>
      </w:r>
    </w:p>
    <w:p w:rsidR="0084565B" w:rsidRDefault="0084565B" w:rsidP="00753CF6">
      <w:pPr>
        <w:spacing w:line="276" w:lineRule="auto"/>
        <w:jc w:val="both"/>
        <w:rPr>
          <w:sz w:val="24"/>
          <w:szCs w:val="24"/>
        </w:rPr>
      </w:pPr>
      <w:r>
        <w:rPr>
          <w:sz w:val="24"/>
          <w:szCs w:val="24"/>
        </w:rPr>
        <w:t xml:space="preserve">Les captures de cette espèce proviennent </w:t>
      </w:r>
      <w:r w:rsidR="009C7607">
        <w:rPr>
          <w:sz w:val="24"/>
          <w:szCs w:val="24"/>
        </w:rPr>
        <w:t>essentiellement</w:t>
      </w:r>
      <w:r>
        <w:rPr>
          <w:sz w:val="24"/>
          <w:szCs w:val="24"/>
        </w:rPr>
        <w:t xml:space="preserve"> des bateaux côtiers, le maquereau n’est pas ciblé p</w:t>
      </w:r>
      <w:r w:rsidR="00753CF6">
        <w:rPr>
          <w:sz w:val="24"/>
          <w:szCs w:val="24"/>
        </w:rPr>
        <w:t>ar les pirogues. L</w:t>
      </w:r>
      <w:r>
        <w:rPr>
          <w:sz w:val="24"/>
          <w:szCs w:val="24"/>
        </w:rPr>
        <w:t xml:space="preserve">a transformation </w:t>
      </w:r>
      <w:r w:rsidR="00753CF6">
        <w:rPr>
          <w:sz w:val="24"/>
          <w:szCs w:val="24"/>
        </w:rPr>
        <w:t xml:space="preserve">de cette espèce </w:t>
      </w:r>
      <w:r>
        <w:rPr>
          <w:sz w:val="24"/>
          <w:szCs w:val="24"/>
        </w:rPr>
        <w:t>est interdite en Mauritanie. Les débarquements de cette espèce, même si faibles sont continus durant la période avec des pics en octobre de</w:t>
      </w:r>
      <w:r w:rsidR="009C7607">
        <w:rPr>
          <w:sz w:val="24"/>
          <w:szCs w:val="24"/>
        </w:rPr>
        <w:t xml:space="preserve"> plus de</w:t>
      </w:r>
      <w:r>
        <w:rPr>
          <w:sz w:val="24"/>
          <w:szCs w:val="24"/>
        </w:rPr>
        <w:t xml:space="preserve"> 5300 tonnes. Un nombre de 2927 individus a été mesuré avec un échantillon de 1255 tonnes soit 20% de la capture. Les individus capturés ont un poids moyen de 428 g avec des tailles variant entre 21 et 47 cm avec une structure bimodale : un à 28 cm et le second est de 35 cm comme montre la figure ci-dessous :   </w:t>
      </w:r>
    </w:p>
    <w:p w:rsidR="00753CF6" w:rsidRPr="00A8577F" w:rsidRDefault="00753CF6" w:rsidP="00753CF6">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6</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de maquereaux </w:t>
      </w:r>
    </w:p>
    <w:p w:rsidR="0084565B" w:rsidRDefault="00032AE6" w:rsidP="0084565B">
      <w:pPr>
        <w:spacing w:line="276" w:lineRule="auto"/>
        <w:jc w:val="both"/>
        <w:rPr>
          <w:sz w:val="24"/>
          <w:szCs w:val="24"/>
        </w:rPr>
      </w:pPr>
      <w:r w:rsidRPr="0084565B">
        <w:rPr>
          <w:noProof/>
          <w:sz w:val="24"/>
          <w:szCs w:val="24"/>
          <w:lang w:val="en-GB" w:eastAsia="en-GB"/>
        </w:rPr>
        <w:drawing>
          <wp:inline distT="0" distB="0" distL="0" distR="0">
            <wp:extent cx="4845685" cy="2633345"/>
            <wp:effectExtent l="0" t="0" r="12065" b="14605"/>
            <wp:docPr id="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565B" w:rsidRPr="00753CF6" w:rsidRDefault="00753CF6" w:rsidP="00753CF6">
      <w:pPr>
        <w:pStyle w:val="Heading1"/>
        <w:numPr>
          <w:ilvl w:val="1"/>
          <w:numId w:val="5"/>
        </w:numPr>
        <w:rPr>
          <w:caps w:val="0"/>
          <w:sz w:val="26"/>
          <w:szCs w:val="26"/>
          <w:lang w:val="fr-WINDIES"/>
        </w:rPr>
      </w:pPr>
      <w:r>
        <w:rPr>
          <w:caps w:val="0"/>
          <w:sz w:val="26"/>
          <w:szCs w:val="26"/>
          <w:lang w:val="fr-WINDIES"/>
        </w:rPr>
        <w:lastRenderedPageBreak/>
        <w:t>E</w:t>
      </w:r>
      <w:r w:rsidR="0084565B" w:rsidRPr="00753CF6">
        <w:rPr>
          <w:caps w:val="0"/>
          <w:sz w:val="26"/>
          <w:szCs w:val="26"/>
          <w:lang w:val="fr-WINDIES"/>
        </w:rPr>
        <w:t>thmalose :</w:t>
      </w:r>
    </w:p>
    <w:p w:rsidR="0084565B" w:rsidRDefault="0084565B" w:rsidP="0084565B">
      <w:pPr>
        <w:spacing w:line="276" w:lineRule="auto"/>
        <w:jc w:val="both"/>
        <w:rPr>
          <w:sz w:val="24"/>
          <w:szCs w:val="24"/>
        </w:rPr>
      </w:pPr>
      <w:r>
        <w:rPr>
          <w:sz w:val="24"/>
          <w:szCs w:val="24"/>
        </w:rPr>
        <w:t>Cette espèce est presque absente dans les captures durant cette période. Un seul débarquement de 15 tonnes est observé provenant d’une pirogue</w:t>
      </w:r>
      <w:r w:rsidR="00753CF6">
        <w:rPr>
          <w:sz w:val="24"/>
          <w:szCs w:val="24"/>
        </w:rPr>
        <w:t xml:space="preserve"> au début du</w:t>
      </w:r>
      <w:r>
        <w:rPr>
          <w:sz w:val="24"/>
          <w:szCs w:val="24"/>
        </w:rPr>
        <w:t xml:space="preserve"> mois d’octobre. Les résultats de cet échantillon montrent une structure de tailles </w:t>
      </w:r>
      <w:r w:rsidR="00753CF6">
        <w:rPr>
          <w:sz w:val="24"/>
          <w:szCs w:val="24"/>
        </w:rPr>
        <w:t>bimodale avec</w:t>
      </w:r>
      <w:r>
        <w:rPr>
          <w:sz w:val="24"/>
          <w:szCs w:val="24"/>
        </w:rPr>
        <w:t xml:space="preserve"> des individus de taill</w:t>
      </w:r>
      <w:r w:rsidR="00753CF6">
        <w:rPr>
          <w:sz w:val="24"/>
          <w:szCs w:val="24"/>
        </w:rPr>
        <w:t xml:space="preserve">e variant entre 24 et 35 cm avec </w:t>
      </w:r>
      <w:r>
        <w:rPr>
          <w:sz w:val="24"/>
          <w:szCs w:val="24"/>
        </w:rPr>
        <w:t xml:space="preserve">deux modes de 24 et 29 cm. </w:t>
      </w:r>
    </w:p>
    <w:p w:rsidR="00753CF6" w:rsidRPr="00A8577F" w:rsidRDefault="00753CF6" w:rsidP="00753CF6">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7</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de l’ethmalose </w:t>
      </w:r>
    </w:p>
    <w:p w:rsidR="0084565B" w:rsidRDefault="00032AE6" w:rsidP="0084565B">
      <w:pPr>
        <w:spacing w:line="276" w:lineRule="auto"/>
        <w:jc w:val="both"/>
        <w:rPr>
          <w:sz w:val="24"/>
          <w:szCs w:val="24"/>
        </w:rPr>
      </w:pPr>
      <w:r w:rsidRPr="0084565B">
        <w:rPr>
          <w:noProof/>
          <w:sz w:val="24"/>
          <w:szCs w:val="24"/>
          <w:lang w:val="en-GB" w:eastAsia="en-GB"/>
        </w:rPr>
        <w:drawing>
          <wp:inline distT="0" distB="0" distL="0" distR="0">
            <wp:extent cx="5045710" cy="2759710"/>
            <wp:effectExtent l="0" t="0" r="2540" b="2540"/>
            <wp:docPr id="7"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565B" w:rsidRDefault="0084565B" w:rsidP="0084565B">
      <w:pPr>
        <w:spacing w:line="276" w:lineRule="auto"/>
        <w:jc w:val="both"/>
      </w:pPr>
    </w:p>
    <w:p w:rsidR="0084565B" w:rsidRPr="00FF5365" w:rsidRDefault="00FF5365" w:rsidP="00FF5365">
      <w:pPr>
        <w:pStyle w:val="Heading1"/>
        <w:numPr>
          <w:ilvl w:val="1"/>
          <w:numId w:val="5"/>
        </w:numPr>
        <w:rPr>
          <w:caps w:val="0"/>
          <w:sz w:val="26"/>
          <w:szCs w:val="26"/>
          <w:lang w:val="fr-WINDIES"/>
        </w:rPr>
      </w:pPr>
      <w:r>
        <w:rPr>
          <w:caps w:val="0"/>
          <w:sz w:val="26"/>
          <w:szCs w:val="26"/>
          <w:lang w:val="fr-WINDIES"/>
        </w:rPr>
        <w:t>C</w:t>
      </w:r>
      <w:r w:rsidR="0084565B" w:rsidRPr="00FF5365">
        <w:rPr>
          <w:caps w:val="0"/>
          <w:sz w:val="26"/>
          <w:szCs w:val="26"/>
          <w:lang w:val="fr-WINDIES"/>
        </w:rPr>
        <w:t>hin</w:t>
      </w:r>
      <w:r>
        <w:rPr>
          <w:caps w:val="0"/>
          <w:sz w:val="26"/>
          <w:szCs w:val="26"/>
          <w:lang w:val="fr-WINDIES"/>
        </w:rPr>
        <w:t>chards </w:t>
      </w:r>
    </w:p>
    <w:p w:rsidR="0084565B" w:rsidRDefault="0084565B" w:rsidP="00FF5365">
      <w:pPr>
        <w:spacing w:line="276" w:lineRule="auto"/>
        <w:jc w:val="both"/>
        <w:rPr>
          <w:sz w:val="24"/>
          <w:szCs w:val="24"/>
        </w:rPr>
      </w:pPr>
      <w:r>
        <w:rPr>
          <w:sz w:val="24"/>
          <w:szCs w:val="24"/>
        </w:rPr>
        <w:t>Les trois espèces de chinchards sont rencontrées dans les déb</w:t>
      </w:r>
      <w:r w:rsidR="00FF5365">
        <w:rPr>
          <w:sz w:val="24"/>
          <w:szCs w:val="24"/>
        </w:rPr>
        <w:t>arquements avec une dominance du</w:t>
      </w:r>
      <w:r>
        <w:rPr>
          <w:sz w:val="24"/>
          <w:szCs w:val="24"/>
        </w:rPr>
        <w:t xml:space="preserve"> chinchard noir en enregistrant</w:t>
      </w:r>
      <w:r w:rsidR="00FF5365">
        <w:rPr>
          <w:sz w:val="24"/>
          <w:szCs w:val="24"/>
        </w:rPr>
        <w:t xml:space="preserve"> une capture de 1650 tonnes. L</w:t>
      </w:r>
      <w:r>
        <w:rPr>
          <w:sz w:val="24"/>
          <w:szCs w:val="24"/>
        </w:rPr>
        <w:t xml:space="preserve">es autres espèces chinchards blanc et jaune sont moins abondantes notamment le chinchard blanc. Toutes les captures de ces espèces sont pêchées par les bateaux côtiers. Les fréquences de tailles mesurées pour les deux chinchards jaune et noir sont montrées sur les figures ci-dessous par espèce. Pour le chinchard blanc il été peu présent et les échantillons réalisés ne sont pas significatifs. </w:t>
      </w:r>
    </w:p>
    <w:p w:rsidR="0084565B" w:rsidRDefault="0084565B" w:rsidP="0084565B">
      <w:pPr>
        <w:spacing w:line="276" w:lineRule="auto"/>
        <w:jc w:val="both"/>
        <w:rPr>
          <w:sz w:val="24"/>
          <w:szCs w:val="24"/>
        </w:rPr>
      </w:pPr>
      <w:r>
        <w:rPr>
          <w:sz w:val="24"/>
          <w:szCs w:val="24"/>
        </w:rPr>
        <w:t>Les individus mesurés de chinchard noir ont une taille variant entre 18 et 43 cm avec un mode de 28cm. Quant au chinchard jaune le mode est aussi de 28cm.</w:t>
      </w:r>
    </w:p>
    <w:p w:rsidR="0084565B" w:rsidRDefault="0084565B" w:rsidP="0084565B">
      <w:pPr>
        <w:spacing w:line="276" w:lineRule="auto"/>
        <w:jc w:val="both"/>
        <w:rPr>
          <w:sz w:val="24"/>
          <w:szCs w:val="24"/>
        </w:rPr>
      </w:pPr>
    </w:p>
    <w:p w:rsidR="00FF5365" w:rsidRDefault="00FF5365" w:rsidP="0084565B">
      <w:pPr>
        <w:spacing w:line="276" w:lineRule="auto"/>
        <w:jc w:val="both"/>
        <w:rPr>
          <w:sz w:val="24"/>
          <w:szCs w:val="24"/>
        </w:rPr>
      </w:pPr>
    </w:p>
    <w:p w:rsidR="00FF5365" w:rsidRDefault="00FF5365" w:rsidP="0084565B">
      <w:pPr>
        <w:spacing w:line="276" w:lineRule="auto"/>
        <w:jc w:val="both"/>
        <w:rPr>
          <w:sz w:val="24"/>
          <w:szCs w:val="24"/>
        </w:rPr>
      </w:pPr>
    </w:p>
    <w:p w:rsidR="00FF5365" w:rsidRDefault="00FF5365" w:rsidP="0084565B">
      <w:pPr>
        <w:spacing w:line="276" w:lineRule="auto"/>
        <w:jc w:val="both"/>
        <w:rPr>
          <w:sz w:val="24"/>
          <w:szCs w:val="24"/>
        </w:rPr>
      </w:pPr>
    </w:p>
    <w:p w:rsidR="00FF5365" w:rsidRDefault="00FF5365" w:rsidP="0084565B">
      <w:pPr>
        <w:spacing w:line="276" w:lineRule="auto"/>
        <w:jc w:val="both"/>
        <w:rPr>
          <w:sz w:val="24"/>
          <w:szCs w:val="24"/>
        </w:rPr>
      </w:pPr>
    </w:p>
    <w:p w:rsidR="00FF5365" w:rsidRDefault="00FF5365" w:rsidP="0084565B">
      <w:pPr>
        <w:spacing w:line="276" w:lineRule="auto"/>
        <w:jc w:val="both"/>
        <w:rPr>
          <w:sz w:val="24"/>
          <w:szCs w:val="24"/>
        </w:rPr>
      </w:pPr>
    </w:p>
    <w:p w:rsidR="00FF5365" w:rsidRPr="00A8577F" w:rsidRDefault="00FF5365" w:rsidP="00FF5365">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lastRenderedPageBreak/>
        <w:t>Figure </w:t>
      </w:r>
      <w:r>
        <w:rPr>
          <w:rFonts w:ascii="Calibri" w:hAnsi="Calibri" w:cs="Segoe UI"/>
          <w:color w:val="5192C9"/>
          <w:sz w:val="24"/>
          <w:szCs w:val="32"/>
          <w:lang w:val="fr-WINDIES" w:eastAsia="en-GB"/>
        </w:rPr>
        <w:t>8</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Fréquence des tailles du chinchards jaune</w:t>
      </w:r>
      <w:r w:rsidR="00CC350B">
        <w:rPr>
          <w:rFonts w:ascii="Calibri" w:hAnsi="Calibri" w:cs="Segoe UI"/>
          <w:color w:val="5192C9"/>
          <w:sz w:val="24"/>
          <w:szCs w:val="32"/>
          <w:lang w:val="fr-WINDIES" w:eastAsia="en-GB"/>
        </w:rPr>
        <w:t xml:space="preserve"> </w:t>
      </w:r>
    </w:p>
    <w:p w:rsidR="0084565B" w:rsidRDefault="00032AE6" w:rsidP="0084565B">
      <w:pPr>
        <w:spacing w:line="276" w:lineRule="auto"/>
        <w:jc w:val="both"/>
        <w:rPr>
          <w:sz w:val="24"/>
          <w:szCs w:val="24"/>
        </w:rPr>
      </w:pPr>
      <w:r w:rsidRPr="0084565B">
        <w:rPr>
          <w:noProof/>
          <w:sz w:val="24"/>
          <w:szCs w:val="24"/>
          <w:lang w:val="en-GB" w:eastAsia="en-GB"/>
        </w:rPr>
        <w:drawing>
          <wp:inline distT="0" distB="0" distL="0" distR="0">
            <wp:extent cx="4683760" cy="2512060"/>
            <wp:effectExtent l="0" t="0" r="2540" b="2540"/>
            <wp:docPr id="2"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565B" w:rsidRDefault="0084565B" w:rsidP="0084565B">
      <w:pPr>
        <w:spacing w:line="276" w:lineRule="auto"/>
        <w:jc w:val="both"/>
        <w:rPr>
          <w:sz w:val="24"/>
          <w:szCs w:val="24"/>
        </w:rPr>
      </w:pPr>
    </w:p>
    <w:p w:rsidR="00CC350B" w:rsidRPr="00A8577F" w:rsidRDefault="00CC350B" w:rsidP="00CC350B">
      <w:pPr>
        <w:spacing w:after="0" w:line="276" w:lineRule="auto"/>
        <w:jc w:val="both"/>
        <w:rPr>
          <w:rFonts w:ascii="Calibri" w:hAnsi="Calibri" w:cs="Segoe UI"/>
          <w:color w:val="5192C9"/>
          <w:sz w:val="24"/>
          <w:szCs w:val="32"/>
          <w:lang w:val="fr-WINDIES" w:eastAsia="en-GB"/>
        </w:rPr>
      </w:pPr>
      <w:r w:rsidRPr="00A8577F">
        <w:rPr>
          <w:rFonts w:ascii="Calibri" w:hAnsi="Calibri" w:cs="Segoe UI"/>
          <w:color w:val="5192C9"/>
          <w:sz w:val="24"/>
          <w:szCs w:val="32"/>
          <w:lang w:val="fr-WINDIES" w:eastAsia="en-GB"/>
        </w:rPr>
        <w:t>Figure </w:t>
      </w:r>
      <w:r>
        <w:rPr>
          <w:rFonts w:ascii="Calibri" w:hAnsi="Calibri" w:cs="Segoe UI"/>
          <w:color w:val="5192C9"/>
          <w:sz w:val="24"/>
          <w:szCs w:val="32"/>
          <w:lang w:val="fr-WINDIES" w:eastAsia="en-GB"/>
        </w:rPr>
        <w:t>9</w:t>
      </w:r>
      <w:r w:rsidRPr="00A8577F">
        <w:rPr>
          <w:rFonts w:ascii="Calibri" w:hAnsi="Calibri" w:cs="Segoe UI"/>
          <w:color w:val="5192C9"/>
          <w:sz w:val="24"/>
          <w:szCs w:val="32"/>
          <w:lang w:val="fr-WINDIES" w:eastAsia="en-GB"/>
        </w:rPr>
        <w:t xml:space="preserve">: </w:t>
      </w:r>
      <w:r>
        <w:rPr>
          <w:rFonts w:ascii="Calibri" w:hAnsi="Calibri" w:cs="Segoe UI"/>
          <w:color w:val="5192C9"/>
          <w:sz w:val="24"/>
          <w:szCs w:val="32"/>
          <w:lang w:val="fr-WINDIES" w:eastAsia="en-GB"/>
        </w:rPr>
        <w:t xml:space="preserve">Fréquence des tailles du chinchards noir </w:t>
      </w:r>
    </w:p>
    <w:p w:rsidR="0084565B" w:rsidRDefault="00032AE6" w:rsidP="0084565B">
      <w:pPr>
        <w:spacing w:line="276" w:lineRule="auto"/>
        <w:jc w:val="both"/>
        <w:rPr>
          <w:sz w:val="24"/>
          <w:szCs w:val="24"/>
        </w:rPr>
      </w:pPr>
      <w:r w:rsidRPr="0084565B">
        <w:rPr>
          <w:noProof/>
          <w:sz w:val="24"/>
          <w:szCs w:val="24"/>
          <w:lang w:val="en-GB" w:eastAsia="en-GB"/>
        </w:rPr>
        <w:drawing>
          <wp:inline distT="0" distB="0" distL="0" distR="0">
            <wp:extent cx="4855845" cy="2638425"/>
            <wp:effectExtent l="0" t="0" r="1905" b="9525"/>
            <wp:docPr id="1"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565B" w:rsidRDefault="0084565B" w:rsidP="0084565B">
      <w:pPr>
        <w:spacing w:line="276" w:lineRule="auto"/>
        <w:jc w:val="both"/>
        <w:rPr>
          <w:sz w:val="24"/>
          <w:szCs w:val="24"/>
        </w:rPr>
      </w:pPr>
    </w:p>
    <w:p w:rsidR="0084565B" w:rsidRDefault="0084565B" w:rsidP="0084565B">
      <w:pPr>
        <w:spacing w:line="276" w:lineRule="auto"/>
        <w:jc w:val="both"/>
        <w:rPr>
          <w:sz w:val="24"/>
          <w:szCs w:val="24"/>
        </w:rPr>
      </w:pPr>
    </w:p>
    <w:p w:rsidR="0084565B" w:rsidRDefault="0084565B" w:rsidP="0084565B">
      <w:pPr>
        <w:spacing w:line="360" w:lineRule="auto"/>
        <w:jc w:val="center"/>
        <w:rPr>
          <w:sz w:val="24"/>
          <w:szCs w:val="24"/>
        </w:rPr>
      </w:pPr>
    </w:p>
    <w:p w:rsidR="0084565B" w:rsidRDefault="0084565B" w:rsidP="0084565B">
      <w:pPr>
        <w:spacing w:line="360" w:lineRule="auto"/>
        <w:jc w:val="center"/>
        <w:rPr>
          <w:sz w:val="24"/>
          <w:szCs w:val="24"/>
        </w:rPr>
      </w:pPr>
    </w:p>
    <w:p w:rsidR="0084565B" w:rsidRDefault="0084565B" w:rsidP="0084565B">
      <w:pPr>
        <w:spacing w:line="360" w:lineRule="auto"/>
        <w:jc w:val="center"/>
        <w:rPr>
          <w:sz w:val="24"/>
          <w:szCs w:val="24"/>
        </w:rPr>
      </w:pPr>
    </w:p>
    <w:p w:rsidR="0084565B" w:rsidRDefault="0084565B" w:rsidP="0084565B">
      <w:pPr>
        <w:spacing w:line="360" w:lineRule="auto"/>
        <w:rPr>
          <w:sz w:val="24"/>
          <w:szCs w:val="24"/>
        </w:rPr>
      </w:pPr>
    </w:p>
    <w:p w:rsidR="00CC350B" w:rsidRDefault="00CC350B" w:rsidP="0084565B">
      <w:pPr>
        <w:spacing w:line="360" w:lineRule="auto"/>
        <w:rPr>
          <w:sz w:val="24"/>
          <w:szCs w:val="24"/>
        </w:rPr>
      </w:pPr>
    </w:p>
    <w:p w:rsidR="00CC350B" w:rsidRDefault="00CC350B" w:rsidP="0084565B">
      <w:pPr>
        <w:spacing w:line="360" w:lineRule="auto"/>
        <w:rPr>
          <w:sz w:val="24"/>
          <w:szCs w:val="24"/>
        </w:rPr>
      </w:pPr>
    </w:p>
    <w:p w:rsidR="0084565B" w:rsidRPr="00CC350B" w:rsidRDefault="00CC350B" w:rsidP="00CC350B">
      <w:pPr>
        <w:pStyle w:val="Heading1"/>
        <w:numPr>
          <w:ilvl w:val="0"/>
          <w:numId w:val="5"/>
        </w:numPr>
        <w:rPr>
          <w:caps w:val="0"/>
          <w:sz w:val="26"/>
          <w:szCs w:val="26"/>
          <w:lang w:val="fr-WINDIES"/>
        </w:rPr>
      </w:pPr>
      <w:r>
        <w:rPr>
          <w:caps w:val="0"/>
          <w:sz w:val="26"/>
          <w:szCs w:val="26"/>
          <w:lang w:val="fr-WINDIES"/>
        </w:rPr>
        <w:lastRenderedPageBreak/>
        <w:t>S</w:t>
      </w:r>
      <w:r w:rsidR="0084565B" w:rsidRPr="00CC350B">
        <w:rPr>
          <w:caps w:val="0"/>
          <w:sz w:val="26"/>
          <w:szCs w:val="26"/>
          <w:lang w:val="fr-WINDIES"/>
        </w:rPr>
        <w:t>uivi des usines</w:t>
      </w:r>
      <w:r>
        <w:rPr>
          <w:caps w:val="0"/>
          <w:sz w:val="26"/>
          <w:szCs w:val="26"/>
          <w:lang w:val="fr-WINDIES"/>
        </w:rPr>
        <w:t xml:space="preserve"> de farine et huile de poisson </w:t>
      </w:r>
    </w:p>
    <w:p w:rsidR="0084565B" w:rsidRDefault="0084565B" w:rsidP="00CC350B">
      <w:pPr>
        <w:spacing w:line="276" w:lineRule="auto"/>
        <w:jc w:val="both"/>
        <w:rPr>
          <w:sz w:val="24"/>
          <w:szCs w:val="24"/>
        </w:rPr>
      </w:pPr>
      <w:r w:rsidRPr="00F50F32">
        <w:rPr>
          <w:sz w:val="24"/>
          <w:szCs w:val="24"/>
        </w:rPr>
        <w:t>Aujourd’hui, Nouadhibou regroupe 32 usines actives de farine et huile de poissons qui ont une capacité de traitement journalière dé</w:t>
      </w:r>
      <w:r>
        <w:rPr>
          <w:sz w:val="24"/>
          <w:szCs w:val="24"/>
        </w:rPr>
        <w:t>passe</w:t>
      </w:r>
      <w:r w:rsidRPr="00F50F32">
        <w:rPr>
          <w:sz w:val="24"/>
          <w:szCs w:val="24"/>
        </w:rPr>
        <w:t xml:space="preserve"> 17 000 tonnes. Avec cette capacité de traitement installée, quelques soit la quantité de petits pélagiques pêchée elle sera absorbée. La prolifération de ces usines, dont la majorité appartient à des étrangers sous le couvert de prête-noms, favorise-elle l’expansion de l’effort de pê</w:t>
      </w:r>
      <w:r w:rsidR="00CC350B">
        <w:rPr>
          <w:sz w:val="24"/>
          <w:szCs w:val="24"/>
        </w:rPr>
        <w:t>che et donc la surexploitation.</w:t>
      </w:r>
      <w:r w:rsidRPr="00F50F32">
        <w:rPr>
          <w:sz w:val="24"/>
          <w:szCs w:val="24"/>
        </w:rPr>
        <w:t xml:space="preserve"> Chaque année, depuis 2018 plus de 350 000 tonnes de sardine sont écrasées exclusivement en farine. La sardine représente également une excellente source alimentaire est-il judicieux de la réserver uniquement pour cet usage très basique ? </w:t>
      </w:r>
    </w:p>
    <w:p w:rsidR="0084565B" w:rsidRDefault="0084565B" w:rsidP="008F43DD">
      <w:pPr>
        <w:spacing w:after="0" w:line="276" w:lineRule="auto"/>
        <w:jc w:val="both"/>
        <w:rPr>
          <w:sz w:val="24"/>
          <w:szCs w:val="24"/>
        </w:rPr>
      </w:pPr>
      <w:r>
        <w:rPr>
          <w:sz w:val="24"/>
          <w:szCs w:val="24"/>
        </w:rPr>
        <w:t>Dans ce contexte, le FIP considère que le suivi des usines de farine est une acti</w:t>
      </w:r>
      <w:r w:rsidR="00CC350B">
        <w:rPr>
          <w:sz w:val="24"/>
          <w:szCs w:val="24"/>
        </w:rPr>
        <w:t xml:space="preserve">vité prioritaire pour </w:t>
      </w:r>
      <w:r>
        <w:rPr>
          <w:sz w:val="24"/>
          <w:szCs w:val="24"/>
        </w:rPr>
        <w:t xml:space="preserve">quantifier les espèces principalement transformées en farine et huile de poisson. Les données collectées par </w:t>
      </w:r>
      <w:r w:rsidR="00CC350B">
        <w:rPr>
          <w:sz w:val="24"/>
          <w:szCs w:val="24"/>
        </w:rPr>
        <w:t>l’</w:t>
      </w:r>
      <w:r>
        <w:rPr>
          <w:sz w:val="24"/>
          <w:szCs w:val="24"/>
        </w:rPr>
        <w:t xml:space="preserve">équipe </w:t>
      </w:r>
      <w:r w:rsidR="00CC350B">
        <w:rPr>
          <w:sz w:val="24"/>
          <w:szCs w:val="24"/>
        </w:rPr>
        <w:t xml:space="preserve">du mini-projet </w:t>
      </w:r>
      <w:r>
        <w:rPr>
          <w:sz w:val="24"/>
          <w:szCs w:val="24"/>
        </w:rPr>
        <w:t xml:space="preserve">montrent que cette composante </w:t>
      </w:r>
      <w:r w:rsidRPr="005A3F1D">
        <w:rPr>
          <w:sz w:val="24"/>
          <w:szCs w:val="24"/>
        </w:rPr>
        <w:t xml:space="preserve">reste </w:t>
      </w:r>
      <w:r>
        <w:rPr>
          <w:sz w:val="24"/>
          <w:szCs w:val="24"/>
        </w:rPr>
        <w:t xml:space="preserve">en deçà de nos attentes, visant l’atteinte des résultats quantifiables permettant que notre FIP soit acceptable.  Il faut donc multiplier les efforts et renforcer les échanges avec les usiniers. En effet, on constate une réticence chez certains opérateurs qui ne veulent pas déclarer leurs captures pour </w:t>
      </w:r>
      <w:r w:rsidR="00CC350B">
        <w:rPr>
          <w:sz w:val="24"/>
          <w:szCs w:val="24"/>
        </w:rPr>
        <w:t>des raisons professionnels</w:t>
      </w:r>
      <w:r>
        <w:rPr>
          <w:sz w:val="24"/>
          <w:szCs w:val="24"/>
        </w:rPr>
        <w:t xml:space="preserve">. En revanche, d’autres usiniers se coopèrent bien avec </w:t>
      </w:r>
      <w:r w:rsidR="008F43DD">
        <w:rPr>
          <w:sz w:val="24"/>
          <w:szCs w:val="24"/>
        </w:rPr>
        <w:t xml:space="preserve">le mini-projet </w:t>
      </w:r>
      <w:r>
        <w:rPr>
          <w:sz w:val="24"/>
          <w:szCs w:val="24"/>
        </w:rPr>
        <w:t xml:space="preserve">et ils sont conscients de l’importance de cette activité. </w:t>
      </w:r>
    </w:p>
    <w:p w:rsidR="0084565B" w:rsidRDefault="0084565B" w:rsidP="008F43DD">
      <w:pPr>
        <w:spacing w:after="0" w:line="276" w:lineRule="auto"/>
        <w:jc w:val="both"/>
        <w:rPr>
          <w:sz w:val="24"/>
          <w:szCs w:val="24"/>
        </w:rPr>
      </w:pPr>
      <w:r>
        <w:rPr>
          <w:sz w:val="24"/>
          <w:szCs w:val="24"/>
        </w:rPr>
        <w:t>Cependant en 2021, douze usines ont fourni des données sur leurs productions mensuelles d’une façon discontinue voir annexe 3.</w:t>
      </w:r>
    </w:p>
    <w:p w:rsidR="008F43DD" w:rsidRDefault="0084565B" w:rsidP="008F43DD">
      <w:pPr>
        <w:spacing w:line="276" w:lineRule="auto"/>
        <w:jc w:val="both"/>
        <w:rPr>
          <w:sz w:val="24"/>
          <w:szCs w:val="24"/>
        </w:rPr>
      </w:pPr>
      <w:r>
        <w:rPr>
          <w:sz w:val="24"/>
          <w:szCs w:val="24"/>
        </w:rPr>
        <w:t xml:space="preserve">Il en résulte qu’au total une quantité de 108 800 tonnes de poissons a été transformée par ces usines principalement dominée par la sardine, les déchets et les deux sardinelles. Il est important de signaler l’absence de chinchard et maquereau dans les quantités </w:t>
      </w:r>
      <w:r w:rsidR="008F43DD">
        <w:rPr>
          <w:sz w:val="24"/>
          <w:szCs w:val="24"/>
        </w:rPr>
        <w:t>déclarées transformée</w:t>
      </w:r>
      <w:r>
        <w:rPr>
          <w:sz w:val="24"/>
          <w:szCs w:val="24"/>
        </w:rPr>
        <w:t xml:space="preserve"> en farine ce qui n’est pas le cas pour sardinelle ronde. </w:t>
      </w:r>
    </w:p>
    <w:p w:rsidR="008F43DD" w:rsidRPr="00A8577F" w:rsidRDefault="008F43DD" w:rsidP="008F43DD">
      <w:pPr>
        <w:spacing w:after="0" w:line="276" w:lineRule="auto"/>
        <w:jc w:val="both"/>
        <w:rPr>
          <w:rFonts w:ascii="Calibri" w:hAnsi="Calibri" w:cs="Segoe UI"/>
          <w:color w:val="5192C9"/>
          <w:sz w:val="24"/>
          <w:szCs w:val="32"/>
          <w:lang w:val="fr-WINDIES" w:eastAsia="en-GB"/>
        </w:rPr>
      </w:pPr>
      <w:r>
        <w:rPr>
          <w:rFonts w:ascii="Calibri" w:hAnsi="Calibri" w:cs="Segoe UI"/>
          <w:color w:val="5192C9"/>
          <w:sz w:val="24"/>
          <w:szCs w:val="32"/>
          <w:lang w:val="fr-WINDIES" w:eastAsia="en-GB"/>
        </w:rPr>
        <w:t xml:space="preserve">Tableau 1: Variation de poids de la sardinelle ronde </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58"/>
        <w:gridCol w:w="1032"/>
        <w:gridCol w:w="957"/>
        <w:gridCol w:w="773"/>
        <w:gridCol w:w="1018"/>
        <w:gridCol w:w="930"/>
        <w:gridCol w:w="1060"/>
        <w:gridCol w:w="992"/>
      </w:tblGrid>
      <w:tr w:rsidR="008F43DD" w:rsidTr="00F662FB">
        <w:tc>
          <w:tcPr>
            <w:tcW w:w="1122" w:type="pct"/>
            <w:tcBorders>
              <w:bottom w:val="single" w:sz="12" w:space="0" w:color="9CC2E5"/>
            </w:tcBorders>
            <w:shd w:val="clear" w:color="auto" w:fill="auto"/>
          </w:tcPr>
          <w:p w:rsidR="0084565B" w:rsidRPr="00F662FB" w:rsidRDefault="0084565B" w:rsidP="00F662FB">
            <w:pPr>
              <w:spacing w:after="0"/>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 xml:space="preserve">Espèce </w:t>
            </w:r>
          </w:p>
        </w:tc>
        <w:tc>
          <w:tcPr>
            <w:tcW w:w="592"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S.ronde</w:t>
            </w:r>
          </w:p>
        </w:tc>
        <w:tc>
          <w:tcPr>
            <w:tcW w:w="549"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S.plate</w:t>
            </w:r>
          </w:p>
        </w:tc>
        <w:tc>
          <w:tcPr>
            <w:tcW w:w="443"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Obo</w:t>
            </w:r>
          </w:p>
        </w:tc>
        <w:tc>
          <w:tcPr>
            <w:tcW w:w="584"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Sardine</w:t>
            </w:r>
          </w:p>
        </w:tc>
        <w:tc>
          <w:tcPr>
            <w:tcW w:w="533"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Autres</w:t>
            </w:r>
          </w:p>
        </w:tc>
        <w:tc>
          <w:tcPr>
            <w:tcW w:w="608"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Déchets</w:t>
            </w:r>
          </w:p>
        </w:tc>
        <w:tc>
          <w:tcPr>
            <w:tcW w:w="571" w:type="pct"/>
            <w:tcBorders>
              <w:bottom w:val="single" w:sz="12" w:space="0" w:color="9CC2E5"/>
            </w:tcBorders>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Total</w:t>
            </w:r>
          </w:p>
        </w:tc>
      </w:tr>
      <w:tr w:rsidR="008F43DD" w:rsidTr="00F662FB">
        <w:tc>
          <w:tcPr>
            <w:tcW w:w="1122" w:type="pct"/>
            <w:shd w:val="clear" w:color="auto" w:fill="auto"/>
          </w:tcPr>
          <w:p w:rsidR="0084565B" w:rsidRPr="00F662FB" w:rsidRDefault="0084565B" w:rsidP="00F662FB">
            <w:pPr>
              <w:spacing w:after="0"/>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Quantité transformée en (tonne)</w:t>
            </w:r>
          </w:p>
        </w:tc>
        <w:tc>
          <w:tcPr>
            <w:tcW w:w="592"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23882</w:t>
            </w:r>
          </w:p>
        </w:tc>
        <w:tc>
          <w:tcPr>
            <w:tcW w:w="549"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35618</w:t>
            </w:r>
          </w:p>
        </w:tc>
        <w:tc>
          <w:tcPr>
            <w:tcW w:w="443"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7635</w:t>
            </w:r>
          </w:p>
        </w:tc>
        <w:tc>
          <w:tcPr>
            <w:tcW w:w="584"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17690</w:t>
            </w:r>
          </w:p>
        </w:tc>
        <w:tc>
          <w:tcPr>
            <w:tcW w:w="533"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386</w:t>
            </w:r>
          </w:p>
        </w:tc>
        <w:tc>
          <w:tcPr>
            <w:tcW w:w="608"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23633</w:t>
            </w:r>
          </w:p>
        </w:tc>
        <w:tc>
          <w:tcPr>
            <w:tcW w:w="571" w:type="pct"/>
            <w:vMerge w:val="restart"/>
            <w:shd w:val="clear" w:color="auto" w:fill="auto"/>
          </w:tcPr>
          <w:p w:rsidR="008F43DD" w:rsidRPr="00F662FB" w:rsidRDefault="008F43DD" w:rsidP="00F662FB">
            <w:pPr>
              <w:spacing w:after="0"/>
              <w:jc w:val="center"/>
              <w:rPr>
                <w:rFonts w:ascii="Calibri" w:eastAsia="Times New Roman" w:hAnsi="Calibri" w:cs="Times New Roman"/>
                <w:b/>
                <w:color w:val="000000"/>
                <w:lang w:eastAsia="fr-FR"/>
              </w:rPr>
            </w:pPr>
          </w:p>
          <w:p w:rsidR="0084565B" w:rsidRPr="00F662FB" w:rsidRDefault="0084565B" w:rsidP="00F662FB">
            <w:pPr>
              <w:spacing w:after="0"/>
              <w:jc w:val="center"/>
              <w:rPr>
                <w:rFonts w:ascii="Calibri" w:eastAsia="Times New Roman" w:hAnsi="Calibri" w:cs="Times New Roman"/>
                <w:b/>
                <w:color w:val="000000"/>
                <w:lang w:eastAsia="fr-FR"/>
              </w:rPr>
            </w:pPr>
            <w:r w:rsidRPr="00F662FB">
              <w:rPr>
                <w:rFonts w:ascii="Calibri" w:eastAsia="Times New Roman" w:hAnsi="Calibri" w:cs="Times New Roman"/>
                <w:b/>
                <w:color w:val="000000"/>
                <w:lang w:eastAsia="fr-FR"/>
              </w:rPr>
              <w:t>108843</w:t>
            </w:r>
          </w:p>
        </w:tc>
      </w:tr>
      <w:tr w:rsidR="008F43DD" w:rsidTr="00F662FB">
        <w:tc>
          <w:tcPr>
            <w:tcW w:w="1122" w:type="pct"/>
            <w:shd w:val="clear" w:color="auto" w:fill="auto"/>
          </w:tcPr>
          <w:p w:rsidR="0084565B" w:rsidRPr="00F662FB" w:rsidRDefault="0084565B" w:rsidP="00F662FB">
            <w:pPr>
              <w:spacing w:after="0"/>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w:t>
            </w:r>
          </w:p>
        </w:tc>
        <w:tc>
          <w:tcPr>
            <w:tcW w:w="592"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22</w:t>
            </w:r>
          </w:p>
        </w:tc>
        <w:tc>
          <w:tcPr>
            <w:tcW w:w="549"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33</w:t>
            </w:r>
          </w:p>
        </w:tc>
        <w:tc>
          <w:tcPr>
            <w:tcW w:w="443"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7</w:t>
            </w:r>
          </w:p>
        </w:tc>
        <w:tc>
          <w:tcPr>
            <w:tcW w:w="584"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16</w:t>
            </w:r>
          </w:p>
        </w:tc>
        <w:tc>
          <w:tcPr>
            <w:tcW w:w="533"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0</w:t>
            </w:r>
          </w:p>
        </w:tc>
        <w:tc>
          <w:tcPr>
            <w:tcW w:w="608" w:type="pct"/>
            <w:shd w:val="clear" w:color="auto" w:fill="auto"/>
          </w:tcPr>
          <w:p w:rsidR="0084565B" w:rsidRPr="00F662FB" w:rsidRDefault="0084565B" w:rsidP="00F662FB">
            <w:pPr>
              <w:spacing w:after="0"/>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22</w:t>
            </w:r>
          </w:p>
        </w:tc>
        <w:tc>
          <w:tcPr>
            <w:tcW w:w="571" w:type="pct"/>
            <w:vMerge/>
            <w:shd w:val="clear" w:color="auto" w:fill="auto"/>
          </w:tcPr>
          <w:p w:rsidR="0084565B" w:rsidRPr="00F662FB" w:rsidRDefault="0084565B" w:rsidP="00F662FB">
            <w:pPr>
              <w:spacing w:after="0" w:line="360" w:lineRule="auto"/>
              <w:rPr>
                <w:sz w:val="24"/>
                <w:szCs w:val="24"/>
              </w:rPr>
            </w:pPr>
          </w:p>
        </w:tc>
      </w:tr>
    </w:tbl>
    <w:p w:rsidR="0084565B" w:rsidRDefault="0084565B" w:rsidP="008F43DD">
      <w:pPr>
        <w:spacing w:after="0" w:line="276" w:lineRule="auto"/>
        <w:jc w:val="both"/>
        <w:rPr>
          <w:sz w:val="24"/>
          <w:szCs w:val="24"/>
        </w:rPr>
      </w:pPr>
      <w:r>
        <w:rPr>
          <w:sz w:val="24"/>
          <w:szCs w:val="24"/>
        </w:rPr>
        <w:t>Les quantités produites de la farine sont environ de 21300 tonnes soit en ratio de 5.11 en moyenne. Cette valeur semble logique et cohérente avec l’information courante que chaque 5 tonnes de poissons frais on produit une tonne de la farine.</w:t>
      </w:r>
    </w:p>
    <w:p w:rsidR="008F43DD" w:rsidRDefault="008F43DD" w:rsidP="008F43DD">
      <w:pPr>
        <w:pStyle w:val="NoSpacing"/>
        <w:spacing w:line="276" w:lineRule="auto"/>
        <w:jc w:val="both"/>
        <w:rPr>
          <w:rFonts w:cs="Calibri Light"/>
          <w:sz w:val="24"/>
          <w:szCs w:val="24"/>
          <w:lang w:val="fr-FR"/>
        </w:rPr>
      </w:pPr>
    </w:p>
    <w:p w:rsidR="0084565B" w:rsidRDefault="008F43DD" w:rsidP="008F43DD">
      <w:pPr>
        <w:pStyle w:val="NoSpacing"/>
        <w:spacing w:line="276" w:lineRule="auto"/>
        <w:jc w:val="both"/>
        <w:rPr>
          <w:rFonts w:cs="Calibri Light"/>
          <w:sz w:val="24"/>
          <w:szCs w:val="24"/>
          <w:lang w:val="fr-FR"/>
        </w:rPr>
      </w:pPr>
      <w:r>
        <w:rPr>
          <w:rFonts w:cs="Calibri Light"/>
          <w:sz w:val="24"/>
          <w:szCs w:val="24"/>
          <w:lang w:val="fr-FR"/>
        </w:rPr>
        <w:t>En dehors des données déclarées pour certaines usines, la quantité de farine produite en 2021 selon les différentes sources (SMCP et Douane) donne une quantité d’environ 95440 tonnes soit une diminution de -25% par rapport à l’année 2020. L</w:t>
      </w:r>
      <w:r w:rsidR="0084565B" w:rsidRPr="00BB4589">
        <w:rPr>
          <w:rFonts w:cs="Calibri Light"/>
          <w:sz w:val="24"/>
          <w:szCs w:val="24"/>
          <w:lang w:val="fr-FR"/>
        </w:rPr>
        <w:t>a quantité transformée a atteint un record avec plus de 128 000 tonnes avec un retour prononcé des pirogues types sénégalais travaillant dans le cadre de régime d’affrètement.</w:t>
      </w:r>
      <w:r w:rsidR="0084565B">
        <w:rPr>
          <w:rFonts w:cs="Calibri Light"/>
          <w:sz w:val="24"/>
          <w:szCs w:val="24"/>
          <w:lang w:val="fr-FR"/>
        </w:rPr>
        <w:t xml:space="preserve"> La </w:t>
      </w:r>
      <w:r w:rsidR="0084565B">
        <w:rPr>
          <w:rFonts w:cs="Calibri Light"/>
          <w:sz w:val="24"/>
          <w:szCs w:val="24"/>
          <w:lang w:val="fr-FR"/>
        </w:rPr>
        <w:lastRenderedPageBreak/>
        <w:t xml:space="preserve">quantité transformée 2021 est revu à la baisse suite à l’arrêt forcée des bateaux côtiers pendant la période de pêche printanier. </w:t>
      </w:r>
    </w:p>
    <w:p w:rsidR="008F43DD" w:rsidRPr="00BB7C27" w:rsidRDefault="008F43DD" w:rsidP="008F43DD">
      <w:pPr>
        <w:pStyle w:val="FigureTitle"/>
        <w:spacing w:after="0"/>
        <w:rPr>
          <w:lang w:val="fr-WINDIES"/>
        </w:rPr>
      </w:pPr>
      <w:r>
        <w:rPr>
          <w:lang w:val="fr-WINDIES"/>
        </w:rPr>
        <w:t>FIGURE 10</w:t>
      </w:r>
      <w:r w:rsidRPr="00B5592A">
        <w:rPr>
          <w:lang w:val="fr-WINDIES"/>
        </w:rPr>
        <w:t xml:space="preserve"> | </w:t>
      </w:r>
      <w:r>
        <w:rPr>
          <w:lang w:val="fr-WINDIES"/>
        </w:rPr>
        <w:t>Evolution de la quantité transformée en farine de 2010 à 2021</w:t>
      </w:r>
    </w:p>
    <w:p w:rsidR="008F43DD" w:rsidRPr="008F43DD" w:rsidRDefault="008F43DD" w:rsidP="008F43DD">
      <w:pPr>
        <w:pStyle w:val="NoSpacing"/>
        <w:spacing w:line="276" w:lineRule="auto"/>
        <w:jc w:val="both"/>
        <w:rPr>
          <w:rFonts w:cs="Calibri Light"/>
          <w:sz w:val="24"/>
          <w:szCs w:val="24"/>
          <w:lang w:val="fr-WINDIES"/>
        </w:rPr>
      </w:pPr>
    </w:p>
    <w:p w:rsidR="0084565B" w:rsidRPr="00BB4589" w:rsidRDefault="00032AE6" w:rsidP="008F43DD">
      <w:pPr>
        <w:pStyle w:val="NoSpacing"/>
        <w:spacing w:line="276" w:lineRule="auto"/>
        <w:jc w:val="both"/>
        <w:rPr>
          <w:rFonts w:cs="Calibri Light"/>
          <w:sz w:val="24"/>
          <w:szCs w:val="24"/>
          <w:lang w:val="fr-FR"/>
        </w:rPr>
      </w:pPr>
      <w:r w:rsidRPr="006E45E0">
        <w:rPr>
          <w:noProof/>
          <w:lang w:val="en-GB" w:eastAsia="en-GB"/>
        </w:rPr>
        <w:drawing>
          <wp:inline distT="0" distB="0" distL="0" distR="0">
            <wp:extent cx="4721225" cy="2835275"/>
            <wp:effectExtent l="0" t="0" r="3175" b="3175"/>
            <wp:docPr id="1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6F42" w:rsidRPr="0084565B" w:rsidRDefault="00BF6F42" w:rsidP="00BF6F42">
      <w:pPr>
        <w:rPr>
          <w:lang w:val="fr-WINDIES"/>
        </w:rPr>
      </w:pPr>
    </w:p>
    <w:p w:rsidR="005A5D60" w:rsidRPr="004606D6" w:rsidRDefault="005A5D60" w:rsidP="004606D6">
      <w:pPr>
        <w:pStyle w:val="Heading1"/>
        <w:numPr>
          <w:ilvl w:val="0"/>
          <w:numId w:val="5"/>
        </w:numPr>
        <w:rPr>
          <w:caps w:val="0"/>
          <w:sz w:val="26"/>
          <w:szCs w:val="26"/>
          <w:lang w:val="fr-WINDIES"/>
        </w:rPr>
      </w:pPr>
      <w:bookmarkStart w:id="12" w:name="_Toc71496174"/>
      <w:r w:rsidRPr="004606D6">
        <w:rPr>
          <w:caps w:val="0"/>
          <w:sz w:val="26"/>
          <w:szCs w:val="26"/>
          <w:lang w:val="fr-WINDIES"/>
        </w:rPr>
        <w:t>Conclusions et perspectives</w:t>
      </w:r>
      <w:bookmarkEnd w:id="12"/>
    </w:p>
    <w:p w:rsidR="00DE4899" w:rsidRPr="006F58B7" w:rsidRDefault="00DE4899" w:rsidP="0051320A">
      <w:pPr>
        <w:spacing w:after="0" w:line="276" w:lineRule="auto"/>
        <w:jc w:val="both"/>
        <w:rPr>
          <w:rFonts w:cs="Calibri Light"/>
        </w:rPr>
      </w:pPr>
    </w:p>
    <w:p w:rsidR="00A40F27" w:rsidRPr="00A40F27" w:rsidRDefault="00A40F27" w:rsidP="00616772">
      <w:pPr>
        <w:pStyle w:val="ListParagraph"/>
        <w:spacing w:line="276" w:lineRule="auto"/>
        <w:ind w:left="0"/>
        <w:jc w:val="both"/>
        <w:rPr>
          <w:sz w:val="24"/>
        </w:rPr>
      </w:pPr>
      <w:r w:rsidRPr="00A40F27">
        <w:rPr>
          <w:sz w:val="24"/>
        </w:rPr>
        <w:t>L</w:t>
      </w:r>
      <w:r>
        <w:rPr>
          <w:sz w:val="24"/>
        </w:rPr>
        <w:t xml:space="preserve">e suivi de l’activité des usines de transformation en 2021 a permis de collecter plusieurs informations scientifiques sur la quantité transformée par espèces, les fréquences des tailles des espèces pêchées et l’impact de </w:t>
      </w:r>
      <w:r w:rsidR="0051320A">
        <w:rPr>
          <w:sz w:val="24"/>
        </w:rPr>
        <w:t>l’</w:t>
      </w:r>
      <w:r>
        <w:rPr>
          <w:sz w:val="24"/>
        </w:rPr>
        <w:t xml:space="preserve">industrie </w:t>
      </w:r>
      <w:r w:rsidR="0051320A">
        <w:rPr>
          <w:sz w:val="24"/>
        </w:rPr>
        <w:t>de farine sur les ressources exploitées</w:t>
      </w:r>
      <w:r>
        <w:rPr>
          <w:sz w:val="24"/>
        </w:rPr>
        <w:t>. En effet, l</w:t>
      </w:r>
      <w:r w:rsidRPr="00A40F27">
        <w:rPr>
          <w:sz w:val="24"/>
        </w:rPr>
        <w:t xml:space="preserve">’industrie de farine et d’huile de poissons a connu un développement important depuis </w:t>
      </w:r>
      <w:r>
        <w:rPr>
          <w:sz w:val="24"/>
        </w:rPr>
        <w:t xml:space="preserve">2012 dictée par </w:t>
      </w:r>
      <w:r w:rsidRPr="00A40F27">
        <w:rPr>
          <w:sz w:val="24"/>
        </w:rPr>
        <w:t>une</w:t>
      </w:r>
      <w:r>
        <w:rPr>
          <w:sz w:val="24"/>
        </w:rPr>
        <w:t xml:space="preserve"> forte</w:t>
      </w:r>
      <w:r w:rsidRPr="00A40F27">
        <w:rPr>
          <w:sz w:val="24"/>
        </w:rPr>
        <w:t xml:space="preserve"> demande mondiale croissante sur ces produits et des prix rémunérateurs liés à la chute de la production au Pérou et au Chili. </w:t>
      </w:r>
    </w:p>
    <w:p w:rsidR="00A40F27" w:rsidRPr="00A40F27" w:rsidRDefault="00A40F27" w:rsidP="00616772">
      <w:pPr>
        <w:pStyle w:val="ListParagraph"/>
        <w:spacing w:line="276" w:lineRule="auto"/>
        <w:ind w:left="0"/>
        <w:jc w:val="both"/>
        <w:rPr>
          <w:sz w:val="24"/>
        </w:rPr>
      </w:pPr>
      <w:r>
        <w:rPr>
          <w:sz w:val="24"/>
        </w:rPr>
        <w:t xml:space="preserve">Cette industrie </w:t>
      </w:r>
      <w:r w:rsidR="00616772">
        <w:rPr>
          <w:sz w:val="24"/>
        </w:rPr>
        <w:t>de farine</w:t>
      </w:r>
      <w:r>
        <w:rPr>
          <w:sz w:val="24"/>
        </w:rPr>
        <w:t xml:space="preserve"> est </w:t>
      </w:r>
      <w:r w:rsidRPr="00A40F27">
        <w:rPr>
          <w:sz w:val="24"/>
        </w:rPr>
        <w:t>à l’origine de l’accroissement rapide des captures des pélagiques par la pêche artisanale et côtière.  Elle est perçue comme étant une forme de valorisation des espèces des petits pélagiques, s’inscrivant parfaitement dans l’objectif d’intégration du secteur à l’économie nationale</w:t>
      </w:r>
      <w:r w:rsidR="0051320A">
        <w:rPr>
          <w:sz w:val="24"/>
        </w:rPr>
        <w:t>. L</w:t>
      </w:r>
      <w:r w:rsidRPr="00A40F27">
        <w:rPr>
          <w:sz w:val="24"/>
        </w:rPr>
        <w:t xml:space="preserve">es petits pélagiques étaient, jusqu’à une date récente, exploités dans leur quasi-totalité par des flottilles étrangères artisanales et industrielles, sans valeur ajoutée locale. Elle est également considérée comme la forme de valorisation de rejets </w:t>
      </w:r>
      <w:r w:rsidR="0051320A">
        <w:rPr>
          <w:sz w:val="24"/>
        </w:rPr>
        <w:t>des différentes usines de traitement et de congélation</w:t>
      </w:r>
      <w:r w:rsidRPr="00A40F27">
        <w:rPr>
          <w:sz w:val="24"/>
        </w:rPr>
        <w:t>.</w:t>
      </w:r>
    </w:p>
    <w:p w:rsidR="00237693" w:rsidRDefault="00237693" w:rsidP="00616772">
      <w:pPr>
        <w:spacing w:line="276" w:lineRule="auto"/>
        <w:jc w:val="both"/>
        <w:rPr>
          <w:sz w:val="24"/>
          <w:szCs w:val="24"/>
        </w:rPr>
      </w:pPr>
      <w:r>
        <w:rPr>
          <w:sz w:val="24"/>
          <w:szCs w:val="24"/>
        </w:rPr>
        <w:t>Lors de ce suivi rapproché de l’activité des usines de farine, les quantités déclarées tra</w:t>
      </w:r>
      <w:r w:rsidR="00616772">
        <w:rPr>
          <w:sz w:val="24"/>
          <w:szCs w:val="24"/>
        </w:rPr>
        <w:t>nsformées sont dominantes par les deux espèces de sardinelles suivi par les déchets, la sardine</w:t>
      </w:r>
      <w:r>
        <w:rPr>
          <w:sz w:val="24"/>
          <w:szCs w:val="24"/>
        </w:rPr>
        <w:t xml:space="preserve">. Les autres espèces telles que </w:t>
      </w:r>
      <w:r w:rsidR="00616772">
        <w:rPr>
          <w:sz w:val="24"/>
          <w:szCs w:val="24"/>
        </w:rPr>
        <w:t>l</w:t>
      </w:r>
      <w:r>
        <w:rPr>
          <w:sz w:val="24"/>
          <w:szCs w:val="24"/>
        </w:rPr>
        <w:t xml:space="preserve">es chinchards, le mulet et l’ethmalose sont </w:t>
      </w:r>
      <w:r>
        <w:rPr>
          <w:sz w:val="24"/>
          <w:szCs w:val="24"/>
        </w:rPr>
        <w:lastRenderedPageBreak/>
        <w:t xml:space="preserve">bien transformées en farine mais avec des quantités moins importantes.  Il se dégage de ce suivi que : </w:t>
      </w:r>
    </w:p>
    <w:p w:rsidR="00237693" w:rsidRDefault="00237693" w:rsidP="00237693">
      <w:pPr>
        <w:pStyle w:val="ListParagraph"/>
        <w:numPr>
          <w:ilvl w:val="0"/>
          <w:numId w:val="31"/>
        </w:numPr>
        <w:spacing w:after="0" w:line="276" w:lineRule="auto"/>
        <w:jc w:val="both"/>
        <w:rPr>
          <w:sz w:val="24"/>
          <w:szCs w:val="24"/>
        </w:rPr>
      </w:pPr>
      <w:r>
        <w:rPr>
          <w:sz w:val="24"/>
          <w:szCs w:val="24"/>
        </w:rPr>
        <w:t>Les quantités transformées provenant de déchets produisent moins de farine et moins d’huile, le ratio varie entre 5.25 et 6 selon la composition de déchet. C</w:t>
      </w:r>
      <w:r w:rsidR="00D80019">
        <w:rPr>
          <w:sz w:val="24"/>
          <w:szCs w:val="24"/>
        </w:rPr>
        <w:t xml:space="preserve"> â </w:t>
      </w:r>
      <w:r>
        <w:rPr>
          <w:sz w:val="24"/>
          <w:szCs w:val="24"/>
        </w:rPr>
        <w:t>d entre 5 à 6 tonnes de poissons entier donne une tonne de farine.</w:t>
      </w:r>
    </w:p>
    <w:p w:rsidR="00237693" w:rsidRDefault="00237693" w:rsidP="00237693">
      <w:pPr>
        <w:pStyle w:val="ListParagraph"/>
        <w:numPr>
          <w:ilvl w:val="0"/>
          <w:numId w:val="31"/>
        </w:numPr>
        <w:spacing w:after="0" w:line="276" w:lineRule="auto"/>
        <w:jc w:val="both"/>
        <w:rPr>
          <w:sz w:val="24"/>
          <w:szCs w:val="24"/>
        </w:rPr>
      </w:pPr>
      <w:r>
        <w:rPr>
          <w:sz w:val="24"/>
          <w:szCs w:val="24"/>
        </w:rPr>
        <w:t>Les quantités contiennent la sardinelle ronde et la sardine donnent plus de farine et plus d’huile avec des ratios respectifs de 4.2 pour la sardinelle et 4.8 pour la sardine.</w:t>
      </w:r>
    </w:p>
    <w:p w:rsidR="00237693" w:rsidRDefault="00237693" w:rsidP="00237693">
      <w:pPr>
        <w:pStyle w:val="ListParagraph"/>
        <w:numPr>
          <w:ilvl w:val="0"/>
          <w:numId w:val="31"/>
        </w:numPr>
        <w:spacing w:after="0" w:line="276" w:lineRule="auto"/>
        <w:jc w:val="both"/>
        <w:rPr>
          <w:sz w:val="24"/>
          <w:szCs w:val="24"/>
        </w:rPr>
      </w:pPr>
      <w:r>
        <w:rPr>
          <w:sz w:val="24"/>
          <w:szCs w:val="24"/>
        </w:rPr>
        <w:t xml:space="preserve"> Les sardinel</w:t>
      </w:r>
      <w:r w:rsidR="00616772">
        <w:rPr>
          <w:sz w:val="24"/>
          <w:szCs w:val="24"/>
        </w:rPr>
        <w:t>les rondes présentent plus de 22</w:t>
      </w:r>
      <w:r>
        <w:rPr>
          <w:sz w:val="24"/>
          <w:szCs w:val="24"/>
        </w:rPr>
        <w:t>% de la quantité transformée.</w:t>
      </w:r>
    </w:p>
    <w:p w:rsidR="00237693" w:rsidRDefault="00237693" w:rsidP="00237693">
      <w:pPr>
        <w:pStyle w:val="ListParagraph"/>
        <w:numPr>
          <w:ilvl w:val="0"/>
          <w:numId w:val="31"/>
        </w:numPr>
        <w:spacing w:after="0" w:line="276" w:lineRule="auto"/>
        <w:jc w:val="both"/>
        <w:rPr>
          <w:sz w:val="24"/>
          <w:szCs w:val="24"/>
        </w:rPr>
      </w:pPr>
      <w:r>
        <w:rPr>
          <w:sz w:val="24"/>
          <w:szCs w:val="24"/>
        </w:rPr>
        <w:t>Les usines fonctionnent généralement avec moins de 50% de leur capacité de production.</w:t>
      </w:r>
    </w:p>
    <w:p w:rsidR="00237693" w:rsidRPr="001F1C79" w:rsidRDefault="00237693" w:rsidP="00237693">
      <w:pPr>
        <w:pStyle w:val="ListParagraph"/>
        <w:numPr>
          <w:ilvl w:val="0"/>
          <w:numId w:val="31"/>
        </w:numPr>
        <w:spacing w:after="0" w:line="276" w:lineRule="auto"/>
        <w:jc w:val="both"/>
        <w:rPr>
          <w:sz w:val="24"/>
          <w:szCs w:val="24"/>
        </w:rPr>
      </w:pPr>
      <w:r>
        <w:rPr>
          <w:sz w:val="24"/>
          <w:szCs w:val="24"/>
        </w:rPr>
        <w:t>La ma</w:t>
      </w:r>
      <w:r w:rsidR="00D80019">
        <w:rPr>
          <w:sz w:val="24"/>
          <w:szCs w:val="24"/>
        </w:rPr>
        <w:t xml:space="preserve">jorité des usines ont travaillé </w:t>
      </w:r>
      <w:r>
        <w:rPr>
          <w:sz w:val="24"/>
          <w:szCs w:val="24"/>
        </w:rPr>
        <w:t>régulièrement durant cette période, excepte quelques jours dispersés.</w:t>
      </w:r>
    </w:p>
    <w:p w:rsidR="00A40F27" w:rsidRPr="00A40F27" w:rsidRDefault="00A40F27" w:rsidP="00A40F27">
      <w:pPr>
        <w:spacing w:line="276" w:lineRule="auto"/>
        <w:jc w:val="both"/>
        <w:rPr>
          <w:sz w:val="24"/>
        </w:rPr>
      </w:pPr>
      <w:r w:rsidRPr="00A40F27">
        <w:rPr>
          <w:sz w:val="24"/>
        </w:rPr>
        <w:t xml:space="preserve">En </w:t>
      </w:r>
      <w:r w:rsidR="00237693">
        <w:rPr>
          <w:sz w:val="24"/>
        </w:rPr>
        <w:t>outre</w:t>
      </w:r>
      <w:r w:rsidRPr="00A40F27">
        <w:rPr>
          <w:sz w:val="24"/>
        </w:rPr>
        <w:t xml:space="preserve">, le principe de gestion précautionneuse doit rester de mise eu égard au caractère limité et chevauchant de cette ressource </w:t>
      </w:r>
      <w:r w:rsidR="00237693">
        <w:rPr>
          <w:sz w:val="24"/>
        </w:rPr>
        <w:t xml:space="preserve">pélagique </w:t>
      </w:r>
      <w:r w:rsidR="000F3997">
        <w:rPr>
          <w:sz w:val="24"/>
        </w:rPr>
        <w:t xml:space="preserve">avec les pays limitrophes </w:t>
      </w:r>
      <w:r w:rsidRPr="00A40F27">
        <w:rPr>
          <w:sz w:val="24"/>
        </w:rPr>
        <w:t>et à sa très grande variabilité naturelle appelée à connaitre d’importantes fluctuations avec les changements climatiques. L’enjeu national de l’exploitation des espèces pélagiques réside principalement, dans la répartition de leur potentiel permissible entre les différents usages d’un côté, et dans l’optimisation des retombées socio-économiques de leur filière d’exploitation et de valorisation, de l’autre. Dans ce sens, la pêche artisanale piroguière doit être encouragée pour garantie l’approvisionnement du marché national afin d’accroitre la consommation par tête d’habitant. En plus, allouer, en tenant compte des rebuts, un quota du potentiel global annuel des petits pélagiques aux usines de farine. L’</w:t>
      </w:r>
      <w:r w:rsidR="000F3997">
        <w:rPr>
          <w:sz w:val="24"/>
        </w:rPr>
        <w:t xml:space="preserve">allocation de ce quota </w:t>
      </w:r>
      <w:r w:rsidRPr="00A40F27">
        <w:rPr>
          <w:sz w:val="24"/>
        </w:rPr>
        <w:t>doit se faire sur une base équitable qui prend en considération les intérêts et besoins des différents usages mais aussi le degré de prise en compte des mesures environnementales et sociales par les usiniers. Il est aussi, nécessaire de définir la composition de la matière première des usines de f</w:t>
      </w:r>
      <w:r w:rsidR="000F3997">
        <w:rPr>
          <w:sz w:val="24"/>
        </w:rPr>
        <w:t xml:space="preserve">arine en pourcentage de rebuts </w:t>
      </w:r>
      <w:r w:rsidRPr="00A40F27">
        <w:rPr>
          <w:sz w:val="24"/>
        </w:rPr>
        <w:t>et de produits entiers par espèces.</w:t>
      </w:r>
    </w:p>
    <w:p w:rsidR="00237693" w:rsidRDefault="00237693" w:rsidP="00D80019">
      <w:pPr>
        <w:spacing w:line="276" w:lineRule="auto"/>
        <w:jc w:val="both"/>
        <w:rPr>
          <w:rFonts w:cs="Calibri Light"/>
          <w:sz w:val="24"/>
        </w:rPr>
      </w:pPr>
      <w:r>
        <w:rPr>
          <w:rFonts w:cs="Calibri Light"/>
          <w:sz w:val="24"/>
        </w:rPr>
        <w:t xml:space="preserve">En fin, l’appui du mini-projet </w:t>
      </w:r>
      <w:r w:rsidR="00D80019">
        <w:rPr>
          <w:rFonts w:cs="Calibri Light"/>
          <w:sz w:val="24"/>
        </w:rPr>
        <w:t xml:space="preserve">est important </w:t>
      </w:r>
      <w:r>
        <w:rPr>
          <w:rFonts w:cs="Calibri Light"/>
          <w:sz w:val="24"/>
        </w:rPr>
        <w:t xml:space="preserve">pour mieux suivre la dynamique et l’exploitation des petits pélagiques au niveau des sites de débarquements et des usines de farine. Ce suivi devrait être renforcé et continué pour couvrir au moins deux années permettant ainsi de conduire des modèles d’évaluation basés sur les tailles. </w:t>
      </w:r>
    </w:p>
    <w:p w:rsidR="0086424B" w:rsidRDefault="0086424B" w:rsidP="00A40F27">
      <w:pPr>
        <w:spacing w:line="276" w:lineRule="auto"/>
        <w:jc w:val="both"/>
        <w:rPr>
          <w:rFonts w:cs="Calibri Light"/>
          <w:sz w:val="24"/>
        </w:rPr>
      </w:pPr>
      <w:r w:rsidRPr="007411EF">
        <w:rPr>
          <w:rFonts w:cs="Calibri Light"/>
          <w:sz w:val="24"/>
        </w:rPr>
        <w:t>Le mini projet a été orienté essentiellement pour appuyer le suivi au niveau de la zone nord</w:t>
      </w:r>
      <w:r w:rsidR="007411EF" w:rsidRPr="007411EF">
        <w:rPr>
          <w:rFonts w:cs="Calibri Light"/>
          <w:sz w:val="24"/>
        </w:rPr>
        <w:t xml:space="preserve"> de Nouadhibou</w:t>
      </w:r>
      <w:r w:rsidRPr="007411EF">
        <w:rPr>
          <w:rFonts w:cs="Calibri Light"/>
          <w:sz w:val="24"/>
        </w:rPr>
        <w:t xml:space="preserve">. Cette zone abrite l’essentielle de débarquement des petits pélagiques et les usines de farine en Mauritanie. </w:t>
      </w:r>
    </w:p>
    <w:p w:rsidR="007411EF" w:rsidRPr="007411EF" w:rsidRDefault="007411EF" w:rsidP="00A40F27">
      <w:pPr>
        <w:spacing w:line="276" w:lineRule="auto"/>
        <w:jc w:val="both"/>
        <w:rPr>
          <w:rFonts w:cs="Calibri Light"/>
          <w:b/>
          <w:sz w:val="24"/>
        </w:rPr>
      </w:pPr>
      <w:r w:rsidRPr="007411EF">
        <w:rPr>
          <w:rFonts w:cs="Calibri Light"/>
          <w:b/>
          <w:sz w:val="24"/>
        </w:rPr>
        <w:t xml:space="preserve">Il est recommandé de : </w:t>
      </w:r>
    </w:p>
    <w:p w:rsidR="007411EF" w:rsidRDefault="007411EF" w:rsidP="00D80019">
      <w:pPr>
        <w:numPr>
          <w:ilvl w:val="0"/>
          <w:numId w:val="19"/>
        </w:numPr>
        <w:spacing w:after="0" w:line="276" w:lineRule="auto"/>
        <w:jc w:val="both"/>
        <w:rPr>
          <w:rFonts w:cs="Calibri Light"/>
          <w:sz w:val="24"/>
        </w:rPr>
      </w:pPr>
      <w:r>
        <w:rPr>
          <w:rFonts w:cs="Calibri Light"/>
          <w:sz w:val="24"/>
        </w:rPr>
        <w:t>E</w:t>
      </w:r>
      <w:r w:rsidR="0086424B">
        <w:rPr>
          <w:rFonts w:cs="Calibri Light"/>
          <w:sz w:val="24"/>
        </w:rPr>
        <w:t>largi</w:t>
      </w:r>
      <w:r>
        <w:rPr>
          <w:rFonts w:cs="Calibri Light"/>
          <w:sz w:val="24"/>
        </w:rPr>
        <w:t>r le</w:t>
      </w:r>
      <w:r w:rsidR="0086424B">
        <w:rPr>
          <w:rFonts w:cs="Calibri Light"/>
          <w:sz w:val="24"/>
        </w:rPr>
        <w:t xml:space="preserve"> suivi dans les autres zones </w:t>
      </w:r>
      <w:r>
        <w:rPr>
          <w:rFonts w:cs="Calibri Light"/>
          <w:sz w:val="24"/>
        </w:rPr>
        <w:t>notamment</w:t>
      </w:r>
      <w:r w:rsidR="0086424B">
        <w:rPr>
          <w:rFonts w:cs="Calibri Light"/>
          <w:sz w:val="24"/>
        </w:rPr>
        <w:t xml:space="preserve"> Tanitt et éventuellement Ndiago </w:t>
      </w:r>
      <w:r>
        <w:rPr>
          <w:rFonts w:cs="Calibri Light"/>
          <w:sz w:val="24"/>
        </w:rPr>
        <w:t>après l’arrivée de la fourgonnette du projet</w:t>
      </w:r>
      <w:r w:rsidR="0086424B">
        <w:rPr>
          <w:rFonts w:cs="Calibri Light"/>
          <w:sz w:val="24"/>
        </w:rPr>
        <w:t>.</w:t>
      </w:r>
    </w:p>
    <w:p w:rsidR="007411EF" w:rsidRPr="007411EF" w:rsidRDefault="007411EF" w:rsidP="00D80019">
      <w:pPr>
        <w:numPr>
          <w:ilvl w:val="0"/>
          <w:numId w:val="19"/>
        </w:numPr>
        <w:spacing w:after="0" w:line="276" w:lineRule="auto"/>
        <w:jc w:val="both"/>
        <w:rPr>
          <w:rFonts w:cs="Calibri Light"/>
          <w:sz w:val="24"/>
        </w:rPr>
      </w:pPr>
      <w:r>
        <w:rPr>
          <w:rFonts w:cs="Calibri Light"/>
          <w:sz w:val="24"/>
        </w:rPr>
        <w:lastRenderedPageBreak/>
        <w:t>Couvrir toutes les usines de farine en activité et les bateaux débarqués à Nouadhibou et Nouakchott</w:t>
      </w:r>
    </w:p>
    <w:p w:rsidR="007411EF" w:rsidRPr="007411EF" w:rsidRDefault="007411EF" w:rsidP="00D80019">
      <w:pPr>
        <w:numPr>
          <w:ilvl w:val="0"/>
          <w:numId w:val="19"/>
        </w:numPr>
        <w:spacing w:after="0" w:line="276" w:lineRule="auto"/>
        <w:jc w:val="both"/>
        <w:rPr>
          <w:rFonts w:cs="Calibri Light"/>
          <w:sz w:val="24"/>
        </w:rPr>
      </w:pPr>
      <w:r w:rsidRPr="007411EF">
        <w:rPr>
          <w:rFonts w:cs="Calibri Light"/>
          <w:sz w:val="24"/>
        </w:rPr>
        <w:t xml:space="preserve"> Accompagner le développement du port de Ndiago et les débarquements de petits pélagiques dans cette zone</w:t>
      </w:r>
    </w:p>
    <w:p w:rsidR="007411EF" w:rsidRDefault="007411EF" w:rsidP="00D80019">
      <w:pPr>
        <w:numPr>
          <w:ilvl w:val="0"/>
          <w:numId w:val="19"/>
        </w:numPr>
        <w:spacing w:after="0" w:line="276" w:lineRule="auto"/>
        <w:jc w:val="both"/>
        <w:rPr>
          <w:rFonts w:cs="Calibri Light"/>
          <w:sz w:val="24"/>
        </w:rPr>
      </w:pPr>
      <w:r w:rsidRPr="007411EF">
        <w:rPr>
          <w:rFonts w:cs="Calibri Light"/>
          <w:sz w:val="24"/>
        </w:rPr>
        <w:t>Appuyer le suivi de l’évaluation directe des espèces pélagiques à travers le financement des campagnes d’</w:t>
      </w:r>
      <w:r>
        <w:rPr>
          <w:rFonts w:cs="Calibri Light"/>
          <w:sz w:val="24"/>
        </w:rPr>
        <w:t>écho-inté</w:t>
      </w:r>
      <w:r w:rsidRPr="007411EF">
        <w:rPr>
          <w:rFonts w:cs="Calibri Light"/>
          <w:sz w:val="24"/>
        </w:rPr>
        <w:t>g</w:t>
      </w:r>
      <w:r>
        <w:rPr>
          <w:rFonts w:cs="Calibri Light"/>
          <w:sz w:val="24"/>
        </w:rPr>
        <w:t>ra</w:t>
      </w:r>
      <w:r w:rsidRPr="007411EF">
        <w:rPr>
          <w:rFonts w:cs="Calibri Light"/>
          <w:sz w:val="24"/>
        </w:rPr>
        <w:t xml:space="preserve">tion </w:t>
      </w:r>
    </w:p>
    <w:p w:rsidR="007411EF" w:rsidRDefault="0086424B" w:rsidP="00D80019">
      <w:pPr>
        <w:numPr>
          <w:ilvl w:val="0"/>
          <w:numId w:val="19"/>
        </w:numPr>
        <w:spacing w:after="0" w:line="276" w:lineRule="auto"/>
        <w:jc w:val="both"/>
        <w:rPr>
          <w:rFonts w:cs="Calibri Light"/>
          <w:sz w:val="24"/>
        </w:rPr>
      </w:pPr>
      <w:r w:rsidRPr="007411EF">
        <w:rPr>
          <w:rFonts w:cs="Calibri Light"/>
          <w:sz w:val="24"/>
        </w:rPr>
        <w:t>Adapt</w:t>
      </w:r>
      <w:r w:rsidR="007411EF">
        <w:rPr>
          <w:rFonts w:cs="Calibri Light"/>
          <w:sz w:val="24"/>
        </w:rPr>
        <w:t xml:space="preserve">er </w:t>
      </w:r>
      <w:r w:rsidRPr="007411EF">
        <w:rPr>
          <w:rFonts w:cs="Calibri Light"/>
          <w:sz w:val="24"/>
        </w:rPr>
        <w:t xml:space="preserve">des </w:t>
      </w:r>
      <w:r w:rsidR="007411EF" w:rsidRPr="007411EF">
        <w:rPr>
          <w:rFonts w:cs="Calibri Light"/>
          <w:sz w:val="24"/>
        </w:rPr>
        <w:t>modèles</w:t>
      </w:r>
      <w:r w:rsidRPr="007411EF">
        <w:rPr>
          <w:rFonts w:cs="Calibri Light"/>
          <w:sz w:val="24"/>
        </w:rPr>
        <w:t xml:space="preserve"> appropriés pour l’évaluation des petits pélagiques</w:t>
      </w:r>
    </w:p>
    <w:p w:rsidR="007411EF" w:rsidRDefault="007411EF" w:rsidP="00D80019">
      <w:pPr>
        <w:numPr>
          <w:ilvl w:val="0"/>
          <w:numId w:val="19"/>
        </w:numPr>
        <w:spacing w:after="0" w:line="276" w:lineRule="auto"/>
        <w:jc w:val="both"/>
        <w:rPr>
          <w:rFonts w:cs="Calibri Light"/>
          <w:sz w:val="24"/>
        </w:rPr>
      </w:pPr>
      <w:r w:rsidRPr="007411EF">
        <w:rPr>
          <w:rFonts w:cs="Calibri Light"/>
          <w:sz w:val="24"/>
        </w:rPr>
        <w:t>Continuer le développement des modèles éco systémiques</w:t>
      </w:r>
      <w:r w:rsidR="00845D1C" w:rsidRPr="007411EF">
        <w:rPr>
          <w:rFonts w:cs="Calibri Light"/>
          <w:sz w:val="24"/>
        </w:rPr>
        <w:t xml:space="preserve"> </w:t>
      </w:r>
      <w:r w:rsidRPr="007411EF">
        <w:rPr>
          <w:rFonts w:cs="Calibri Light"/>
          <w:sz w:val="24"/>
        </w:rPr>
        <w:t xml:space="preserve">pour mieux étudier le </w:t>
      </w:r>
      <w:r w:rsidR="00845D1C" w:rsidRPr="007411EF">
        <w:rPr>
          <w:rFonts w:cs="Calibri Light"/>
          <w:sz w:val="24"/>
        </w:rPr>
        <w:t>rôle des principales espèces dans l’</w:t>
      </w:r>
      <w:r w:rsidRPr="007411EF">
        <w:rPr>
          <w:rFonts w:cs="Calibri Light"/>
          <w:sz w:val="24"/>
        </w:rPr>
        <w:t>écosystème</w:t>
      </w:r>
      <w:r w:rsidR="00845D1C" w:rsidRPr="007411EF">
        <w:rPr>
          <w:rFonts w:cs="Calibri Light"/>
          <w:sz w:val="24"/>
        </w:rPr>
        <w:t xml:space="preserve"> Mauritanien et</w:t>
      </w:r>
      <w:r w:rsidRPr="007411EF">
        <w:rPr>
          <w:rFonts w:cs="Calibri Light"/>
          <w:sz w:val="24"/>
        </w:rPr>
        <w:t xml:space="preserve"> celui de la zone Nord-ouest africaine</w:t>
      </w:r>
    </w:p>
    <w:p w:rsidR="007411EF" w:rsidRPr="007411EF" w:rsidRDefault="007411EF" w:rsidP="00D80019">
      <w:pPr>
        <w:numPr>
          <w:ilvl w:val="0"/>
          <w:numId w:val="19"/>
        </w:numPr>
        <w:spacing w:after="0" w:line="276" w:lineRule="auto"/>
        <w:jc w:val="both"/>
        <w:rPr>
          <w:rFonts w:cs="Calibri Light"/>
          <w:sz w:val="24"/>
        </w:rPr>
      </w:pPr>
      <w:r>
        <w:rPr>
          <w:rFonts w:cs="Calibri Light"/>
          <w:sz w:val="24"/>
        </w:rPr>
        <w:t>Elargir le suivi des données biologiques pour toutes les espèces en petits pélagiques</w:t>
      </w:r>
    </w:p>
    <w:p w:rsidR="00D95A66" w:rsidRDefault="00D95A66" w:rsidP="006F58B7">
      <w:pPr>
        <w:spacing w:line="276" w:lineRule="auto"/>
        <w:jc w:val="both"/>
        <w:rPr>
          <w:rFonts w:cs="Calibri Light"/>
        </w:rPr>
      </w:pPr>
    </w:p>
    <w:p w:rsidR="002A1DB7" w:rsidRDefault="002A1DB7" w:rsidP="006F58B7">
      <w:pPr>
        <w:spacing w:line="276" w:lineRule="auto"/>
        <w:jc w:val="both"/>
        <w:rPr>
          <w:rFonts w:cs="Calibri Light"/>
        </w:rPr>
      </w:pPr>
    </w:p>
    <w:p w:rsidR="00237693" w:rsidRDefault="00237693" w:rsidP="006F58B7">
      <w:pPr>
        <w:spacing w:line="276" w:lineRule="auto"/>
        <w:jc w:val="both"/>
        <w:rPr>
          <w:rFonts w:cs="Calibri Light"/>
        </w:rPr>
      </w:pPr>
    </w:p>
    <w:p w:rsidR="003861AF" w:rsidRPr="000176F4" w:rsidRDefault="00A71E22" w:rsidP="003861AF">
      <w:pPr>
        <w:pStyle w:val="Heading1"/>
      </w:pPr>
      <w:bookmarkStart w:id="13" w:name="_Toc71496175"/>
      <w:bookmarkEnd w:id="0"/>
      <w:bookmarkEnd w:id="1"/>
      <w:bookmarkEnd w:id="7"/>
      <w:bookmarkEnd w:id="10"/>
      <w:r w:rsidRPr="00A71E22">
        <w:rPr>
          <w:lang w:val="fr-WINDIES"/>
        </w:rPr>
        <w:t>ReMerciement</w:t>
      </w:r>
      <w:r w:rsidRPr="000176F4">
        <w:t>s</w:t>
      </w:r>
      <w:bookmarkEnd w:id="13"/>
    </w:p>
    <w:p w:rsidR="00AB4098" w:rsidRPr="000176F4" w:rsidRDefault="00DB0ACF" w:rsidP="00FA4204">
      <w:pPr>
        <w:pStyle w:val="ReferencesandacknowledgmentsTxt"/>
        <w:ind w:left="0" w:firstLine="0"/>
        <w:jc w:val="both"/>
        <w:rPr>
          <w:lang w:val="fr-FR"/>
        </w:rPr>
      </w:pPr>
      <w:r>
        <w:rPr>
          <w:rFonts w:cs="Calibri"/>
          <w:lang w:val="fr-FR"/>
        </w:rPr>
        <w:t xml:space="preserve">L’équipe du projet tient à </w:t>
      </w:r>
      <w:r w:rsidR="00A548FA">
        <w:rPr>
          <w:rFonts w:cs="Calibri"/>
          <w:lang w:val="fr-FR"/>
        </w:rPr>
        <w:t>remercier</w:t>
      </w:r>
      <w:r>
        <w:rPr>
          <w:rFonts w:cs="Calibri"/>
          <w:lang w:val="fr-FR"/>
        </w:rPr>
        <w:t xml:space="preserve"> les usiniers de farine</w:t>
      </w:r>
      <w:r w:rsidR="00A548FA">
        <w:rPr>
          <w:rFonts w:cs="Calibri"/>
          <w:lang w:val="fr-FR"/>
        </w:rPr>
        <w:t xml:space="preserve"> pour leurs soutiens et collaboration pendant la collecte des données.</w:t>
      </w:r>
    </w:p>
    <w:p w:rsidR="00A548FA" w:rsidRPr="00A548FA" w:rsidRDefault="00A548FA" w:rsidP="00A56A6B">
      <w:pPr>
        <w:pStyle w:val="Heading1"/>
        <w:rPr>
          <w:lang w:val="fr-WINDIES"/>
        </w:rPr>
      </w:pPr>
      <w:bookmarkStart w:id="14" w:name="_Toc71496176"/>
      <w:r w:rsidRPr="00A548FA">
        <w:rPr>
          <w:lang w:val="fr-WINDIES"/>
        </w:rPr>
        <w:t>Equipe d</w:t>
      </w:r>
      <w:r w:rsidR="00A56A6B">
        <w:rPr>
          <w:lang w:val="fr-WINDIES"/>
        </w:rPr>
        <w:t>u projet</w:t>
      </w:r>
      <w:bookmarkEnd w:id="14"/>
    </w:p>
    <w:tbl>
      <w:tblPr>
        <w:tblW w:w="8481" w:type="dxa"/>
        <w:tblLook w:val="04A0" w:firstRow="1" w:lastRow="0" w:firstColumn="1" w:lastColumn="0" w:noHBand="0" w:noVBand="1"/>
      </w:tblPr>
      <w:tblGrid>
        <w:gridCol w:w="2410"/>
        <w:gridCol w:w="1086"/>
        <w:gridCol w:w="2179"/>
        <w:gridCol w:w="1299"/>
        <w:gridCol w:w="1507"/>
      </w:tblGrid>
      <w:tr w:rsidR="00CD2DCE" w:rsidRPr="00CD2DCE" w:rsidTr="00CD2DCE">
        <w:trPr>
          <w:trHeight w:val="276"/>
        </w:trPr>
        <w:tc>
          <w:tcPr>
            <w:tcW w:w="2410" w:type="dxa"/>
            <w:tcBorders>
              <w:bottom w:val="single" w:sz="4" w:space="0" w:color="7F7F7F"/>
              <w:right w:val="nil"/>
            </w:tcBorders>
            <w:noWrap/>
            <w:hideMark/>
          </w:tcPr>
          <w:p w:rsidR="00A548FA" w:rsidRPr="00CD2DCE" w:rsidRDefault="00A548FA" w:rsidP="00CD2DCE">
            <w:pPr>
              <w:spacing w:after="0" w:line="240" w:lineRule="auto"/>
              <w:rPr>
                <w:rFonts w:ascii="Times New Roman" w:eastAsia="Times New Roman" w:hAnsi="Times New Roman" w:cs="Times New Roman"/>
                <w:b/>
                <w:bCs/>
                <w:caps/>
                <w:sz w:val="24"/>
                <w:szCs w:val="24"/>
                <w:lang w:eastAsia="fr-FR"/>
              </w:rPr>
            </w:pPr>
          </w:p>
        </w:tc>
        <w:tc>
          <w:tcPr>
            <w:tcW w:w="1086" w:type="dxa"/>
            <w:tcBorders>
              <w:bottom w:val="single" w:sz="4" w:space="0" w:color="7F7F7F"/>
            </w:tcBorders>
            <w:noWrap/>
            <w:hideMark/>
          </w:tcPr>
          <w:p w:rsidR="00A548FA" w:rsidRPr="00CD2DCE" w:rsidRDefault="00A548FA" w:rsidP="00CD2DCE">
            <w:pPr>
              <w:spacing w:after="0" w:line="240" w:lineRule="auto"/>
              <w:rPr>
                <w:rFonts w:eastAsia="Times New Roman" w:cs="Calibri Light"/>
                <w:b/>
                <w:bCs/>
                <w:caps/>
                <w:color w:val="000000"/>
                <w:sz w:val="20"/>
                <w:szCs w:val="20"/>
                <w:lang w:eastAsia="fr-FR"/>
              </w:rPr>
            </w:pPr>
            <w:r w:rsidRPr="00CD2DCE">
              <w:rPr>
                <w:rFonts w:eastAsia="Times New Roman" w:cs="Calibri Light"/>
                <w:b/>
                <w:bCs/>
                <w:caps/>
                <w:color w:val="000000"/>
                <w:sz w:val="20"/>
                <w:szCs w:val="20"/>
                <w:lang w:eastAsia="fr-FR"/>
              </w:rPr>
              <w:t xml:space="preserve">Enquêtes </w:t>
            </w:r>
          </w:p>
        </w:tc>
        <w:tc>
          <w:tcPr>
            <w:tcW w:w="2179" w:type="dxa"/>
            <w:tcBorders>
              <w:bottom w:val="single" w:sz="4" w:space="0" w:color="7F7F7F"/>
            </w:tcBorders>
            <w:noWrap/>
            <w:hideMark/>
          </w:tcPr>
          <w:p w:rsidR="00A548FA" w:rsidRPr="00CD2DCE" w:rsidRDefault="00A548FA" w:rsidP="00CD2DCE">
            <w:pPr>
              <w:spacing w:after="0" w:line="240" w:lineRule="auto"/>
              <w:rPr>
                <w:rFonts w:eastAsia="Times New Roman" w:cs="Calibri Light"/>
                <w:b/>
                <w:bCs/>
                <w:caps/>
                <w:color w:val="000000"/>
                <w:sz w:val="20"/>
                <w:szCs w:val="20"/>
                <w:lang w:eastAsia="fr-FR"/>
              </w:rPr>
            </w:pPr>
            <w:r w:rsidRPr="00CD2DCE">
              <w:rPr>
                <w:rFonts w:eastAsia="Times New Roman" w:cs="Calibri Light"/>
                <w:b/>
                <w:bCs/>
                <w:caps/>
                <w:color w:val="000000"/>
                <w:sz w:val="20"/>
                <w:szCs w:val="20"/>
                <w:lang w:eastAsia="fr-FR"/>
              </w:rPr>
              <w:t>Saisie des données</w:t>
            </w:r>
          </w:p>
        </w:tc>
        <w:tc>
          <w:tcPr>
            <w:tcW w:w="1299" w:type="dxa"/>
            <w:tcBorders>
              <w:bottom w:val="single" w:sz="4" w:space="0" w:color="7F7F7F"/>
            </w:tcBorders>
            <w:noWrap/>
            <w:hideMark/>
          </w:tcPr>
          <w:p w:rsidR="00A548FA" w:rsidRPr="00CD2DCE" w:rsidRDefault="00A548FA" w:rsidP="00CD2DCE">
            <w:pPr>
              <w:spacing w:after="0" w:line="240" w:lineRule="auto"/>
              <w:rPr>
                <w:rFonts w:eastAsia="Times New Roman" w:cs="Calibri Light"/>
                <w:b/>
                <w:bCs/>
                <w:caps/>
                <w:color w:val="000000"/>
                <w:sz w:val="20"/>
                <w:szCs w:val="20"/>
                <w:lang w:eastAsia="fr-FR"/>
              </w:rPr>
            </w:pPr>
            <w:r w:rsidRPr="00CD2DCE">
              <w:rPr>
                <w:rFonts w:eastAsia="Times New Roman" w:cs="Calibri Light"/>
                <w:b/>
                <w:bCs/>
                <w:caps/>
                <w:color w:val="000000"/>
                <w:sz w:val="20"/>
                <w:szCs w:val="20"/>
                <w:lang w:eastAsia="fr-FR"/>
              </w:rPr>
              <w:t>Supervision</w:t>
            </w:r>
          </w:p>
        </w:tc>
        <w:tc>
          <w:tcPr>
            <w:tcW w:w="1507" w:type="dxa"/>
            <w:tcBorders>
              <w:bottom w:val="single" w:sz="4" w:space="0" w:color="7F7F7F"/>
            </w:tcBorders>
            <w:noWrap/>
            <w:hideMark/>
          </w:tcPr>
          <w:p w:rsidR="00A548FA" w:rsidRPr="00CD2DCE" w:rsidRDefault="00A548FA" w:rsidP="00CD2DCE">
            <w:pPr>
              <w:spacing w:after="0" w:line="240" w:lineRule="auto"/>
              <w:rPr>
                <w:rFonts w:eastAsia="Times New Roman" w:cs="Calibri Light"/>
                <w:b/>
                <w:bCs/>
                <w:caps/>
                <w:color w:val="000000"/>
                <w:sz w:val="20"/>
                <w:szCs w:val="20"/>
                <w:lang w:eastAsia="fr-FR"/>
              </w:rPr>
            </w:pPr>
            <w:r w:rsidRPr="00CD2DCE">
              <w:rPr>
                <w:rFonts w:eastAsia="Times New Roman" w:cs="Calibri Light"/>
                <w:b/>
                <w:bCs/>
                <w:caps/>
                <w:color w:val="000000"/>
                <w:sz w:val="20"/>
                <w:szCs w:val="20"/>
                <w:lang w:eastAsia="fr-FR"/>
              </w:rPr>
              <w:t>Coordination</w:t>
            </w: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Hassen II</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Graine Ahmed Bamba</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129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Traoré Ismaila</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 xml:space="preserve">El Hafedh </w:t>
            </w:r>
            <w:r w:rsidR="00A56A6B" w:rsidRPr="00CD2DCE">
              <w:rPr>
                <w:rFonts w:eastAsia="Times New Roman" w:cs="Calibri Light"/>
                <w:b/>
                <w:bCs/>
                <w:caps/>
                <w:noProof/>
                <w:color w:val="000000"/>
                <w:lang w:eastAsia="fr-FR"/>
              </w:rPr>
              <w:t>Navaa</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Aichetou El Houssein</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Aissata kamara</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Nouh Beya</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Diallo Ibra</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Sidi El Moctar</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Aissata Diop</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D80019" w:rsidRPr="00CD2DCE" w:rsidTr="00CD2DCE">
        <w:trPr>
          <w:trHeight w:val="288"/>
        </w:trPr>
        <w:tc>
          <w:tcPr>
            <w:tcW w:w="2410" w:type="dxa"/>
            <w:tcBorders>
              <w:right w:val="single" w:sz="4" w:space="0" w:color="7F7F7F"/>
            </w:tcBorders>
            <w:shd w:val="clear" w:color="auto" w:fill="F2F2F2"/>
            <w:noWrap/>
          </w:tcPr>
          <w:p w:rsidR="00D80019" w:rsidRPr="00CD2DCE" w:rsidRDefault="00D80019" w:rsidP="00CD2DCE">
            <w:pPr>
              <w:spacing w:after="0" w:line="240" w:lineRule="auto"/>
              <w:rPr>
                <w:rFonts w:eastAsia="Times New Roman" w:cs="Calibri Light"/>
                <w:b/>
                <w:bCs/>
                <w:caps/>
                <w:noProof/>
                <w:color w:val="000000"/>
                <w:lang w:eastAsia="fr-FR"/>
              </w:rPr>
            </w:pPr>
            <w:r>
              <w:rPr>
                <w:rFonts w:eastAsia="Times New Roman" w:cs="Calibri Light"/>
                <w:b/>
                <w:bCs/>
                <w:caps/>
                <w:noProof/>
                <w:color w:val="000000"/>
                <w:lang w:eastAsia="fr-FR"/>
              </w:rPr>
              <w:t xml:space="preserve">Abdelkerim </w:t>
            </w:r>
          </w:p>
        </w:tc>
        <w:tc>
          <w:tcPr>
            <w:tcW w:w="1086" w:type="dxa"/>
            <w:shd w:val="clear" w:color="auto" w:fill="F2F2F2"/>
            <w:noWrap/>
          </w:tcPr>
          <w:p w:rsidR="00D80019" w:rsidRPr="00CD2DCE" w:rsidRDefault="00D80019" w:rsidP="00CD2DCE">
            <w:pPr>
              <w:spacing w:after="0" w:line="240" w:lineRule="auto"/>
              <w:jc w:val="center"/>
              <w:rPr>
                <w:rFonts w:ascii="Calibri" w:eastAsia="Times New Roman" w:hAnsi="Calibri" w:cs="Calibri"/>
                <w:color w:val="000000"/>
                <w:sz w:val="20"/>
                <w:szCs w:val="20"/>
                <w:lang w:eastAsia="fr-FR"/>
              </w:rPr>
            </w:pPr>
          </w:p>
        </w:tc>
        <w:tc>
          <w:tcPr>
            <w:tcW w:w="2179" w:type="dxa"/>
            <w:shd w:val="clear" w:color="auto" w:fill="F2F2F2"/>
            <w:noWrap/>
          </w:tcPr>
          <w:p w:rsidR="00D80019" w:rsidRPr="00CD2DCE" w:rsidRDefault="00D80019"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tcPr>
          <w:p w:rsidR="00D80019" w:rsidRPr="00CD2DCE" w:rsidRDefault="00D80019"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tcPr>
          <w:p w:rsidR="00D80019" w:rsidRPr="00CD2DCE" w:rsidRDefault="00D80019"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Fatimetou Mbnoun</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D80019" w:rsidRPr="00CD2DCE" w:rsidTr="00CD2DCE">
        <w:trPr>
          <w:trHeight w:val="288"/>
        </w:trPr>
        <w:tc>
          <w:tcPr>
            <w:tcW w:w="2410" w:type="dxa"/>
            <w:tcBorders>
              <w:right w:val="single" w:sz="4" w:space="0" w:color="7F7F7F"/>
            </w:tcBorders>
            <w:noWrap/>
          </w:tcPr>
          <w:p w:rsidR="00D80019" w:rsidRPr="00CD2DCE" w:rsidRDefault="00D80019" w:rsidP="00CD2DCE">
            <w:pPr>
              <w:spacing w:after="0" w:line="240" w:lineRule="auto"/>
              <w:rPr>
                <w:rFonts w:eastAsia="Times New Roman" w:cs="Calibri Light"/>
                <w:b/>
                <w:bCs/>
                <w:caps/>
                <w:noProof/>
                <w:color w:val="000000"/>
                <w:lang w:eastAsia="fr-FR"/>
              </w:rPr>
            </w:pPr>
            <w:r>
              <w:rPr>
                <w:rFonts w:eastAsia="Times New Roman" w:cs="Calibri Light"/>
                <w:b/>
                <w:bCs/>
                <w:caps/>
                <w:noProof/>
                <w:color w:val="000000"/>
                <w:lang w:eastAsia="fr-FR"/>
              </w:rPr>
              <w:t>cheikh Abdellahi</w:t>
            </w:r>
          </w:p>
        </w:tc>
        <w:tc>
          <w:tcPr>
            <w:tcW w:w="1086" w:type="dxa"/>
            <w:noWrap/>
          </w:tcPr>
          <w:p w:rsidR="00D80019" w:rsidRPr="00CD2DCE" w:rsidRDefault="00D80019" w:rsidP="00CD2DCE">
            <w:pPr>
              <w:spacing w:after="0" w:line="240" w:lineRule="auto"/>
              <w:jc w:val="center"/>
              <w:rPr>
                <w:rFonts w:ascii="Calibri" w:eastAsia="Times New Roman" w:hAnsi="Calibri" w:cs="Calibri"/>
                <w:color w:val="000000"/>
                <w:sz w:val="20"/>
                <w:szCs w:val="20"/>
                <w:lang w:eastAsia="fr-FR"/>
              </w:rPr>
            </w:pPr>
          </w:p>
        </w:tc>
        <w:tc>
          <w:tcPr>
            <w:tcW w:w="2179" w:type="dxa"/>
            <w:noWrap/>
          </w:tcPr>
          <w:p w:rsidR="00D80019" w:rsidRPr="00CD2DCE" w:rsidRDefault="00D80019" w:rsidP="00CD2DCE">
            <w:pPr>
              <w:spacing w:after="0" w:line="240" w:lineRule="auto"/>
              <w:jc w:val="center"/>
              <w:rPr>
                <w:rFonts w:ascii="Calibri" w:eastAsia="Times New Roman" w:hAnsi="Calibri" w:cs="Calibri"/>
                <w:color w:val="000000"/>
                <w:sz w:val="20"/>
                <w:szCs w:val="20"/>
                <w:lang w:eastAsia="fr-FR"/>
              </w:rPr>
            </w:pPr>
          </w:p>
        </w:tc>
        <w:tc>
          <w:tcPr>
            <w:tcW w:w="1299" w:type="dxa"/>
            <w:noWrap/>
          </w:tcPr>
          <w:p w:rsidR="00D80019" w:rsidRPr="00CD2DCE" w:rsidRDefault="00D80019" w:rsidP="00CD2DCE">
            <w:pPr>
              <w:spacing w:after="0" w:line="240" w:lineRule="auto"/>
              <w:jc w:val="center"/>
              <w:rPr>
                <w:rFonts w:ascii="Times New Roman" w:eastAsia="Times New Roman" w:hAnsi="Times New Roman" w:cs="Times New Roman"/>
                <w:sz w:val="20"/>
                <w:szCs w:val="20"/>
                <w:lang w:eastAsia="fr-FR"/>
              </w:rPr>
            </w:pPr>
          </w:p>
        </w:tc>
        <w:tc>
          <w:tcPr>
            <w:tcW w:w="1507" w:type="dxa"/>
            <w:noWrap/>
          </w:tcPr>
          <w:p w:rsidR="00D80019" w:rsidRPr="00CD2DCE" w:rsidRDefault="00D80019"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 xml:space="preserve">Alioune </w:t>
            </w:r>
          </w:p>
        </w:tc>
        <w:tc>
          <w:tcPr>
            <w:tcW w:w="1086"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Times New Roman" w:eastAsia="Times New Roman" w:hAnsi="Times New Roman" w:cs="Times New Roman"/>
                <w:sz w:val="20"/>
                <w:szCs w:val="20"/>
                <w:lang w:eastAsia="fr-FR"/>
              </w:rPr>
            </w:pP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noProof/>
                <w:color w:val="000000"/>
                <w:lang w:eastAsia="fr-FR"/>
              </w:rPr>
              <w:t>Mohamed Meinatt</w:t>
            </w:r>
          </w:p>
        </w:tc>
        <w:tc>
          <w:tcPr>
            <w:tcW w:w="1086"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217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c>
          <w:tcPr>
            <w:tcW w:w="1299"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c>
          <w:tcPr>
            <w:tcW w:w="1507"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color w:val="000000"/>
                <w:lang w:eastAsia="fr-FR"/>
              </w:rPr>
              <w:t>Mohamed Ahmed</w:t>
            </w:r>
          </w:p>
        </w:tc>
        <w:tc>
          <w:tcPr>
            <w:tcW w:w="1086" w:type="dxa"/>
            <w:shd w:val="clear" w:color="auto" w:fill="F2F2F2"/>
            <w:noWrap/>
            <w:hideMark/>
          </w:tcPr>
          <w:p w:rsidR="00A548FA" w:rsidRPr="00CD2DCE" w:rsidRDefault="00A548FA" w:rsidP="00CD2DCE">
            <w:pPr>
              <w:spacing w:after="0" w:line="240" w:lineRule="auto"/>
              <w:rPr>
                <w:rFonts w:eastAsia="Times New Roman" w:cs="Calibri Light"/>
                <w:color w:val="000000"/>
                <w:lang w:eastAsia="fr-FR"/>
              </w:rPr>
            </w:pPr>
          </w:p>
        </w:tc>
        <w:tc>
          <w:tcPr>
            <w:tcW w:w="217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29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r>
      <w:tr w:rsidR="00CD2DCE" w:rsidRPr="00CD2DCE" w:rsidTr="00CD2DCE">
        <w:trPr>
          <w:trHeight w:val="288"/>
        </w:trPr>
        <w:tc>
          <w:tcPr>
            <w:tcW w:w="2410" w:type="dxa"/>
            <w:tcBorders>
              <w:right w:val="single" w:sz="4" w:space="0" w:color="7F7F7F"/>
            </w:tcBorders>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color w:val="000000"/>
                <w:lang w:eastAsia="fr-FR"/>
              </w:rPr>
              <w:t>Cheikh Baye</w:t>
            </w:r>
          </w:p>
        </w:tc>
        <w:tc>
          <w:tcPr>
            <w:tcW w:w="1086" w:type="dxa"/>
            <w:noWrap/>
            <w:hideMark/>
          </w:tcPr>
          <w:p w:rsidR="00A548FA" w:rsidRPr="00CD2DCE" w:rsidRDefault="00A548FA" w:rsidP="00CD2DCE">
            <w:pPr>
              <w:spacing w:after="0" w:line="240" w:lineRule="auto"/>
              <w:rPr>
                <w:rFonts w:eastAsia="Times New Roman" w:cs="Calibri Light"/>
                <w:color w:val="000000"/>
                <w:lang w:eastAsia="fr-FR"/>
              </w:rPr>
            </w:pPr>
          </w:p>
        </w:tc>
        <w:tc>
          <w:tcPr>
            <w:tcW w:w="2179" w:type="dxa"/>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299" w:type="dxa"/>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507" w:type="dxa"/>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A548FA" w:rsidP="00CD2DCE">
            <w:pPr>
              <w:spacing w:after="0" w:line="240" w:lineRule="auto"/>
              <w:rPr>
                <w:rFonts w:eastAsia="Times New Roman" w:cs="Calibri Light"/>
                <w:b/>
                <w:bCs/>
                <w:caps/>
                <w:color w:val="000000"/>
                <w:lang w:eastAsia="fr-FR"/>
              </w:rPr>
            </w:pPr>
            <w:r w:rsidRPr="00CD2DCE">
              <w:rPr>
                <w:rFonts w:eastAsia="Times New Roman" w:cs="Calibri Light"/>
                <w:b/>
                <w:bCs/>
                <w:caps/>
                <w:color w:val="000000"/>
                <w:lang w:eastAsia="fr-FR"/>
              </w:rPr>
              <w:t>Bouzouma</w:t>
            </w:r>
          </w:p>
        </w:tc>
        <w:tc>
          <w:tcPr>
            <w:tcW w:w="1086" w:type="dxa"/>
            <w:shd w:val="clear" w:color="auto" w:fill="F2F2F2"/>
            <w:noWrap/>
            <w:hideMark/>
          </w:tcPr>
          <w:p w:rsidR="00A548FA" w:rsidRPr="00CD2DCE" w:rsidRDefault="00A548FA" w:rsidP="00CD2DCE">
            <w:pPr>
              <w:spacing w:after="0" w:line="240" w:lineRule="auto"/>
              <w:rPr>
                <w:rFonts w:eastAsia="Times New Roman" w:cs="Calibri Light"/>
                <w:color w:val="000000"/>
                <w:lang w:eastAsia="fr-FR"/>
              </w:rPr>
            </w:pPr>
          </w:p>
        </w:tc>
        <w:tc>
          <w:tcPr>
            <w:tcW w:w="217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29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r>
      <w:tr w:rsidR="00CD2DCE" w:rsidRPr="00CD2DCE" w:rsidTr="00CD2DCE">
        <w:trPr>
          <w:trHeight w:val="288"/>
        </w:trPr>
        <w:tc>
          <w:tcPr>
            <w:tcW w:w="2410" w:type="dxa"/>
            <w:tcBorders>
              <w:right w:val="single" w:sz="4" w:space="0" w:color="7F7F7F"/>
            </w:tcBorders>
            <w:noWrap/>
          </w:tcPr>
          <w:p w:rsidR="003E3608" w:rsidRPr="00CD2DCE" w:rsidRDefault="003E3608" w:rsidP="00CD2DCE">
            <w:pPr>
              <w:spacing w:after="0" w:line="240" w:lineRule="auto"/>
              <w:rPr>
                <w:rFonts w:eastAsia="Times New Roman" w:cs="Calibri Light"/>
                <w:b/>
                <w:bCs/>
                <w:caps/>
                <w:color w:val="000000"/>
                <w:lang w:eastAsia="fr-FR"/>
              </w:rPr>
            </w:pPr>
            <w:r w:rsidRPr="00CD2DCE">
              <w:rPr>
                <w:rFonts w:eastAsia="Times New Roman" w:cs="Calibri Light"/>
                <w:b/>
                <w:bCs/>
                <w:caps/>
                <w:color w:val="000000"/>
                <w:lang w:eastAsia="fr-FR"/>
              </w:rPr>
              <w:t>Ejiwen</w:t>
            </w:r>
          </w:p>
        </w:tc>
        <w:tc>
          <w:tcPr>
            <w:tcW w:w="1086" w:type="dxa"/>
            <w:noWrap/>
          </w:tcPr>
          <w:p w:rsidR="003E3608" w:rsidRPr="00CD2DCE" w:rsidRDefault="003E3608" w:rsidP="00CD2DCE">
            <w:pPr>
              <w:spacing w:after="0" w:line="240" w:lineRule="auto"/>
              <w:rPr>
                <w:rFonts w:eastAsia="Times New Roman" w:cs="Calibri Light"/>
                <w:color w:val="000000"/>
                <w:lang w:eastAsia="fr-FR"/>
              </w:rPr>
            </w:pPr>
          </w:p>
        </w:tc>
        <w:tc>
          <w:tcPr>
            <w:tcW w:w="2179" w:type="dxa"/>
            <w:noWrap/>
          </w:tcPr>
          <w:p w:rsidR="003E3608" w:rsidRPr="00CD2DCE" w:rsidRDefault="003E3608" w:rsidP="00CD2DCE">
            <w:pPr>
              <w:spacing w:after="0" w:line="240" w:lineRule="auto"/>
              <w:rPr>
                <w:rFonts w:ascii="Times New Roman" w:eastAsia="Times New Roman" w:hAnsi="Times New Roman" w:cs="Times New Roman"/>
                <w:sz w:val="20"/>
                <w:szCs w:val="20"/>
                <w:lang w:eastAsia="fr-FR"/>
              </w:rPr>
            </w:pPr>
          </w:p>
        </w:tc>
        <w:tc>
          <w:tcPr>
            <w:tcW w:w="1299" w:type="dxa"/>
            <w:noWrap/>
          </w:tcPr>
          <w:p w:rsidR="003E3608" w:rsidRPr="00CD2DCE" w:rsidRDefault="003E3608" w:rsidP="00CD2DCE">
            <w:pPr>
              <w:spacing w:after="0" w:line="240" w:lineRule="auto"/>
              <w:rPr>
                <w:rFonts w:ascii="Times New Roman" w:eastAsia="Times New Roman" w:hAnsi="Times New Roman" w:cs="Times New Roman"/>
                <w:sz w:val="20"/>
                <w:szCs w:val="20"/>
                <w:lang w:eastAsia="fr-FR"/>
              </w:rPr>
            </w:pPr>
          </w:p>
        </w:tc>
        <w:tc>
          <w:tcPr>
            <w:tcW w:w="1507" w:type="dxa"/>
            <w:noWrap/>
          </w:tcPr>
          <w:p w:rsidR="003E3608" w:rsidRPr="00CD2DCE" w:rsidRDefault="003E3608"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r>
      <w:tr w:rsidR="00CD2DCE" w:rsidRPr="00CD2DCE" w:rsidTr="00CD2DCE">
        <w:trPr>
          <w:trHeight w:val="288"/>
        </w:trPr>
        <w:tc>
          <w:tcPr>
            <w:tcW w:w="2410" w:type="dxa"/>
            <w:tcBorders>
              <w:right w:val="single" w:sz="4" w:space="0" w:color="7F7F7F"/>
            </w:tcBorders>
            <w:shd w:val="clear" w:color="auto" w:fill="F2F2F2"/>
            <w:noWrap/>
            <w:hideMark/>
          </w:tcPr>
          <w:p w:rsidR="00A548FA" w:rsidRPr="00CD2DCE" w:rsidRDefault="00D80019" w:rsidP="00CD2DCE">
            <w:pPr>
              <w:spacing w:after="0" w:line="240" w:lineRule="auto"/>
              <w:rPr>
                <w:rFonts w:eastAsia="Times New Roman" w:cs="Calibri Light"/>
                <w:b/>
                <w:bCs/>
                <w:caps/>
                <w:color w:val="000000"/>
                <w:lang w:eastAsia="fr-FR"/>
              </w:rPr>
            </w:pPr>
            <w:r>
              <w:rPr>
                <w:rFonts w:eastAsia="Times New Roman" w:cs="Calibri Light"/>
                <w:b/>
                <w:bCs/>
                <w:caps/>
                <w:color w:val="000000"/>
                <w:lang w:eastAsia="fr-FR"/>
              </w:rPr>
              <w:t>JO gASCOIGNE</w:t>
            </w:r>
            <w:r w:rsidR="00A56A6B" w:rsidRPr="00CD2DCE">
              <w:rPr>
                <w:rFonts w:eastAsia="Times New Roman" w:cs="Calibri Light"/>
                <w:b/>
                <w:bCs/>
                <w:caps/>
                <w:color w:val="000000"/>
                <w:lang w:eastAsia="fr-FR"/>
              </w:rPr>
              <w:t xml:space="preserve"> </w:t>
            </w:r>
          </w:p>
        </w:tc>
        <w:tc>
          <w:tcPr>
            <w:tcW w:w="1086" w:type="dxa"/>
            <w:shd w:val="clear" w:color="auto" w:fill="F2F2F2"/>
            <w:noWrap/>
            <w:hideMark/>
          </w:tcPr>
          <w:p w:rsidR="00A548FA" w:rsidRPr="00CD2DCE" w:rsidRDefault="00A548FA" w:rsidP="00CD2DCE">
            <w:pPr>
              <w:spacing w:after="0" w:line="240" w:lineRule="auto"/>
              <w:rPr>
                <w:rFonts w:eastAsia="Times New Roman" w:cs="Calibri Light"/>
                <w:color w:val="000000"/>
                <w:lang w:eastAsia="fr-FR"/>
              </w:rPr>
            </w:pPr>
          </w:p>
        </w:tc>
        <w:tc>
          <w:tcPr>
            <w:tcW w:w="217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299" w:type="dxa"/>
            <w:shd w:val="clear" w:color="auto" w:fill="F2F2F2"/>
            <w:noWrap/>
            <w:hideMark/>
          </w:tcPr>
          <w:p w:rsidR="00A548FA" w:rsidRPr="00CD2DCE" w:rsidRDefault="00A548FA" w:rsidP="00CD2DCE">
            <w:pPr>
              <w:spacing w:after="0" w:line="240" w:lineRule="auto"/>
              <w:rPr>
                <w:rFonts w:ascii="Times New Roman" w:eastAsia="Times New Roman" w:hAnsi="Times New Roman" w:cs="Times New Roman"/>
                <w:sz w:val="20"/>
                <w:szCs w:val="20"/>
                <w:lang w:eastAsia="fr-FR"/>
              </w:rPr>
            </w:pPr>
          </w:p>
        </w:tc>
        <w:tc>
          <w:tcPr>
            <w:tcW w:w="1507" w:type="dxa"/>
            <w:shd w:val="clear" w:color="auto" w:fill="F2F2F2"/>
            <w:noWrap/>
            <w:hideMark/>
          </w:tcPr>
          <w:p w:rsidR="00A548FA" w:rsidRPr="00CD2DCE" w:rsidRDefault="00A548FA" w:rsidP="00CD2DCE">
            <w:pPr>
              <w:spacing w:after="0" w:line="240" w:lineRule="auto"/>
              <w:jc w:val="center"/>
              <w:rPr>
                <w:rFonts w:ascii="Calibri" w:eastAsia="Times New Roman" w:hAnsi="Calibri" w:cs="Calibri"/>
                <w:color w:val="000000"/>
                <w:sz w:val="20"/>
                <w:szCs w:val="20"/>
                <w:lang w:eastAsia="fr-FR"/>
              </w:rPr>
            </w:pPr>
            <w:r w:rsidRPr="00CD2DCE">
              <w:rPr>
                <w:rFonts w:ascii="Calibri" w:eastAsia="Times New Roman" w:hAnsi="Calibri" w:cs="Calibri"/>
                <w:color w:val="000000"/>
                <w:sz w:val="20"/>
                <w:szCs w:val="20"/>
                <w:lang w:eastAsia="fr-FR"/>
              </w:rPr>
              <w:t>X</w:t>
            </w:r>
          </w:p>
        </w:tc>
      </w:tr>
    </w:tbl>
    <w:p w:rsidR="0056733C" w:rsidRDefault="0056733C">
      <w:pPr>
        <w:spacing w:after="160" w:line="259" w:lineRule="auto"/>
        <w:rPr>
          <w:noProof/>
          <w:lang w:eastAsia="fr-FR"/>
        </w:rPr>
      </w:pPr>
    </w:p>
    <w:p w:rsidR="0056733C" w:rsidRDefault="0056733C">
      <w:pPr>
        <w:spacing w:after="160" w:line="259" w:lineRule="auto"/>
        <w:rPr>
          <w:noProof/>
          <w:lang w:eastAsia="fr-FR"/>
        </w:rPr>
      </w:pPr>
      <w:r>
        <w:rPr>
          <w:noProof/>
          <w:lang w:eastAsia="fr-FR"/>
        </w:rPr>
        <w:br w:type="page"/>
      </w:r>
    </w:p>
    <w:p w:rsidR="0051320A" w:rsidRDefault="00B2270D" w:rsidP="00B2270D">
      <w:pPr>
        <w:pStyle w:val="Heading1"/>
        <w:keepNext/>
        <w:keepLines/>
        <w:numPr>
          <w:ilvl w:val="0"/>
          <w:numId w:val="5"/>
        </w:numPr>
        <w:pBdr>
          <w:bottom w:val="none" w:sz="0" w:space="0" w:color="auto"/>
        </w:pBdr>
        <w:spacing w:before="0" w:line="259" w:lineRule="auto"/>
        <w:rPr>
          <w:rFonts w:eastAsia="Times New Roman" w:cs="Times New Roman"/>
          <w:bCs/>
          <w:caps w:val="0"/>
          <w:position w:val="0"/>
          <w:szCs w:val="26"/>
          <w:lang w:val="fr-WINDIES"/>
        </w:rPr>
      </w:pPr>
      <w:bookmarkStart w:id="15" w:name="_Toc71496177"/>
      <w:r w:rsidRPr="00B2270D">
        <w:rPr>
          <w:rFonts w:eastAsia="Times New Roman" w:cs="Times New Roman"/>
          <w:bCs/>
          <w:caps w:val="0"/>
          <w:position w:val="0"/>
          <w:szCs w:val="26"/>
          <w:lang w:val="fr-WINDIES"/>
        </w:rPr>
        <w:t>Annexe</w:t>
      </w:r>
      <w:r w:rsidR="0051320A">
        <w:rPr>
          <w:rFonts w:eastAsia="Times New Roman" w:cs="Times New Roman"/>
          <w:bCs/>
          <w:caps w:val="0"/>
          <w:position w:val="0"/>
          <w:szCs w:val="26"/>
          <w:lang w:val="fr-WINDIES"/>
        </w:rPr>
        <w:t>s</w:t>
      </w:r>
      <w:bookmarkEnd w:id="15"/>
    </w:p>
    <w:p w:rsidR="00B2270D" w:rsidRDefault="0051320A" w:rsidP="0051320A">
      <w:pPr>
        <w:pStyle w:val="Heading1"/>
        <w:keepNext/>
        <w:keepLines/>
        <w:numPr>
          <w:ilvl w:val="1"/>
          <w:numId w:val="5"/>
        </w:numPr>
        <w:pBdr>
          <w:bottom w:val="none" w:sz="0" w:space="0" w:color="auto"/>
        </w:pBdr>
        <w:spacing w:before="0" w:line="259" w:lineRule="auto"/>
        <w:rPr>
          <w:rFonts w:eastAsia="Times New Roman" w:cs="Times New Roman"/>
          <w:bCs/>
          <w:caps w:val="0"/>
          <w:position w:val="0"/>
          <w:szCs w:val="26"/>
          <w:lang w:val="fr-WINDIES"/>
        </w:rPr>
      </w:pPr>
      <w:bookmarkStart w:id="16" w:name="_Toc71496178"/>
      <w:r>
        <w:rPr>
          <w:rFonts w:eastAsia="Times New Roman" w:cs="Times New Roman"/>
          <w:bCs/>
          <w:caps w:val="0"/>
          <w:position w:val="0"/>
          <w:szCs w:val="26"/>
          <w:lang w:val="fr-WINDIES"/>
        </w:rPr>
        <w:t xml:space="preserve">Annexe </w:t>
      </w:r>
      <w:r w:rsidR="00B2270D" w:rsidRPr="00B2270D">
        <w:rPr>
          <w:rFonts w:eastAsia="Times New Roman" w:cs="Times New Roman"/>
          <w:bCs/>
          <w:caps w:val="0"/>
          <w:position w:val="0"/>
          <w:szCs w:val="26"/>
          <w:lang w:val="fr-WINDIES"/>
        </w:rPr>
        <w:t>1: Elaboration du protocole de collecte des données au niveau des usines de farine</w:t>
      </w:r>
      <w:bookmarkEnd w:id="16"/>
    </w:p>
    <w:p w:rsidR="00B2270D" w:rsidRPr="00B2270D" w:rsidRDefault="00B2270D" w:rsidP="00F42B47">
      <w:pPr>
        <w:jc w:val="both"/>
        <w:rPr>
          <w:lang w:val="fr-WINDIES"/>
        </w:rPr>
      </w:pPr>
      <w:r>
        <w:rPr>
          <w:lang w:val="fr-WINDIES"/>
        </w:rPr>
        <w:t>Le protocole de collecte des données a porté sur l’élaboration des fiches de collecte sur les caractéristiques techniques des usines (capacité de traitement, empli, etc.) et la production journalière par usines de farine,</w:t>
      </w:r>
      <w:r w:rsidR="00F42B47">
        <w:rPr>
          <w:lang w:val="fr-WINDIES"/>
        </w:rPr>
        <w:t xml:space="preserve"> la collecte des données biologiques et la mensuration des espèces débarquées.</w:t>
      </w:r>
    </w:p>
    <w:p w:rsidR="00B2270D" w:rsidRPr="00B2270D" w:rsidRDefault="00B2270D" w:rsidP="00B2270D">
      <w:pPr>
        <w:pStyle w:val="Heading1"/>
        <w:keepNext/>
        <w:keepLines/>
        <w:numPr>
          <w:ilvl w:val="1"/>
          <w:numId w:val="17"/>
        </w:numPr>
        <w:pBdr>
          <w:bottom w:val="none" w:sz="0" w:space="0" w:color="auto"/>
        </w:pBdr>
        <w:spacing w:before="0" w:line="259" w:lineRule="auto"/>
        <w:rPr>
          <w:rFonts w:eastAsia="Times New Roman" w:cs="Times New Roman"/>
          <w:bCs/>
          <w:caps w:val="0"/>
          <w:position w:val="0"/>
          <w:szCs w:val="26"/>
          <w:lang w:val="fr-WINDIES"/>
        </w:rPr>
      </w:pPr>
      <w:bookmarkStart w:id="17" w:name="_Toc71496179"/>
      <w:r>
        <w:rPr>
          <w:rFonts w:eastAsia="Times New Roman" w:cs="Times New Roman"/>
          <w:bCs/>
          <w:caps w:val="0"/>
          <w:position w:val="0"/>
          <w:szCs w:val="26"/>
          <w:lang w:val="fr-WINDIES"/>
        </w:rPr>
        <w:t>Fiche de suivi de la production des</w:t>
      </w:r>
      <w:r w:rsidRPr="00B2270D">
        <w:rPr>
          <w:rFonts w:eastAsia="Times New Roman" w:cs="Times New Roman"/>
          <w:bCs/>
          <w:caps w:val="0"/>
          <w:position w:val="0"/>
          <w:szCs w:val="26"/>
          <w:lang w:val="fr-WINDIES"/>
        </w:rPr>
        <w:t xml:space="preserve"> usines de farine et huile de poisson :</w:t>
      </w:r>
      <w:bookmarkEnd w:id="17"/>
    </w:p>
    <w:p w:rsidR="00B2270D" w:rsidRPr="00B2270D" w:rsidRDefault="00B2270D" w:rsidP="00B2270D">
      <w:pPr>
        <w:jc w:val="both"/>
      </w:pPr>
      <w:r w:rsidRPr="00B2270D">
        <w:t>Il est à rappeler que la transformation en farine et huile de poissons était traditionnellement concentrée sur des espèces peu demandées pour la consommation humaine directe (cas de l'anchois du Pérou) et également sur les captures excédentaires, les rejets de la pêche et les résidus de transformation.  Actuellement, elle cible les espèces directement destinées à la consommation humaine. Dans le cas particulier de la Mauritanie, la farine de poisson est presque entièrement composée de petits pélagiques en général et de sardinelles et obo en particulier, d’où la nécessité de connaître les espèces transformées ainsi que les quantités au niveau des usines. A cet effet, une liste des espèces de petits pélagiques a été définie comme prioritaires s’agissant de : les deux sardinelles, trois chinchards, sardine, maquereau, anchois et l’éthmalose.</w:t>
      </w:r>
    </w:p>
    <w:p w:rsidR="00B2270D" w:rsidRDefault="00B2270D" w:rsidP="00B2270D">
      <w:pPr>
        <w:jc w:val="both"/>
      </w:pPr>
      <w:r w:rsidRPr="00B2270D">
        <w:t>Ces fiches sont déposées aux usines pour collecter ces informations au moins deux fois par semaine, elles doivent être remplies par les usiniers au fur et à mesure.  Ces fiches sont récupérées par les scientifiques à la fin de la semaine afin de faire le bilan de cette activité. Les enquêteurs ont été initiés sur la méthode de collecter les informations et comment r</w:t>
      </w:r>
      <w:r>
        <w:t>emplir les fiches</w:t>
      </w:r>
      <w:r w:rsidRPr="00B2270D">
        <w:t>.</w:t>
      </w:r>
    </w:p>
    <w:p w:rsidR="00B2270D" w:rsidRDefault="00032AE6" w:rsidP="00B2270D">
      <w:pPr>
        <w:jc w:val="both"/>
      </w:pPr>
      <w:r w:rsidRPr="00CD2DCE">
        <w:rPr>
          <w:noProof/>
          <w:sz w:val="18"/>
          <w:szCs w:val="18"/>
          <w:lang w:val="en-GB" w:eastAsia="en-GB"/>
        </w:rPr>
        <w:drawing>
          <wp:inline distT="0" distB="0" distL="0" distR="0">
            <wp:extent cx="5400675" cy="3667125"/>
            <wp:effectExtent l="0" t="0" r="9525" b="9525"/>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3667125"/>
                    </a:xfrm>
                    <a:prstGeom prst="rect">
                      <a:avLst/>
                    </a:prstGeom>
                    <a:noFill/>
                    <a:ln>
                      <a:noFill/>
                    </a:ln>
                  </pic:spPr>
                </pic:pic>
              </a:graphicData>
            </a:graphic>
          </wp:inline>
        </w:drawing>
      </w:r>
    </w:p>
    <w:p w:rsidR="00B2270D" w:rsidRPr="00B2270D" w:rsidRDefault="00B2270D" w:rsidP="00B2270D">
      <w:pPr>
        <w:pStyle w:val="Heading1"/>
        <w:keepNext/>
        <w:keepLines/>
        <w:numPr>
          <w:ilvl w:val="1"/>
          <w:numId w:val="17"/>
        </w:numPr>
        <w:pBdr>
          <w:bottom w:val="none" w:sz="0" w:space="0" w:color="auto"/>
        </w:pBdr>
        <w:spacing w:before="0" w:line="259" w:lineRule="auto"/>
        <w:rPr>
          <w:rFonts w:eastAsia="Times New Roman" w:cs="Times New Roman"/>
          <w:bCs/>
          <w:caps w:val="0"/>
          <w:position w:val="0"/>
          <w:szCs w:val="26"/>
          <w:lang w:val="fr-WINDIES"/>
        </w:rPr>
      </w:pPr>
      <w:bookmarkStart w:id="18" w:name="_Toc71496180"/>
      <w:r w:rsidRPr="00B2270D">
        <w:rPr>
          <w:rFonts w:eastAsia="Times New Roman" w:cs="Times New Roman"/>
          <w:bCs/>
          <w:caps w:val="0"/>
          <w:position w:val="0"/>
          <w:szCs w:val="26"/>
          <w:lang w:val="fr-WINDIES"/>
        </w:rPr>
        <w:lastRenderedPageBreak/>
        <w:t>Fiche de données biologiques :</w:t>
      </w:r>
      <w:bookmarkEnd w:id="18"/>
    </w:p>
    <w:p w:rsidR="00B2270D" w:rsidRDefault="00B2270D" w:rsidP="00B2270D">
      <w:pPr>
        <w:jc w:val="both"/>
      </w:pPr>
      <w:r w:rsidRPr="00B2270D">
        <w:t xml:space="preserve">Les paramètres biologiques à recueillir sont bien définies sur la fiche, ils servent à actualiser et calculer les paramètres de croissance et définir les périodes de pontes ainsi que les zones si possibles pour les principales espèces cibles. La biologie de la plus part de ces espèces est mal connue défaut de données collectées. Il est rare de trouver un cycle complet permettant d’établir une période de reproduction. Le protocole d’échantillon adopté est de prélever un échantillon deux fois par mois avec un nombre de 30 individus chaque fois (voir annex2). Le travail doit se faire immédiatement pour garder la qualité des échantillons. Une équipe est chargée de cette activité pour veiller sur la collecte de toutes les espèces cibles débarquées et que le cycle soit complet.   </w:t>
      </w:r>
    </w:p>
    <w:p w:rsidR="00B2270D" w:rsidRPr="00B2270D" w:rsidRDefault="00032AE6" w:rsidP="00B2270D">
      <w:pPr>
        <w:jc w:val="both"/>
      </w:pPr>
      <w:r w:rsidRPr="00BC3144">
        <w:rPr>
          <w:noProof/>
          <w:lang w:val="en-GB" w:eastAsia="en-GB"/>
        </w:rPr>
        <w:drawing>
          <wp:inline distT="0" distB="0" distL="0" distR="0">
            <wp:extent cx="5400675" cy="4124325"/>
            <wp:effectExtent l="0" t="0" r="9525" b="9525"/>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4124325"/>
                    </a:xfrm>
                    <a:prstGeom prst="rect">
                      <a:avLst/>
                    </a:prstGeom>
                    <a:noFill/>
                    <a:ln>
                      <a:noFill/>
                    </a:ln>
                  </pic:spPr>
                </pic:pic>
              </a:graphicData>
            </a:graphic>
          </wp:inline>
        </w:drawing>
      </w:r>
    </w:p>
    <w:p w:rsidR="00B2270D" w:rsidRPr="00B2270D" w:rsidRDefault="00B2270D" w:rsidP="00B2270D">
      <w:pPr>
        <w:pStyle w:val="Heading1"/>
        <w:keepNext/>
        <w:keepLines/>
        <w:numPr>
          <w:ilvl w:val="1"/>
          <w:numId w:val="17"/>
        </w:numPr>
        <w:pBdr>
          <w:bottom w:val="none" w:sz="0" w:space="0" w:color="auto"/>
        </w:pBdr>
        <w:spacing w:before="0" w:line="259" w:lineRule="auto"/>
        <w:rPr>
          <w:rFonts w:eastAsia="Times New Roman" w:cs="Times New Roman"/>
          <w:bCs/>
          <w:caps w:val="0"/>
          <w:position w:val="0"/>
          <w:szCs w:val="26"/>
          <w:lang w:val="fr-WINDIES"/>
        </w:rPr>
      </w:pPr>
      <w:bookmarkStart w:id="19" w:name="_Toc71496181"/>
      <w:r w:rsidRPr="00B2270D">
        <w:rPr>
          <w:rFonts w:eastAsia="Times New Roman" w:cs="Times New Roman"/>
          <w:bCs/>
          <w:caps w:val="0"/>
          <w:position w:val="0"/>
          <w:szCs w:val="26"/>
          <w:lang w:val="fr-WINDIES"/>
        </w:rPr>
        <w:t>Fiche de mensuration :</w:t>
      </w:r>
      <w:bookmarkEnd w:id="19"/>
    </w:p>
    <w:p w:rsidR="00B2270D" w:rsidRPr="00B2270D" w:rsidRDefault="00B2270D" w:rsidP="00B2270D">
      <w:pPr>
        <w:jc w:val="both"/>
      </w:pPr>
      <w:r w:rsidRPr="00B2270D">
        <w:t xml:space="preserve">Un échantillon aléatoire de 50 Kg doit être prélevé au niveau des usines pour faire la mensuration afin de connaître les tailles les plus capturées ainsi que le poids moyen d’un individu. L’échantillon doit se faire d’une façon plus exhaustive au moins un échantillon par mille tonnes (voir annexe 3). Ces informations très utiles pour alimenter les modèles des évaluations faites au cours du groupe COPACE. </w:t>
      </w:r>
    </w:p>
    <w:p w:rsidR="00B2270D" w:rsidRDefault="00B2270D" w:rsidP="00B2270D">
      <w:pPr>
        <w:jc w:val="both"/>
      </w:pPr>
      <w:r w:rsidRPr="00B2270D">
        <w:t xml:space="preserve">De même, des échantillons sont prévus au moment de débarquement dans l’objectif de compléter l’information sur les espèces capturées et non transformées sachant qu’actuellement la transformation de certaines des espèces est interdite par la réglementation mauritanienne comme le cas de sardinellaaurita.   </w:t>
      </w:r>
    </w:p>
    <w:p w:rsidR="006D7BF8" w:rsidRDefault="006D7BF8" w:rsidP="00B2270D">
      <w:pPr>
        <w:jc w:val="both"/>
      </w:pPr>
    </w:p>
    <w:p w:rsidR="006D7BF8" w:rsidRDefault="006D7BF8" w:rsidP="00B2270D">
      <w:pPr>
        <w:jc w:val="both"/>
      </w:pPr>
    </w:p>
    <w:p w:rsidR="006D7BF8" w:rsidRDefault="006D7BF8" w:rsidP="00B2270D">
      <w:pPr>
        <w:jc w:val="both"/>
      </w:pPr>
    </w:p>
    <w:p w:rsidR="006D7BF8" w:rsidRDefault="006D7BF8" w:rsidP="00B2270D">
      <w:pPr>
        <w:jc w:val="both"/>
      </w:pPr>
    </w:p>
    <w:p w:rsidR="006D7BF8" w:rsidRDefault="006D7BF8" w:rsidP="00B2270D">
      <w:pPr>
        <w:jc w:val="both"/>
      </w:pPr>
    </w:p>
    <w:p w:rsidR="006D7BF8" w:rsidRPr="00B2270D" w:rsidRDefault="006D7BF8" w:rsidP="00B2270D">
      <w:pPr>
        <w:jc w:val="both"/>
      </w:pPr>
    </w:p>
    <w:tbl>
      <w:tblPr>
        <w:tblW w:w="9401" w:type="dxa"/>
        <w:tblInd w:w="85" w:type="dxa"/>
        <w:tblCellMar>
          <w:left w:w="70" w:type="dxa"/>
          <w:right w:w="70" w:type="dxa"/>
        </w:tblCellMar>
        <w:tblLook w:val="04A0" w:firstRow="1" w:lastRow="0" w:firstColumn="1" w:lastColumn="0" w:noHBand="0" w:noVBand="1"/>
      </w:tblPr>
      <w:tblGrid>
        <w:gridCol w:w="1428"/>
        <w:gridCol w:w="1478"/>
        <w:gridCol w:w="1478"/>
        <w:gridCol w:w="1201"/>
        <w:gridCol w:w="1201"/>
        <w:gridCol w:w="1201"/>
        <w:gridCol w:w="1201"/>
        <w:gridCol w:w="213"/>
      </w:tblGrid>
      <w:tr w:rsidR="00B2270D" w:rsidRPr="00CD2DCE" w:rsidTr="00B2270D">
        <w:trPr>
          <w:trHeight w:val="300"/>
        </w:trPr>
        <w:tc>
          <w:tcPr>
            <w:tcW w:w="142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4"/>
                <w:szCs w:val="24"/>
                <w:lang w:eastAsia="fr-FR"/>
              </w:rPr>
            </w:pPr>
          </w:p>
        </w:tc>
        <w:tc>
          <w:tcPr>
            <w:tcW w:w="147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47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r>
      <w:tr w:rsidR="00B2270D" w:rsidRPr="00CD2DCE" w:rsidTr="00B2270D">
        <w:trPr>
          <w:trHeight w:val="324"/>
        </w:trPr>
        <w:tc>
          <w:tcPr>
            <w:tcW w:w="1428" w:type="dxa"/>
            <w:tcBorders>
              <w:top w:val="double" w:sz="6" w:space="0" w:color="auto"/>
              <w:left w:val="double" w:sz="6" w:space="0" w:color="auto"/>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color w:val="000000"/>
                <w:lang w:eastAsia="fr-FR"/>
              </w:rPr>
            </w:pPr>
            <w:r w:rsidRPr="0008796A">
              <w:rPr>
                <w:rFonts w:ascii="Times New Roman" w:eastAsia="Times New Roman" w:hAnsi="Times New Roman" w:cs="Times New Roman"/>
                <w:color w:val="000000"/>
                <w:lang w:eastAsia="fr-FR"/>
              </w:rPr>
              <w:t> </w:t>
            </w:r>
          </w:p>
        </w:tc>
        <w:tc>
          <w:tcPr>
            <w:tcW w:w="7973" w:type="dxa"/>
            <w:gridSpan w:val="7"/>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bl>
            <w:tblPr>
              <w:tblW w:w="0" w:type="auto"/>
              <w:tblCellSpacing w:w="0" w:type="dxa"/>
              <w:tblCellMar>
                <w:left w:w="0" w:type="dxa"/>
                <w:right w:w="0" w:type="dxa"/>
              </w:tblCellMar>
              <w:tblLook w:val="04A0" w:firstRow="1" w:lastRow="0" w:firstColumn="1" w:lastColumn="0" w:noHBand="0" w:noVBand="1"/>
            </w:tblPr>
            <w:tblGrid>
              <w:gridCol w:w="7660"/>
            </w:tblGrid>
            <w:tr w:rsidR="00B2270D" w:rsidRPr="00CD2DCE" w:rsidTr="00B2270D">
              <w:trPr>
                <w:trHeight w:val="324"/>
                <w:tblCellSpacing w:w="0" w:type="dxa"/>
              </w:trPr>
              <w:tc>
                <w:tcPr>
                  <w:tcW w:w="7660" w:type="dxa"/>
                  <w:tcBorders>
                    <w:top w:val="double" w:sz="6" w:space="0" w:color="auto"/>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color w:val="000000"/>
                      <w:sz w:val="24"/>
                      <w:szCs w:val="24"/>
                      <w:lang w:eastAsia="fr-FR"/>
                    </w:rPr>
                  </w:pPr>
                  <w:r w:rsidRPr="0008796A">
                    <w:rPr>
                      <w:rFonts w:ascii="Times New Roman" w:eastAsia="Times New Roman" w:hAnsi="Times New Roman" w:cs="Times New Roman"/>
                      <w:color w:val="000000"/>
                      <w:sz w:val="24"/>
                      <w:szCs w:val="24"/>
                      <w:lang w:eastAsia="fr-FR"/>
                    </w:rPr>
                    <w:t xml:space="preserve">Institut Mauritanien  des  Recherches Océanographiques et des Pêches </w:t>
                  </w:r>
                </w:p>
              </w:tc>
            </w:tr>
          </w:tbl>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312"/>
        </w:trPr>
        <w:tc>
          <w:tcPr>
            <w:tcW w:w="9401" w:type="dxa"/>
            <w:gridSpan w:val="8"/>
            <w:tcBorders>
              <w:top w:val="nil"/>
              <w:left w:val="double" w:sz="6" w:space="0" w:color="auto"/>
              <w:bottom w:val="nil"/>
              <w:right w:val="nil"/>
            </w:tcBorders>
            <w:shd w:val="clear" w:color="000000" w:fill="C4BC96"/>
            <w:noWrap/>
            <w:vAlign w:val="bottom"/>
            <w:hideMark/>
          </w:tcPr>
          <w:p w:rsidR="00B2270D" w:rsidRPr="0008796A" w:rsidRDefault="00B2270D" w:rsidP="00B2270D">
            <w:pPr>
              <w:spacing w:after="0" w:line="240" w:lineRule="auto"/>
              <w:jc w:val="center"/>
              <w:rPr>
                <w:rFonts w:ascii="Times New Roman" w:eastAsia="Times New Roman" w:hAnsi="Times New Roman" w:cs="Times New Roman"/>
                <w:b/>
                <w:bCs/>
                <w:color w:val="000000"/>
                <w:sz w:val="24"/>
                <w:szCs w:val="24"/>
                <w:lang w:eastAsia="fr-FR"/>
              </w:rPr>
            </w:pPr>
            <w:r w:rsidRPr="0008796A">
              <w:rPr>
                <w:rFonts w:ascii="Times New Roman" w:eastAsia="Times New Roman" w:hAnsi="Times New Roman" w:cs="Times New Roman"/>
                <w:b/>
                <w:bCs/>
                <w:color w:val="000000"/>
                <w:sz w:val="24"/>
                <w:szCs w:val="24"/>
                <w:lang w:eastAsia="fr-FR"/>
              </w:rPr>
              <w:t>Fiche de données biologiques</w:t>
            </w:r>
          </w:p>
        </w:tc>
      </w:tr>
      <w:tr w:rsidR="00B2270D" w:rsidRPr="00CD2DCE" w:rsidTr="00B2270D">
        <w:trPr>
          <w:trHeight w:val="288"/>
        </w:trPr>
        <w:tc>
          <w:tcPr>
            <w:tcW w:w="4384" w:type="dxa"/>
            <w:gridSpan w:val="3"/>
            <w:tcBorders>
              <w:top w:val="nil"/>
              <w:left w:val="double" w:sz="6" w:space="0" w:color="auto"/>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r w:rsidRPr="0008796A">
              <w:rPr>
                <w:rFonts w:ascii="Times New Roman" w:eastAsia="Times New Roman" w:hAnsi="Times New Roman" w:cs="Times New Roman"/>
                <w:b/>
                <w:bCs/>
                <w:color w:val="000000"/>
                <w:sz w:val="20"/>
                <w:szCs w:val="20"/>
                <w:lang w:eastAsia="fr-FR"/>
              </w:rPr>
              <w:t>Nom de la société :____________________________ /</w:t>
            </w:r>
          </w:p>
        </w:tc>
        <w:tc>
          <w:tcPr>
            <w:tcW w:w="4804" w:type="dxa"/>
            <w:gridSpan w:val="4"/>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r w:rsidRPr="0008796A">
              <w:rPr>
                <w:rFonts w:ascii="Times New Roman" w:eastAsia="Times New Roman" w:hAnsi="Times New Roman" w:cs="Times New Roman"/>
                <w:b/>
                <w:bCs/>
                <w:color w:val="000000"/>
                <w:sz w:val="20"/>
                <w:szCs w:val="20"/>
                <w:lang w:eastAsia="fr-FR"/>
              </w:rPr>
              <w:t>Enquêteur : ___________________</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p>
        </w:tc>
      </w:tr>
      <w:tr w:rsidR="00B2270D" w:rsidRPr="00CD2DCE" w:rsidTr="00B2270D">
        <w:trPr>
          <w:trHeight w:val="288"/>
        </w:trPr>
        <w:tc>
          <w:tcPr>
            <w:tcW w:w="4384" w:type="dxa"/>
            <w:gridSpan w:val="3"/>
            <w:tcBorders>
              <w:top w:val="nil"/>
              <w:left w:val="double" w:sz="6" w:space="0" w:color="auto"/>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r w:rsidRPr="0008796A">
              <w:rPr>
                <w:rFonts w:ascii="Times New Roman" w:eastAsia="Times New Roman" w:hAnsi="Times New Roman" w:cs="Times New Roman"/>
                <w:b/>
                <w:bCs/>
                <w:color w:val="000000"/>
                <w:sz w:val="20"/>
                <w:szCs w:val="20"/>
                <w:lang w:eastAsia="fr-FR"/>
              </w:rPr>
              <w:t>Date__________________________/</w:t>
            </w:r>
          </w:p>
        </w:tc>
        <w:tc>
          <w:tcPr>
            <w:tcW w:w="4804" w:type="dxa"/>
            <w:gridSpan w:val="4"/>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r w:rsidRPr="0008796A">
              <w:rPr>
                <w:rFonts w:ascii="Times New Roman" w:eastAsia="Times New Roman" w:hAnsi="Times New Roman" w:cs="Times New Roman"/>
                <w:b/>
                <w:bCs/>
                <w:color w:val="000000"/>
                <w:sz w:val="20"/>
                <w:szCs w:val="20"/>
                <w:lang w:eastAsia="fr-FR"/>
              </w:rPr>
              <w:t>Espèce :________________________/</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b/>
                <w:bCs/>
                <w:color w:val="000000"/>
                <w:sz w:val="20"/>
                <w:szCs w:val="20"/>
                <w:lang w:eastAsia="fr-FR"/>
              </w:rPr>
            </w:pPr>
          </w:p>
        </w:tc>
      </w:tr>
      <w:tr w:rsidR="00B2270D" w:rsidRPr="00CD2DCE" w:rsidTr="00B2270D">
        <w:trPr>
          <w:trHeight w:val="288"/>
        </w:trPr>
        <w:tc>
          <w:tcPr>
            <w:tcW w:w="142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Espèce:</w:t>
            </w:r>
          </w:p>
        </w:tc>
        <w:tc>
          <w:tcPr>
            <w:tcW w:w="147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478"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Espèce</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nil"/>
              <w:bottom w:val="nil"/>
              <w:right w:val="nil"/>
            </w:tcBorders>
            <w:shd w:val="clear" w:color="auto" w:fill="auto"/>
            <w:noWrap/>
            <w:vAlign w:val="bottom"/>
            <w:hideMark/>
          </w:tcPr>
          <w:p w:rsidR="00B2270D" w:rsidRPr="0008796A" w:rsidRDefault="00032AE6" w:rsidP="00B2270D">
            <w:pPr>
              <w:spacing w:after="0" w:line="240" w:lineRule="auto"/>
              <w:rPr>
                <w:rFonts w:ascii="Times New Roman" w:eastAsia="Times New Roman" w:hAnsi="Times New Roman" w:cs="Times New Roman"/>
                <w:sz w:val="20"/>
                <w:szCs w:val="20"/>
                <w:lang w:eastAsia="fr-FR"/>
              </w:rPr>
            </w:pPr>
            <w:r>
              <w:rPr>
                <w:rFonts w:ascii="Calibri" w:eastAsia="Times New Roman" w:hAnsi="Calibri" w:cs="Calibri"/>
                <w:noProof/>
                <w:color w:val="000000"/>
                <w:lang w:val="en-GB" w:eastAsia="en-GB"/>
              </w:rPr>
              <w:drawing>
                <wp:anchor distT="0" distB="0" distL="114300" distR="114300" simplePos="0" relativeHeight="251657216" behindDoc="0" locked="0" layoutInCell="1" allowOverlap="1">
                  <wp:simplePos x="0" y="0"/>
                  <wp:positionH relativeFrom="column">
                    <wp:posOffset>85725</wp:posOffset>
                  </wp:positionH>
                  <wp:positionV relativeFrom="paragraph">
                    <wp:posOffset>-646430</wp:posOffset>
                  </wp:positionV>
                  <wp:extent cx="708660" cy="533400"/>
                  <wp:effectExtent l="0" t="0" r="0" b="0"/>
                  <wp:wrapNone/>
                  <wp:docPr id="16" name="Image 3" descr="logo IM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IMROP"/>
                          <pic:cNvPicPr>
                            <a:picLocks noChangeAspect="1" noChangeArrowheads="1"/>
                          </pic:cNvPicPr>
                        </pic:nvPicPr>
                        <pic:blipFill>
                          <a:blip r:embed="rId24" cstate="print">
                            <a:extLst>
                              <a:ext uri="{28A0092B-C50C-407E-A947-70E740481C1C}">
                                <a14:useLocalDpi xmlns:a14="http://schemas.microsoft.com/office/drawing/2010/main" val="0"/>
                              </a:ext>
                            </a:extLst>
                          </a:blip>
                          <a:srcRect l="20004" t="17789" r="18469" b="20677"/>
                          <a:stretch>
                            <a:fillRect/>
                          </a:stretch>
                        </pic:blipFill>
                        <pic:spPr bwMode="auto">
                          <a:xfrm>
                            <a:off x="0" y="0"/>
                            <a:ext cx="7086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Times New Roman" w:eastAsia="Times New Roman" w:hAnsi="Times New Roman" w:cs="Times New Roman"/>
                <w:sz w:val="20"/>
                <w:szCs w:val="20"/>
                <w:lang w:eastAsia="fr-FR"/>
              </w:rPr>
            </w:pPr>
          </w:p>
        </w:tc>
      </w:tr>
      <w:tr w:rsidR="00B2270D" w:rsidRPr="00CD2DCE" w:rsidTr="00B2270D">
        <w:trPr>
          <w:trHeight w:val="288"/>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Classes (LT)</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Fréquences</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Nombre total</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Classes (LT)</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Fréquences</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Nombre total</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1</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2</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3</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4</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5</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6</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7</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8</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9</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jc w:val="right"/>
              <w:rPr>
                <w:rFonts w:ascii="Calibri" w:eastAsia="Times New Roman" w:hAnsi="Calibri" w:cs="Calibri"/>
                <w:color w:val="000000"/>
                <w:lang w:eastAsia="fr-FR"/>
              </w:rPr>
            </w:pPr>
            <w:r w:rsidRPr="0008796A">
              <w:rPr>
                <w:rFonts w:ascii="Calibri" w:eastAsia="Times New Roman" w:hAnsi="Calibri" w:cs="Calibri"/>
                <w:color w:val="000000"/>
                <w:lang w:eastAsia="fr-FR"/>
              </w:rPr>
              <w:t>0</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Nombre d'individus</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Nombre d'individus</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r w:rsidR="00B2270D" w:rsidRPr="00CD2DCE" w:rsidTr="00B2270D">
        <w:trPr>
          <w:trHeight w:val="288"/>
        </w:trPr>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Poids de l'échantillon</w:t>
            </w:r>
          </w:p>
        </w:tc>
        <w:tc>
          <w:tcPr>
            <w:tcW w:w="1478"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1201"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c>
          <w:tcPr>
            <w:tcW w:w="2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Poids de l'échantillon</w:t>
            </w:r>
          </w:p>
        </w:tc>
        <w:tc>
          <w:tcPr>
            <w:tcW w:w="1201" w:type="dxa"/>
            <w:tcBorders>
              <w:top w:val="nil"/>
              <w:left w:val="nil"/>
              <w:bottom w:val="single" w:sz="4" w:space="0" w:color="auto"/>
              <w:right w:val="single" w:sz="4" w:space="0" w:color="auto"/>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r w:rsidRPr="0008796A">
              <w:rPr>
                <w:rFonts w:ascii="Calibri" w:eastAsia="Times New Roman" w:hAnsi="Calibri" w:cs="Calibri"/>
                <w:color w:val="000000"/>
                <w:lang w:eastAsia="fr-FR"/>
              </w:rPr>
              <w:t> </w:t>
            </w:r>
          </w:p>
        </w:tc>
        <w:tc>
          <w:tcPr>
            <w:tcW w:w="213" w:type="dxa"/>
            <w:tcBorders>
              <w:top w:val="nil"/>
              <w:left w:val="nil"/>
              <w:bottom w:val="nil"/>
              <w:right w:val="nil"/>
            </w:tcBorders>
            <w:shd w:val="clear" w:color="auto" w:fill="auto"/>
            <w:noWrap/>
            <w:vAlign w:val="bottom"/>
            <w:hideMark/>
          </w:tcPr>
          <w:p w:rsidR="00B2270D" w:rsidRPr="0008796A" w:rsidRDefault="00B2270D" w:rsidP="00B2270D">
            <w:pPr>
              <w:spacing w:after="0" w:line="240" w:lineRule="auto"/>
              <w:rPr>
                <w:rFonts w:ascii="Calibri" w:eastAsia="Times New Roman" w:hAnsi="Calibri" w:cs="Calibri"/>
                <w:color w:val="000000"/>
                <w:lang w:eastAsia="fr-FR"/>
              </w:rPr>
            </w:pPr>
          </w:p>
        </w:tc>
      </w:tr>
    </w:tbl>
    <w:p w:rsidR="00B2270D" w:rsidRDefault="00B2270D" w:rsidP="00B2270D">
      <w:pPr>
        <w:jc w:val="both"/>
        <w:rPr>
          <w:sz w:val="28"/>
          <w:szCs w:val="28"/>
        </w:rPr>
      </w:pPr>
    </w:p>
    <w:p w:rsidR="00B2270D" w:rsidRPr="006909AB" w:rsidRDefault="00B2270D" w:rsidP="00B2270D">
      <w:pPr>
        <w:jc w:val="both"/>
        <w:rPr>
          <w:sz w:val="28"/>
          <w:szCs w:val="28"/>
        </w:rPr>
      </w:pPr>
    </w:p>
    <w:p w:rsidR="00B2270D" w:rsidRPr="0051320A" w:rsidRDefault="004D71D9" w:rsidP="0051320A">
      <w:pPr>
        <w:pStyle w:val="Heading1"/>
        <w:keepNext/>
        <w:keepLines/>
        <w:numPr>
          <w:ilvl w:val="1"/>
          <w:numId w:val="5"/>
        </w:numPr>
        <w:pBdr>
          <w:bottom w:val="none" w:sz="0" w:space="0" w:color="auto"/>
        </w:pBdr>
        <w:spacing w:before="0" w:line="259" w:lineRule="auto"/>
        <w:rPr>
          <w:rFonts w:eastAsia="Times New Roman" w:cs="Times New Roman"/>
          <w:bCs/>
          <w:caps w:val="0"/>
          <w:position w:val="0"/>
          <w:szCs w:val="26"/>
          <w:lang w:val="fr-WINDIES"/>
        </w:rPr>
      </w:pPr>
      <w:bookmarkStart w:id="20" w:name="_Toc71496182"/>
      <w:r w:rsidRPr="0051320A">
        <w:rPr>
          <w:rFonts w:eastAsia="Times New Roman" w:cs="Times New Roman"/>
          <w:bCs/>
          <w:caps w:val="0"/>
          <w:position w:val="0"/>
          <w:szCs w:val="26"/>
          <w:lang w:val="fr-WINDIES"/>
        </w:rPr>
        <w:t xml:space="preserve">Annexe </w:t>
      </w:r>
      <w:r w:rsidR="0051320A">
        <w:rPr>
          <w:rFonts w:eastAsia="Times New Roman" w:cs="Times New Roman"/>
          <w:bCs/>
          <w:caps w:val="0"/>
          <w:position w:val="0"/>
          <w:szCs w:val="26"/>
          <w:lang w:val="fr-WINDIES"/>
        </w:rPr>
        <w:t>2</w:t>
      </w:r>
      <w:r w:rsidRPr="0051320A">
        <w:rPr>
          <w:rFonts w:eastAsia="Times New Roman" w:cs="Times New Roman"/>
          <w:bCs/>
          <w:caps w:val="0"/>
          <w:position w:val="0"/>
          <w:szCs w:val="26"/>
          <w:lang w:val="fr-WINDIES"/>
        </w:rPr>
        <w:t xml:space="preserve"> liste de bateaux, pirogues et usines échantillonnées :</w:t>
      </w:r>
      <w:bookmarkEnd w:id="20"/>
    </w:p>
    <w:p w:rsidR="004D71D9" w:rsidRDefault="004D71D9" w:rsidP="00E75A78">
      <w:pPr>
        <w:pStyle w:val="ReferencesandacknowledgmentsTxt"/>
        <w:ind w:left="0" w:firstLine="0"/>
        <w:rPr>
          <w:lang w:val="fr-WINDIES"/>
        </w:rPr>
      </w:pPr>
    </w:p>
    <w:tbl>
      <w:tblPr>
        <w:tblW w:w="6208" w:type="dxa"/>
        <w:tblLook w:val="04A0" w:firstRow="1" w:lastRow="0" w:firstColumn="1" w:lastColumn="0" w:noHBand="0" w:noVBand="1"/>
      </w:tblPr>
      <w:tblGrid>
        <w:gridCol w:w="2596"/>
        <w:gridCol w:w="1216"/>
        <w:gridCol w:w="2396"/>
      </w:tblGrid>
      <w:tr w:rsidR="004D71D9" w:rsidRPr="005D5D49" w:rsidTr="005D5D49">
        <w:trPr>
          <w:trHeight w:val="300"/>
        </w:trPr>
        <w:tc>
          <w:tcPr>
            <w:tcW w:w="2596" w:type="dxa"/>
            <w:tcBorders>
              <w:bottom w:val="single" w:sz="4" w:space="0" w:color="7F7F7F"/>
              <w:right w:val="nil"/>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Bateaux</w:t>
            </w:r>
          </w:p>
        </w:tc>
        <w:tc>
          <w:tcPr>
            <w:tcW w:w="1216" w:type="dxa"/>
            <w:tcBorders>
              <w:bottom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Pirogue</w:t>
            </w:r>
            <w:r w:rsidR="0051320A" w:rsidRPr="005D5D49">
              <w:rPr>
                <w:rFonts w:ascii="Calibri" w:eastAsia="Times New Roman" w:hAnsi="Calibri" w:cs="Times New Roman"/>
                <w:b/>
                <w:bCs/>
                <w:caps/>
                <w:color w:val="000000"/>
                <w:lang w:eastAsia="fr-FR"/>
              </w:rPr>
              <w:t>s</w:t>
            </w:r>
          </w:p>
        </w:tc>
        <w:tc>
          <w:tcPr>
            <w:tcW w:w="2396" w:type="dxa"/>
            <w:tcBorders>
              <w:bottom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Société</w:t>
            </w:r>
            <w:r w:rsidR="0051320A" w:rsidRPr="005D5D49">
              <w:rPr>
                <w:rFonts w:ascii="Calibri" w:eastAsia="Times New Roman" w:hAnsi="Calibri" w:cs="Times New Roman"/>
                <w:b/>
                <w:bCs/>
                <w:caps/>
                <w:color w:val="000000"/>
                <w:lang w:eastAsia="fr-FR"/>
              </w:rPr>
              <w:t>s</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AGUN BAZAKAN</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 1714GN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ACOMAT/SARL</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AKGUN KARLESLER</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SL0024GN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ACOR/SARL</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CALISKNAR</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SL0443GN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AFCO-2</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CAP BLAN</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SL0458GN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AKUA GROUP-3</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CINAR GULARI-1</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SL1079</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BOUNTIYA</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CINAR IBRAHIMA</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SL1303GN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C-F-H-P</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CINAR OGULARI</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SL1343</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CONTINENTA SEA FOOD</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CINARO GULLARIZ</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SL1449GN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CONTINENTAL</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DAVUD KIYAK</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SL1677GN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FSHP</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FALIH BAZERAN</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SL1852</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GOLDEN RIM SARL</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H.A.A OGULARI-3</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SL1852GN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MAURITANIA PELAGIC</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HABIBIN ENVER</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SL1925</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MCF</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HABIBIN YAVUZ</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SL2021</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MFM</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IBRAHIM MUHAMED KIYAK</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SL2142GN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MMOA PECHE</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ILHAN YILMAZ</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SL2350GN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OCEAN PELAGIGUE</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ILHAN YILMAZ 1</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SL2375</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OMAURCI</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ILHAN YILMAZ-3</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SL2567GN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RIMFISH MEAL</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KAKMAZLAR BALIKULIK</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SL2878GN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SEN RICE</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KALIS KANLAR</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SL3003</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SEPH</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KAVARAMIS MAHMUT</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SL3408GN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S-F-H-P SARL</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MAADGULL ARI-3</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SL3611GN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 xml:space="preserve">ZAK FISHING SARL </w:t>
            </w: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MAHMUT</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SL3712GN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ALFA SREVICE</w:t>
            </w: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MAMULI ISMAIL</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SL376GN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MARGO MAHMUT</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SL3857GN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MIMATI ORHAN</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SL3918GN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MIREM-1</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SL4006GN</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NACATT REIS-2</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SL4312GN</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OCEAN MARIA</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SL5549</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ORHAN REIS-2</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ST 10044</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PAN HAA HOGULARI-3</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PP0504SL</w:t>
            </w: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TRODER HAV</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r w:rsidRPr="005D5D49">
              <w:rPr>
                <w:rFonts w:ascii="Calibri" w:eastAsia="Times New Roman" w:hAnsi="Calibri" w:cs="Times New Roman"/>
                <w:color w:val="000000"/>
                <w:lang w:eastAsia="fr-FR"/>
              </w:rPr>
              <w:t>PP1677SL</w:t>
            </w: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TURK YILMAZ</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F2F2F2"/>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TURK YILMAZ-1</w:t>
            </w:r>
          </w:p>
        </w:tc>
        <w:tc>
          <w:tcPr>
            <w:tcW w:w="121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c>
          <w:tcPr>
            <w:tcW w:w="2396" w:type="dxa"/>
            <w:shd w:val="clear" w:color="auto" w:fill="F2F2F2"/>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r w:rsidR="004D71D9" w:rsidRPr="005D5D49" w:rsidTr="005D5D49">
        <w:trPr>
          <w:trHeight w:val="300"/>
        </w:trPr>
        <w:tc>
          <w:tcPr>
            <w:tcW w:w="2596" w:type="dxa"/>
            <w:tcBorders>
              <w:right w:val="single" w:sz="4" w:space="0" w:color="7F7F7F"/>
            </w:tcBorders>
            <w:shd w:val="clear" w:color="auto" w:fill="auto"/>
            <w:noWrap/>
            <w:hideMark/>
          </w:tcPr>
          <w:p w:rsidR="004D71D9" w:rsidRPr="005D5D49" w:rsidRDefault="004D71D9" w:rsidP="005D5D49">
            <w:pPr>
              <w:spacing w:after="0" w:line="240" w:lineRule="auto"/>
              <w:rPr>
                <w:rFonts w:ascii="Calibri" w:eastAsia="Times New Roman" w:hAnsi="Calibri" w:cs="Times New Roman"/>
                <w:b/>
                <w:bCs/>
                <w:caps/>
                <w:color w:val="000000"/>
                <w:lang w:eastAsia="fr-FR"/>
              </w:rPr>
            </w:pPr>
            <w:r w:rsidRPr="005D5D49">
              <w:rPr>
                <w:rFonts w:ascii="Calibri" w:eastAsia="Times New Roman" w:hAnsi="Calibri" w:cs="Times New Roman"/>
                <w:b/>
                <w:bCs/>
                <w:caps/>
                <w:color w:val="000000"/>
                <w:lang w:eastAsia="fr-FR"/>
              </w:rPr>
              <w:t>TURKMENLER</w:t>
            </w:r>
          </w:p>
        </w:tc>
        <w:tc>
          <w:tcPr>
            <w:tcW w:w="121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c>
          <w:tcPr>
            <w:tcW w:w="2396" w:type="dxa"/>
            <w:shd w:val="clear" w:color="auto" w:fill="auto"/>
            <w:noWrap/>
            <w:hideMark/>
          </w:tcPr>
          <w:p w:rsidR="004D71D9" w:rsidRPr="005D5D49" w:rsidRDefault="004D71D9" w:rsidP="005D5D49">
            <w:pPr>
              <w:spacing w:after="0" w:line="240" w:lineRule="auto"/>
              <w:rPr>
                <w:rFonts w:ascii="Calibri" w:eastAsia="Times New Roman" w:hAnsi="Calibri" w:cs="Times New Roman"/>
                <w:color w:val="000000"/>
                <w:lang w:eastAsia="fr-FR"/>
              </w:rPr>
            </w:pPr>
          </w:p>
        </w:tc>
      </w:tr>
    </w:tbl>
    <w:p w:rsidR="004D71D9" w:rsidRDefault="004D71D9" w:rsidP="00E75A78">
      <w:pPr>
        <w:pStyle w:val="ReferencesandacknowledgmentsTxt"/>
        <w:ind w:left="0" w:firstLine="0"/>
        <w:rPr>
          <w:lang w:val="fr-WINDIES"/>
        </w:rPr>
      </w:pPr>
    </w:p>
    <w:p w:rsidR="004D71D9" w:rsidRDefault="004D71D9" w:rsidP="00E75A78">
      <w:pPr>
        <w:pStyle w:val="ReferencesandacknowledgmentsTxt"/>
        <w:ind w:left="0" w:firstLine="0"/>
        <w:rPr>
          <w:lang w:val="fr-WINDIES"/>
        </w:rPr>
      </w:pPr>
    </w:p>
    <w:p w:rsidR="004D71D9" w:rsidRDefault="004D71D9" w:rsidP="00E75A78">
      <w:pPr>
        <w:pStyle w:val="ReferencesandacknowledgmentsTxt"/>
        <w:ind w:left="0" w:firstLine="0"/>
        <w:rPr>
          <w:lang w:val="fr-WINDIES"/>
        </w:rPr>
      </w:pPr>
    </w:p>
    <w:p w:rsidR="004D71D9" w:rsidRDefault="004D71D9" w:rsidP="00E75A78">
      <w:pPr>
        <w:pStyle w:val="ReferencesandacknowledgmentsTxt"/>
        <w:ind w:left="0" w:firstLine="0"/>
        <w:rPr>
          <w:lang w:val="fr-WINDIES"/>
        </w:rPr>
      </w:pPr>
      <w:bookmarkStart w:id="21" w:name="_GoBack"/>
      <w:bookmarkEnd w:id="21"/>
    </w:p>
    <w:p w:rsidR="004D71D9" w:rsidRDefault="004D71D9" w:rsidP="00E75A78">
      <w:pPr>
        <w:pStyle w:val="ReferencesandacknowledgmentsTxt"/>
        <w:ind w:left="0" w:firstLine="0"/>
        <w:rPr>
          <w:lang w:val="fr-WINDIES"/>
        </w:rPr>
      </w:pPr>
    </w:p>
    <w:p w:rsidR="004D71D9" w:rsidRPr="000F3997" w:rsidRDefault="0051320A" w:rsidP="000F3997">
      <w:pPr>
        <w:pStyle w:val="Heading1"/>
        <w:keepNext/>
        <w:keepLines/>
        <w:numPr>
          <w:ilvl w:val="1"/>
          <w:numId w:val="5"/>
        </w:numPr>
        <w:pBdr>
          <w:bottom w:val="none" w:sz="0" w:space="0" w:color="auto"/>
        </w:pBdr>
        <w:spacing w:before="0" w:line="259" w:lineRule="auto"/>
        <w:rPr>
          <w:rFonts w:eastAsia="Times New Roman" w:cs="Times New Roman"/>
          <w:bCs/>
          <w:caps w:val="0"/>
          <w:position w:val="0"/>
          <w:szCs w:val="26"/>
          <w:lang w:val="fr-WINDIES"/>
        </w:rPr>
      </w:pPr>
      <w:r w:rsidRPr="000F3997">
        <w:rPr>
          <w:rFonts w:eastAsia="Times New Roman" w:cs="Times New Roman"/>
          <w:bCs/>
          <w:caps w:val="0"/>
          <w:position w:val="0"/>
          <w:szCs w:val="26"/>
          <w:lang w:val="fr-WINDIES"/>
        </w:rPr>
        <w:t>Liste des usines de farine fournie des données pour le FIP</w:t>
      </w:r>
    </w:p>
    <w:tbl>
      <w:tblPr>
        <w:tblW w:w="5000" w:type="pct"/>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2081"/>
        <w:gridCol w:w="764"/>
        <w:gridCol w:w="748"/>
        <w:gridCol w:w="749"/>
        <w:gridCol w:w="618"/>
        <w:gridCol w:w="409"/>
        <w:gridCol w:w="749"/>
        <w:gridCol w:w="618"/>
        <w:gridCol w:w="617"/>
        <w:gridCol w:w="620"/>
        <w:gridCol w:w="747"/>
      </w:tblGrid>
      <w:tr w:rsidR="000F3997" w:rsidRPr="007E3A3A" w:rsidTr="00F662FB">
        <w:trPr>
          <w:trHeight w:val="300"/>
        </w:trPr>
        <w:tc>
          <w:tcPr>
            <w:tcW w:w="1067" w:type="pct"/>
            <w:tcBorders>
              <w:top w:val="nil"/>
              <w:bottom w:val="single" w:sz="12" w:space="0" w:color="8EAADB"/>
              <w:right w:val="nil"/>
            </w:tcBorders>
            <w:shd w:val="clear" w:color="auto" w:fill="FFFFFF"/>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p>
        </w:tc>
        <w:tc>
          <w:tcPr>
            <w:tcW w:w="454"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J</w:t>
            </w:r>
          </w:p>
        </w:tc>
        <w:tc>
          <w:tcPr>
            <w:tcW w:w="445"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F</w:t>
            </w:r>
          </w:p>
        </w:tc>
        <w:tc>
          <w:tcPr>
            <w:tcW w:w="445" w:type="pct"/>
            <w:tcBorders>
              <w:top w:val="nil"/>
              <w:left w:val="nil"/>
              <w:bottom w:val="single" w:sz="12" w:space="0" w:color="8EAADB"/>
              <w:right w:val="nil"/>
            </w:tcBorders>
            <w:shd w:val="clear" w:color="auto" w:fill="FFFFFF"/>
            <w:noWrap/>
            <w:hideMark/>
          </w:tcPr>
          <w:p w:rsidR="000F3997" w:rsidRPr="00F662FB" w:rsidRDefault="000F3997" w:rsidP="00F662FB">
            <w:pPr>
              <w:tabs>
                <w:tab w:val="left" w:pos="180"/>
                <w:tab w:val="center" w:pos="269"/>
              </w:tabs>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b/>
              <w:t>M</w:t>
            </w:r>
          </w:p>
        </w:tc>
        <w:tc>
          <w:tcPr>
            <w:tcW w:w="370"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w:t>
            </w:r>
          </w:p>
        </w:tc>
        <w:tc>
          <w:tcPr>
            <w:tcW w:w="220"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M</w:t>
            </w:r>
          </w:p>
        </w:tc>
        <w:tc>
          <w:tcPr>
            <w:tcW w:w="445"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J</w:t>
            </w:r>
          </w:p>
        </w:tc>
        <w:tc>
          <w:tcPr>
            <w:tcW w:w="370"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center"/>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J</w:t>
            </w:r>
          </w:p>
        </w:tc>
        <w:tc>
          <w:tcPr>
            <w:tcW w:w="369"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right"/>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w:t>
            </w:r>
          </w:p>
        </w:tc>
        <w:tc>
          <w:tcPr>
            <w:tcW w:w="371" w:type="pct"/>
            <w:tcBorders>
              <w:top w:val="nil"/>
              <w:left w:val="nil"/>
              <w:bottom w:val="single" w:sz="12" w:space="0" w:color="8EAADB"/>
              <w:right w:val="nil"/>
            </w:tcBorders>
            <w:shd w:val="clear" w:color="auto" w:fill="FFFFFF"/>
            <w:noWrap/>
            <w:hideMark/>
          </w:tcPr>
          <w:p w:rsidR="000F3997" w:rsidRPr="00F662FB" w:rsidRDefault="000F3997" w:rsidP="00F662FB">
            <w:pPr>
              <w:spacing w:after="0" w:line="240" w:lineRule="auto"/>
              <w:jc w:val="right"/>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w:t>
            </w:r>
          </w:p>
        </w:tc>
        <w:tc>
          <w:tcPr>
            <w:tcW w:w="444" w:type="pct"/>
            <w:tcBorders>
              <w:top w:val="nil"/>
              <w:left w:val="nil"/>
              <w:bottom w:val="single" w:sz="12" w:space="0" w:color="8EAADB"/>
            </w:tcBorders>
            <w:shd w:val="clear" w:color="auto" w:fill="FFFFFF"/>
            <w:noWrap/>
            <w:hideMark/>
          </w:tcPr>
          <w:p w:rsidR="000F3997" w:rsidRPr="00F662FB" w:rsidRDefault="000F3997" w:rsidP="00F662FB">
            <w:pPr>
              <w:spacing w:after="0" w:line="240" w:lineRule="auto"/>
              <w:jc w:val="right"/>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O</w:t>
            </w: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AFRICA PROTEINE</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ATLANTIC PROTEINE</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ATYFEN SARL</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AUSSIE GROUP</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M.M.O.A</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MAHEL TURK</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MCF</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OMAURCI sa</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RIM FISH MEAL</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SFHP SARL</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D9E2F3"/>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SICOP</w:t>
            </w:r>
          </w:p>
        </w:tc>
        <w:tc>
          <w:tcPr>
            <w:tcW w:w="45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22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69"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D9E2F3"/>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r w:rsidR="000F3997" w:rsidRPr="007E3A3A" w:rsidTr="00F662FB">
        <w:trPr>
          <w:trHeight w:val="300"/>
        </w:trPr>
        <w:tc>
          <w:tcPr>
            <w:tcW w:w="1067" w:type="pct"/>
            <w:shd w:val="clear" w:color="auto" w:fill="auto"/>
            <w:noWrap/>
            <w:hideMark/>
          </w:tcPr>
          <w:p w:rsidR="000F3997" w:rsidRPr="00F662FB" w:rsidRDefault="000F3997" w:rsidP="00F662FB">
            <w:pPr>
              <w:spacing w:after="0" w:line="240" w:lineRule="auto"/>
              <w:rPr>
                <w:rFonts w:ascii="Calibri" w:eastAsia="Times New Roman" w:hAnsi="Calibri" w:cs="Times New Roman"/>
                <w:b/>
                <w:bCs/>
                <w:color w:val="000000"/>
                <w:lang w:eastAsia="fr-FR"/>
              </w:rPr>
            </w:pPr>
            <w:r w:rsidRPr="00F662FB">
              <w:rPr>
                <w:rFonts w:ascii="Calibri" w:eastAsia="Times New Roman" w:hAnsi="Calibri" w:cs="Times New Roman"/>
                <w:b/>
                <w:bCs/>
                <w:color w:val="000000"/>
                <w:lang w:eastAsia="fr-FR"/>
              </w:rPr>
              <w:t>XIANGHI-SHUN</w:t>
            </w:r>
          </w:p>
        </w:tc>
        <w:tc>
          <w:tcPr>
            <w:tcW w:w="45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r w:rsidRPr="00F662FB">
              <w:rPr>
                <w:rFonts w:ascii="Calibri" w:eastAsia="Times New Roman" w:hAnsi="Calibri" w:cs="Times New Roman"/>
                <w:color w:val="000000"/>
                <w:lang w:eastAsia="fr-FR"/>
              </w:rPr>
              <w:t>v</w:t>
            </w: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22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5"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0"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69"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371"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c>
          <w:tcPr>
            <w:tcW w:w="444" w:type="pct"/>
            <w:shd w:val="clear" w:color="auto" w:fill="auto"/>
            <w:noWrap/>
            <w:hideMark/>
          </w:tcPr>
          <w:p w:rsidR="000F3997" w:rsidRPr="00F662FB" w:rsidRDefault="000F3997" w:rsidP="00F662FB">
            <w:pPr>
              <w:spacing w:after="0" w:line="240" w:lineRule="auto"/>
              <w:jc w:val="center"/>
              <w:rPr>
                <w:rFonts w:ascii="Calibri" w:eastAsia="Times New Roman" w:hAnsi="Calibri" w:cs="Times New Roman"/>
                <w:color w:val="000000"/>
                <w:lang w:eastAsia="fr-FR"/>
              </w:rPr>
            </w:pPr>
          </w:p>
        </w:tc>
      </w:tr>
    </w:tbl>
    <w:p w:rsidR="004D71D9" w:rsidRDefault="004D71D9" w:rsidP="00E75A78">
      <w:pPr>
        <w:pStyle w:val="ReferencesandacknowledgmentsTxt"/>
        <w:ind w:left="0" w:firstLine="0"/>
        <w:rPr>
          <w:lang w:val="fr-WINDIES"/>
        </w:rPr>
      </w:pPr>
    </w:p>
    <w:p w:rsidR="00081C28" w:rsidRDefault="00081C28" w:rsidP="00E75A78">
      <w:pPr>
        <w:pStyle w:val="ReferencesandacknowledgmentsTxt"/>
        <w:ind w:left="0" w:firstLine="0"/>
        <w:rPr>
          <w:lang w:val="fr-WINDIES"/>
        </w:rPr>
      </w:pPr>
    </w:p>
    <w:p w:rsidR="00081C28" w:rsidRPr="00B5592A" w:rsidRDefault="00081C28" w:rsidP="00E75A78">
      <w:pPr>
        <w:pStyle w:val="ReferencesandacknowledgmentsTxt"/>
        <w:ind w:left="0" w:firstLine="0"/>
        <w:rPr>
          <w:lang w:val="fr-WINDIES"/>
        </w:rPr>
      </w:pPr>
    </w:p>
    <w:sectPr w:rsidR="00081C28" w:rsidRPr="00B5592A" w:rsidSect="00B40C7D">
      <w:headerReference w:type="even" r:id="rId25"/>
      <w:headerReference w:type="default" r:id="rId26"/>
      <w:footerReference w:type="even" r:id="rId27"/>
      <w:footerReference w:type="default" r:id="rId28"/>
      <w:headerReference w:type="first" r:id="rId29"/>
      <w:pgSz w:w="11906" w:h="16838" w:code="9"/>
      <w:pgMar w:top="1440" w:right="1701"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95F" w:rsidRDefault="00CD595F" w:rsidP="006B3AF3">
      <w:pPr>
        <w:spacing w:after="0" w:line="240" w:lineRule="auto"/>
      </w:pPr>
      <w:r>
        <w:separator/>
      </w:r>
    </w:p>
  </w:endnote>
  <w:endnote w:type="continuationSeparator" w:id="0">
    <w:p w:rsidR="00CD595F" w:rsidRDefault="00CD595F" w:rsidP="006B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Corpo CS)">
    <w:altName w:val="Arial"/>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UI">
    <w:altName w:val="Arial"/>
    <w:charset w:val="00"/>
    <w:family w:val="swiss"/>
    <w:pitch w:val="variable"/>
    <w:sig w:usb0="E00022FF" w:usb1="C000205B" w:usb2="00000009" w:usb3="00000000" w:csb0="000001DF" w:csb1="00000000"/>
  </w:font>
  <w:font w:name="CenturyGothic,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A" w:rsidRDefault="00032AE6">
    <w:r w:rsidRPr="00D036E3">
      <w:rPr>
        <w:rFonts w:ascii="Calibri" w:hAnsi="Calibri" w:cs="Segoe UI"/>
        <w:b/>
        <w:noProof/>
        <w:color w:val="5192C9"/>
        <w:lang w:val="en-GB" w:eastAsia="en-GB"/>
      </w:rPr>
      <mc:AlternateContent>
        <mc:Choice Requires="wps">
          <w:drawing>
            <wp:anchor distT="0" distB="0" distL="114300" distR="114300" simplePos="0" relativeHeight="251657728" behindDoc="0" locked="0" layoutInCell="1" allowOverlap="1">
              <wp:simplePos x="0" y="0"/>
              <wp:positionH relativeFrom="column">
                <wp:posOffset>-1095375</wp:posOffset>
              </wp:positionH>
              <wp:positionV relativeFrom="page">
                <wp:posOffset>10183495</wp:posOffset>
              </wp:positionV>
              <wp:extent cx="7609840" cy="50355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09840" cy="503555"/>
                      </a:xfrm>
                      <a:prstGeom prst="rect">
                        <a:avLst/>
                      </a:prstGeom>
                      <a:solidFill>
                        <a:srgbClr val="ECF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37A" w:rsidRPr="002E289D" w:rsidRDefault="0027637A" w:rsidP="007D71C1">
                          <w:pPr>
                            <w:spacing w:before="160" w:after="80"/>
                            <w:ind w:left="454" w:right="454"/>
                            <w:jc w:val="center"/>
                            <w:rPr>
                              <w:rFonts w:ascii="Georgia" w:hAnsi="Georgia"/>
                              <w:color w:val="5192C9"/>
                            </w:rPr>
                          </w:pPr>
                          <w:r w:rsidRPr="002E289D">
                            <w:rPr>
                              <w:rFonts w:ascii="Calibri" w:hAnsi="Calibri"/>
                              <w:color w:val="5192C9"/>
                            </w:rPr>
                            <w:t>Page</w:t>
                          </w:r>
                          <w:r w:rsidRPr="002E289D">
                            <w:rPr>
                              <w:rFonts w:ascii="Georgia" w:hAnsi="Georgia"/>
                              <w:b/>
                              <w:bCs/>
                              <w:i/>
                              <w:iCs/>
                              <w:color w:val="5192C9"/>
                            </w:rPr>
                            <w:fldChar w:fldCharType="begin"/>
                          </w:r>
                          <w:r w:rsidRPr="002E289D">
                            <w:rPr>
                              <w:rFonts w:ascii="Georgia" w:hAnsi="Georgia"/>
                              <w:b/>
                              <w:bCs/>
                              <w:i/>
                              <w:iCs/>
                              <w:color w:val="5192C9"/>
                            </w:rPr>
                            <w:instrText xml:space="preserve"> PAGE  \* Arabic  \* MERGEFORMAT </w:instrText>
                          </w:r>
                          <w:r w:rsidRPr="002E289D">
                            <w:rPr>
                              <w:rFonts w:ascii="Georgia" w:hAnsi="Georgia"/>
                              <w:b/>
                              <w:bCs/>
                              <w:i/>
                              <w:iCs/>
                              <w:color w:val="5192C9"/>
                            </w:rPr>
                            <w:fldChar w:fldCharType="separate"/>
                          </w:r>
                          <w:r w:rsidRPr="00383D3F">
                            <w:rPr>
                              <w:rFonts w:ascii="Georgia" w:hAnsi="Georgia"/>
                              <w:b/>
                              <w:bCs/>
                              <w:noProof/>
                              <w:color w:val="5192C9"/>
                            </w:rPr>
                            <w:t>4</w:t>
                          </w:r>
                          <w:r w:rsidRPr="002E289D">
                            <w:rPr>
                              <w:rFonts w:ascii="Georgia" w:hAnsi="Georgia"/>
                              <w:b/>
                              <w:bCs/>
                              <w:i/>
                              <w:iCs/>
                              <w:color w:val="5192C9"/>
                            </w:rPr>
                            <w:fldChar w:fldCharType="end"/>
                          </w:r>
                          <w:r w:rsidRPr="002E289D">
                            <w:rPr>
                              <w:rFonts w:ascii="Calibri" w:hAnsi="Calibri"/>
                              <w:color w:val="5192C9"/>
                            </w:rPr>
                            <w:t xml:space="preserve">of </w:t>
                          </w:r>
                          <w:r w:rsidRPr="002E289D">
                            <w:rPr>
                              <w:rFonts w:ascii="Georgia" w:hAnsi="Georgia"/>
                              <w:color w:val="5192C9"/>
                            </w:rPr>
                            <w:fldChar w:fldCharType="begin"/>
                          </w:r>
                          <w:r w:rsidRPr="002E289D">
                            <w:rPr>
                              <w:rFonts w:ascii="Georgia" w:hAnsi="Georgia"/>
                              <w:color w:val="5192C9"/>
                            </w:rPr>
                            <w:instrText xml:space="preserve"> NUMPAGES  \* Arabic  \* MERGEFORMAT </w:instrText>
                          </w:r>
                          <w:r w:rsidRPr="002E289D">
                            <w:rPr>
                              <w:rFonts w:ascii="Georgia" w:hAnsi="Georgia"/>
                              <w:color w:val="5192C9"/>
                            </w:rPr>
                            <w:fldChar w:fldCharType="separate"/>
                          </w:r>
                          <w:r>
                            <w:rPr>
                              <w:rFonts w:ascii="Georgia" w:hAnsi="Georgia"/>
                              <w:noProof/>
                              <w:color w:val="5192C9"/>
                            </w:rPr>
                            <w:t>4</w:t>
                          </w:r>
                          <w:r w:rsidRPr="002E289D">
                            <w:rPr>
                              <w:rFonts w:ascii="Georgia" w:hAnsi="Georgia"/>
                              <w:color w:val="5192C9"/>
                            </w:rPr>
                            <w:fldChar w:fldCharType="end"/>
                          </w:r>
                        </w:p>
                        <w:p w:rsidR="0027637A" w:rsidRDefault="0027637A" w:rsidP="007D71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margin-left:-86.25pt;margin-top:801.85pt;width:599.2pt;height:39.6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" fillcolor="#ecf6ff" stroked="f" strokeweight="1pt">
              <v:path arrowok="t"/>
              <v:textbox>
                <w:txbxContent>
                  <w:p w:rsidR="0027637A" w:rsidRPr="002E289D" w:rsidRDefault="0027637A" w:rsidP="007D71C1">
                    <w:pPr>
                      <w:spacing w:before="160" w:after="80"/>
                      <w:ind w:left="454" w:right="454"/>
                      <w:jc w:val="center"/>
                      <w:rPr>
                        <w:rFonts w:ascii="Georgia" w:hAnsi="Georgia"/>
                        <w:color w:val="5192C9"/>
                      </w:rPr>
                    </w:pPr>
                    <w:r w:rsidRPr="002E289D">
                      <w:rPr>
                        <w:rFonts w:ascii="Calibri" w:hAnsi="Calibri"/>
                        <w:color w:val="5192C9"/>
                      </w:rPr>
                      <w:t>Page</w:t>
                    </w:r>
                    <w:r w:rsidRPr="002E289D">
                      <w:rPr>
                        <w:rFonts w:ascii="Georgia" w:hAnsi="Georgia"/>
                        <w:b/>
                        <w:bCs/>
                        <w:i/>
                        <w:iCs/>
                        <w:color w:val="5192C9"/>
                      </w:rPr>
                      <w:fldChar w:fldCharType="begin"/>
                    </w:r>
                    <w:r w:rsidRPr="002E289D">
                      <w:rPr>
                        <w:rFonts w:ascii="Georgia" w:hAnsi="Georgia"/>
                        <w:b/>
                        <w:bCs/>
                        <w:i/>
                        <w:iCs/>
                        <w:color w:val="5192C9"/>
                      </w:rPr>
                      <w:instrText xml:space="preserve"> PAGE  \* Arabic  \* MERGEFORMAT </w:instrText>
                    </w:r>
                    <w:r w:rsidRPr="002E289D">
                      <w:rPr>
                        <w:rFonts w:ascii="Georgia" w:hAnsi="Georgia"/>
                        <w:b/>
                        <w:bCs/>
                        <w:i/>
                        <w:iCs/>
                        <w:color w:val="5192C9"/>
                      </w:rPr>
                      <w:fldChar w:fldCharType="separate"/>
                    </w:r>
                    <w:r w:rsidRPr="00383D3F">
                      <w:rPr>
                        <w:rFonts w:ascii="Georgia" w:hAnsi="Georgia"/>
                        <w:b/>
                        <w:bCs/>
                        <w:noProof/>
                        <w:color w:val="5192C9"/>
                      </w:rPr>
                      <w:t>4</w:t>
                    </w:r>
                    <w:r w:rsidRPr="002E289D">
                      <w:rPr>
                        <w:rFonts w:ascii="Georgia" w:hAnsi="Georgia"/>
                        <w:b/>
                        <w:bCs/>
                        <w:i/>
                        <w:iCs/>
                        <w:color w:val="5192C9"/>
                      </w:rPr>
                      <w:fldChar w:fldCharType="end"/>
                    </w:r>
                    <w:r w:rsidRPr="002E289D">
                      <w:rPr>
                        <w:rFonts w:ascii="Calibri" w:hAnsi="Calibri"/>
                        <w:color w:val="5192C9"/>
                      </w:rPr>
                      <w:t xml:space="preserve">of </w:t>
                    </w:r>
                    <w:r w:rsidRPr="002E289D">
                      <w:rPr>
                        <w:rFonts w:ascii="Georgia" w:hAnsi="Georgia"/>
                        <w:color w:val="5192C9"/>
                      </w:rPr>
                      <w:fldChar w:fldCharType="begin"/>
                    </w:r>
                    <w:r w:rsidRPr="002E289D">
                      <w:rPr>
                        <w:rFonts w:ascii="Georgia" w:hAnsi="Georgia"/>
                        <w:color w:val="5192C9"/>
                      </w:rPr>
                      <w:instrText xml:space="preserve"> NUMPAGES  \* Arabic  \* MERGEFORMAT </w:instrText>
                    </w:r>
                    <w:r w:rsidRPr="002E289D">
                      <w:rPr>
                        <w:rFonts w:ascii="Georgia" w:hAnsi="Georgia"/>
                        <w:color w:val="5192C9"/>
                      </w:rPr>
                      <w:fldChar w:fldCharType="separate"/>
                    </w:r>
                    <w:r>
                      <w:rPr>
                        <w:rFonts w:ascii="Georgia" w:hAnsi="Georgia"/>
                        <w:noProof/>
                        <w:color w:val="5192C9"/>
                      </w:rPr>
                      <w:t>4</w:t>
                    </w:r>
                    <w:r w:rsidRPr="002E289D">
                      <w:rPr>
                        <w:rFonts w:ascii="Georgia" w:hAnsi="Georgia"/>
                        <w:color w:val="5192C9"/>
                      </w:rPr>
                      <w:fldChar w:fldCharType="end"/>
                    </w:r>
                  </w:p>
                  <w:p w:rsidR="0027637A" w:rsidRDefault="0027637A" w:rsidP="007D71C1"/>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A" w:rsidRDefault="00032AE6" w:rsidP="00D17DA3">
    <w:pPr>
      <w:tabs>
        <w:tab w:val="left" w:pos="4888"/>
      </w:tabs>
    </w:pPr>
    <w:r w:rsidRPr="00D036E3">
      <w:rPr>
        <w:rFonts w:ascii="Calibri" w:hAnsi="Calibri" w:cs="Segoe UI"/>
        <w:b/>
        <w:noProof/>
        <w:color w:val="5192C9"/>
        <w:lang w:val="en-GB" w:eastAsia="en-GB"/>
      </w:rPr>
      <mc:AlternateContent>
        <mc:Choice Requires="wps">
          <w:drawing>
            <wp:anchor distT="0" distB="0" distL="114300" distR="114300" simplePos="0" relativeHeight="251658752" behindDoc="0" locked="0" layoutInCell="1" allowOverlap="1">
              <wp:simplePos x="0" y="0"/>
              <wp:positionH relativeFrom="column">
                <wp:posOffset>-1066165</wp:posOffset>
              </wp:positionH>
              <wp:positionV relativeFrom="page">
                <wp:posOffset>10111740</wp:posOffset>
              </wp:positionV>
              <wp:extent cx="7596505" cy="575945"/>
              <wp:effectExtent l="0" t="0" r="4445"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96505" cy="575945"/>
                      </a:xfrm>
                      <a:prstGeom prst="rect">
                        <a:avLst/>
                      </a:prstGeom>
                      <a:solidFill>
                        <a:srgbClr val="ECF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37A" w:rsidRPr="002E289D" w:rsidRDefault="0027637A" w:rsidP="00D17DA3">
                          <w:pPr>
                            <w:spacing w:before="160" w:after="80"/>
                            <w:ind w:left="454" w:right="454"/>
                            <w:jc w:val="center"/>
                            <w:rPr>
                              <w:rFonts w:ascii="Georgia" w:hAnsi="Georgia"/>
                              <w:color w:val="5192C9"/>
                            </w:rPr>
                          </w:pPr>
                          <w:r w:rsidRPr="002E289D">
                            <w:rPr>
                              <w:rFonts w:ascii="Calibri" w:hAnsi="Calibri"/>
                              <w:color w:val="5192C9"/>
                            </w:rPr>
                            <w:t>Page</w:t>
                          </w:r>
                          <w:r w:rsidRPr="002E289D">
                            <w:rPr>
                              <w:rFonts w:ascii="Georgia" w:hAnsi="Georgia"/>
                              <w:b/>
                              <w:bCs/>
                              <w:i/>
                              <w:iCs/>
                              <w:color w:val="5192C9"/>
                            </w:rPr>
                            <w:fldChar w:fldCharType="begin"/>
                          </w:r>
                          <w:r w:rsidRPr="002E289D">
                            <w:rPr>
                              <w:rFonts w:ascii="Georgia" w:hAnsi="Georgia"/>
                              <w:b/>
                              <w:bCs/>
                              <w:i/>
                              <w:iCs/>
                              <w:color w:val="5192C9"/>
                            </w:rPr>
                            <w:instrText xml:space="preserve"> PAGE  \* Arabic  \* MERGEFORMAT </w:instrText>
                          </w:r>
                          <w:r w:rsidRPr="002E289D">
                            <w:rPr>
                              <w:rFonts w:ascii="Georgia" w:hAnsi="Georgia"/>
                              <w:b/>
                              <w:bCs/>
                              <w:i/>
                              <w:iCs/>
                              <w:color w:val="5192C9"/>
                            </w:rPr>
                            <w:fldChar w:fldCharType="separate"/>
                          </w:r>
                          <w:r w:rsidR="00032AE6" w:rsidRPr="00032AE6">
                            <w:rPr>
                              <w:rFonts w:ascii="Georgia" w:hAnsi="Georgia"/>
                              <w:b/>
                              <w:bCs/>
                              <w:noProof/>
                              <w:color w:val="5192C9"/>
                            </w:rPr>
                            <w:t>19</w:t>
                          </w:r>
                          <w:r w:rsidRPr="002E289D">
                            <w:rPr>
                              <w:rFonts w:ascii="Georgia" w:hAnsi="Georgia"/>
                              <w:b/>
                              <w:bCs/>
                              <w:i/>
                              <w:iCs/>
                              <w:color w:val="5192C9"/>
                            </w:rPr>
                            <w:fldChar w:fldCharType="end"/>
                          </w:r>
                          <w:r>
                            <w:rPr>
                              <w:rFonts w:ascii="Calibri" w:hAnsi="Calibri"/>
                              <w:color w:val="5192C9"/>
                            </w:rPr>
                            <w:t>de</w:t>
                          </w:r>
                          <w:r w:rsidRPr="002E289D">
                            <w:rPr>
                              <w:rFonts w:ascii="Georgia" w:hAnsi="Georgia"/>
                              <w:color w:val="5192C9"/>
                            </w:rPr>
                            <w:fldChar w:fldCharType="begin"/>
                          </w:r>
                          <w:r w:rsidRPr="002E289D">
                            <w:rPr>
                              <w:rFonts w:ascii="Georgia" w:hAnsi="Georgia"/>
                              <w:color w:val="5192C9"/>
                            </w:rPr>
                            <w:instrText xml:space="preserve"> NUMPAGES  \* Arabic  \* MERGEFORMAT </w:instrText>
                          </w:r>
                          <w:r w:rsidRPr="002E289D">
                            <w:rPr>
                              <w:rFonts w:ascii="Georgia" w:hAnsi="Georgia"/>
                              <w:color w:val="5192C9"/>
                            </w:rPr>
                            <w:fldChar w:fldCharType="separate"/>
                          </w:r>
                          <w:r w:rsidR="00032AE6">
                            <w:rPr>
                              <w:rFonts w:ascii="Georgia" w:hAnsi="Georgia"/>
                              <w:noProof/>
                              <w:color w:val="5192C9"/>
                            </w:rPr>
                            <w:t>21</w:t>
                          </w:r>
                          <w:r w:rsidRPr="002E289D">
                            <w:rPr>
                              <w:rFonts w:ascii="Georgia" w:hAnsi="Georgia"/>
                              <w:color w:val="5192C9"/>
                            </w:rPr>
                            <w:fldChar w:fldCharType="end"/>
                          </w:r>
                        </w:p>
                        <w:p w:rsidR="0027637A" w:rsidRDefault="0027637A" w:rsidP="00D17D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83.95pt;margin-top:796.2pt;width:598.15pt;height:45.3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" fillcolor="#ecf6ff" stroked="f" strokeweight="1pt">
              <v:path arrowok="t"/>
              <v:textbox>
                <w:txbxContent>
                  <w:p w:rsidR="0027637A" w:rsidRPr="002E289D" w:rsidRDefault="0027637A" w:rsidP="00D17DA3">
                    <w:pPr>
                      <w:spacing w:before="160" w:after="80"/>
                      <w:ind w:left="454" w:right="454"/>
                      <w:jc w:val="center"/>
                      <w:rPr>
                        <w:rFonts w:ascii="Georgia" w:hAnsi="Georgia"/>
                        <w:color w:val="5192C9"/>
                      </w:rPr>
                    </w:pPr>
                    <w:r w:rsidRPr="002E289D">
                      <w:rPr>
                        <w:rFonts w:ascii="Calibri" w:hAnsi="Calibri"/>
                        <w:color w:val="5192C9"/>
                      </w:rPr>
                      <w:t>Page</w:t>
                    </w:r>
                    <w:r w:rsidRPr="002E289D">
                      <w:rPr>
                        <w:rFonts w:ascii="Georgia" w:hAnsi="Georgia"/>
                        <w:b/>
                        <w:bCs/>
                        <w:i/>
                        <w:iCs/>
                        <w:color w:val="5192C9"/>
                      </w:rPr>
                      <w:fldChar w:fldCharType="begin"/>
                    </w:r>
                    <w:r w:rsidRPr="002E289D">
                      <w:rPr>
                        <w:rFonts w:ascii="Georgia" w:hAnsi="Georgia"/>
                        <w:b/>
                        <w:bCs/>
                        <w:i/>
                        <w:iCs/>
                        <w:color w:val="5192C9"/>
                      </w:rPr>
                      <w:instrText xml:space="preserve"> PAGE  \* Arabic  \* MERGEFORMAT </w:instrText>
                    </w:r>
                    <w:r w:rsidRPr="002E289D">
                      <w:rPr>
                        <w:rFonts w:ascii="Georgia" w:hAnsi="Georgia"/>
                        <w:b/>
                        <w:bCs/>
                        <w:i/>
                        <w:iCs/>
                        <w:color w:val="5192C9"/>
                      </w:rPr>
                      <w:fldChar w:fldCharType="separate"/>
                    </w:r>
                    <w:r w:rsidR="00032AE6" w:rsidRPr="00032AE6">
                      <w:rPr>
                        <w:rFonts w:ascii="Georgia" w:hAnsi="Georgia"/>
                        <w:b/>
                        <w:bCs/>
                        <w:noProof/>
                        <w:color w:val="5192C9"/>
                      </w:rPr>
                      <w:t>19</w:t>
                    </w:r>
                    <w:r w:rsidRPr="002E289D">
                      <w:rPr>
                        <w:rFonts w:ascii="Georgia" w:hAnsi="Georgia"/>
                        <w:b/>
                        <w:bCs/>
                        <w:i/>
                        <w:iCs/>
                        <w:color w:val="5192C9"/>
                      </w:rPr>
                      <w:fldChar w:fldCharType="end"/>
                    </w:r>
                    <w:r>
                      <w:rPr>
                        <w:rFonts w:ascii="Calibri" w:hAnsi="Calibri"/>
                        <w:color w:val="5192C9"/>
                      </w:rPr>
                      <w:t>de</w:t>
                    </w:r>
                    <w:r w:rsidRPr="002E289D">
                      <w:rPr>
                        <w:rFonts w:ascii="Georgia" w:hAnsi="Georgia"/>
                        <w:color w:val="5192C9"/>
                      </w:rPr>
                      <w:fldChar w:fldCharType="begin"/>
                    </w:r>
                    <w:r w:rsidRPr="002E289D">
                      <w:rPr>
                        <w:rFonts w:ascii="Georgia" w:hAnsi="Georgia"/>
                        <w:color w:val="5192C9"/>
                      </w:rPr>
                      <w:instrText xml:space="preserve"> NUMPAGES  \* Arabic  \* MERGEFORMAT </w:instrText>
                    </w:r>
                    <w:r w:rsidRPr="002E289D">
                      <w:rPr>
                        <w:rFonts w:ascii="Georgia" w:hAnsi="Georgia"/>
                        <w:color w:val="5192C9"/>
                      </w:rPr>
                      <w:fldChar w:fldCharType="separate"/>
                    </w:r>
                    <w:r w:rsidR="00032AE6">
                      <w:rPr>
                        <w:rFonts w:ascii="Georgia" w:hAnsi="Georgia"/>
                        <w:noProof/>
                        <w:color w:val="5192C9"/>
                      </w:rPr>
                      <w:t>21</w:t>
                    </w:r>
                    <w:r w:rsidRPr="002E289D">
                      <w:rPr>
                        <w:rFonts w:ascii="Georgia" w:hAnsi="Georgia"/>
                        <w:color w:val="5192C9"/>
                      </w:rPr>
                      <w:fldChar w:fldCharType="end"/>
                    </w:r>
                  </w:p>
                  <w:p w:rsidR="0027637A" w:rsidRDefault="0027637A" w:rsidP="00D17DA3"/>
                </w:txbxContent>
              </v:textbox>
              <w10:wrap anchory="page"/>
            </v:rect>
          </w:pict>
        </mc:Fallback>
      </mc:AlternateContent>
    </w:r>
    <w:r w:rsidR="0027637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95F" w:rsidRDefault="00CD595F" w:rsidP="006B3AF3">
      <w:pPr>
        <w:spacing w:after="0" w:line="240" w:lineRule="auto"/>
      </w:pPr>
      <w:r>
        <w:separator/>
      </w:r>
    </w:p>
  </w:footnote>
  <w:footnote w:type="continuationSeparator" w:id="0">
    <w:p w:rsidR="00CD595F" w:rsidRDefault="00CD595F" w:rsidP="006B3AF3">
      <w:pPr>
        <w:spacing w:after="0" w:line="240" w:lineRule="auto"/>
      </w:pPr>
      <w:r>
        <w:continuationSeparator/>
      </w:r>
    </w:p>
  </w:footnote>
  <w:footnote w:id="1">
    <w:p w:rsidR="0027637A" w:rsidRPr="004B6FB1" w:rsidRDefault="0027637A" w:rsidP="0034744E">
      <w:pPr>
        <w:pStyle w:val="FootnoteText"/>
      </w:pPr>
      <w:r>
        <w:rPr>
          <w:rStyle w:val="FootnoteReference"/>
        </w:rPr>
        <w:footnoteRef/>
      </w:r>
      <w:r w:rsidRPr="004B6FB1">
        <w:rPr>
          <w:rFonts w:ascii="Times New Roman" w:hAnsi="Times New Roman" w:cs="Times New Roman"/>
          <w:szCs w:val="24"/>
        </w:rPr>
        <w:t>bateaux battants pavillons mauritaniens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A" w:rsidRDefault="00032AE6">
    <w:r w:rsidRPr="00D036E3">
      <w:rPr>
        <w:rFonts w:ascii="Calibri" w:hAnsi="Calibri" w:cs="Segoe UI"/>
        <w:b/>
        <w:noProof/>
        <w:color w:val="5192C9"/>
        <w:lang w:val="en-GB" w:eastAsia="en-GB"/>
      </w:rPr>
      <mc:AlternateContent>
        <mc:Choice Requires="wps">
          <w:drawing>
            <wp:anchor distT="0" distB="0" distL="114300" distR="114300" simplePos="0" relativeHeight="251656704" behindDoc="0" locked="0" layoutInCell="1" allowOverlap="1">
              <wp:simplePos x="0" y="0"/>
              <wp:positionH relativeFrom="column">
                <wp:posOffset>-1082040</wp:posOffset>
              </wp:positionH>
              <wp:positionV relativeFrom="paragraph">
                <wp:posOffset>-431165</wp:posOffset>
              </wp:positionV>
              <wp:extent cx="7595870" cy="575945"/>
              <wp:effectExtent l="0" t="0" r="508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95870" cy="575945"/>
                      </a:xfrm>
                      <a:prstGeom prst="rect">
                        <a:avLst/>
                      </a:prstGeom>
                      <a:solidFill>
                        <a:srgbClr val="ECF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37A" w:rsidRPr="00395658" w:rsidRDefault="0027637A" w:rsidP="00425AC5">
                          <w:pPr>
                            <w:spacing w:after="0"/>
                            <w:jc w:val="center"/>
                            <w:rPr>
                              <w:lang w:val="en-US"/>
                            </w:rPr>
                          </w:pPr>
                          <w:r w:rsidRPr="00395658">
                            <w:rPr>
                              <w:rFonts w:ascii="Georgia" w:hAnsi="Georgia" w:cs="Segoe UI"/>
                              <w:color w:val="5192C9"/>
                              <w:spacing w:val="4"/>
                              <w:lang w:val="en-US"/>
                            </w:rPr>
                            <w:t>COVID-19 and the risk to food supply chains: how to respond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85.2pt;margin-top:-33.95pt;width:598.1pt;height:45.3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" fillcolor="#ecf6ff" stroked="f" strokeweight="1pt">
              <v:path arrowok="t"/>
              <v:textbox>
                <w:txbxContent>
                  <w:p w:rsidR="0027637A" w:rsidRPr="00395658" w:rsidRDefault="0027637A" w:rsidP="00425AC5">
                    <w:pPr>
                      <w:spacing w:after="0"/>
                      <w:jc w:val="center"/>
                      <w:rPr>
                        <w:lang w:val="en-US"/>
                      </w:rPr>
                    </w:pPr>
                    <w:r w:rsidRPr="00395658">
                      <w:rPr>
                        <w:rFonts w:ascii="Georgia" w:hAnsi="Georgia" w:cs="Segoe UI"/>
                        <w:color w:val="5192C9"/>
                        <w:spacing w:val="4"/>
                        <w:lang w:val="en-US"/>
                      </w:rPr>
                      <w:t>COVID-19 and the risk to food supply chains: how to respond</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A" w:rsidRDefault="00032AE6">
    <w:r w:rsidRPr="00D036E3">
      <w:rPr>
        <w:rFonts w:ascii="Calibri" w:hAnsi="Calibri" w:cs="Segoe UI"/>
        <w:b/>
        <w:noProof/>
        <w:color w:val="5192C9"/>
        <w:lang w:val="en-GB" w:eastAsia="en-GB"/>
      </w:rPr>
      <mc:AlternateContent>
        <mc:Choice Requires="wps">
          <w:drawing>
            <wp:anchor distT="0" distB="0" distL="114300" distR="114300" simplePos="0" relativeHeight="251659776" behindDoc="0" locked="0" layoutInCell="1" allowOverlap="1">
              <wp:simplePos x="0" y="0"/>
              <wp:positionH relativeFrom="column">
                <wp:posOffset>-1064895</wp:posOffset>
              </wp:positionH>
              <wp:positionV relativeFrom="paragraph">
                <wp:posOffset>-441960</wp:posOffset>
              </wp:positionV>
              <wp:extent cx="7559040" cy="575945"/>
              <wp:effectExtent l="0" t="0" r="381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59040" cy="575945"/>
                      </a:xfrm>
                      <a:prstGeom prst="rect">
                        <a:avLst/>
                      </a:prstGeom>
                      <a:solidFill>
                        <a:srgbClr val="ECF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37A" w:rsidRPr="00CD2DCE" w:rsidRDefault="0027637A" w:rsidP="00664D7D">
                          <w:pPr>
                            <w:pStyle w:val="Intestazione1"/>
                            <w:rPr>
                              <w:color w:val="2F5496"/>
                              <w:sz w:val="20"/>
                              <w:szCs w:val="24"/>
                            </w:rPr>
                          </w:pPr>
                          <w:r w:rsidRPr="00CD2DCE">
                            <w:rPr>
                              <w:color w:val="2F5496"/>
                              <w:sz w:val="20"/>
                              <w:szCs w:val="24"/>
                            </w:rPr>
                            <w:t>Rapport de suivi de l’échantillonnage au niveau des usines de farine</w:t>
                          </w:r>
                          <w:r w:rsidR="00D032CB">
                            <w:rPr>
                              <w:color w:val="2F5496"/>
                              <w:sz w:val="20"/>
                              <w:szCs w:val="24"/>
                            </w:rPr>
                            <w:t xml:space="preserve"> mai-octobre 2021</w:t>
                          </w:r>
                        </w:p>
                        <w:p w:rsidR="0027637A" w:rsidRPr="00CD2DCE" w:rsidRDefault="0027637A" w:rsidP="00664D7D">
                          <w:pPr>
                            <w:pStyle w:val="Intestazione1"/>
                            <w:rPr>
                              <w:color w:val="2F5496"/>
                              <w:sz w:val="20"/>
                              <w:szCs w:val="24"/>
                            </w:rPr>
                          </w:pPr>
                          <w:r w:rsidRPr="00CD2DCE">
                            <w:rPr>
                              <w:color w:val="2F5496"/>
                              <w:sz w:val="20"/>
                              <w:szCs w:val="24"/>
                            </w:rPr>
                            <w:t>Projet FIP-Pélagique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83.85pt;margin-top:-34.8pt;width:595.2pt;height:45.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" fillcolor="#ecf6ff" stroked="f" strokeweight="1pt">
              <v:path arrowok="t"/>
              <v:textbox>
                <w:txbxContent>
                  <w:p w:rsidR="0027637A" w:rsidRPr="00CD2DCE" w:rsidRDefault="0027637A" w:rsidP="00664D7D">
                    <w:pPr>
                      <w:pStyle w:val="Intestazione1"/>
                      <w:rPr>
                        <w:color w:val="2F5496"/>
                        <w:sz w:val="20"/>
                        <w:szCs w:val="24"/>
                      </w:rPr>
                    </w:pPr>
                    <w:r w:rsidRPr="00CD2DCE">
                      <w:rPr>
                        <w:color w:val="2F5496"/>
                        <w:sz w:val="20"/>
                        <w:szCs w:val="24"/>
                      </w:rPr>
                      <w:t>Rapport de suivi de l’échantillonnage au niveau des usines de farine</w:t>
                    </w:r>
                    <w:r w:rsidR="00D032CB">
                      <w:rPr>
                        <w:color w:val="2F5496"/>
                        <w:sz w:val="20"/>
                        <w:szCs w:val="24"/>
                      </w:rPr>
                      <w:t xml:space="preserve"> mai-octobre 2021</w:t>
                    </w:r>
                  </w:p>
                  <w:p w:rsidR="0027637A" w:rsidRPr="00CD2DCE" w:rsidRDefault="0027637A" w:rsidP="00664D7D">
                    <w:pPr>
                      <w:pStyle w:val="Intestazione1"/>
                      <w:rPr>
                        <w:color w:val="2F5496"/>
                        <w:sz w:val="20"/>
                        <w:szCs w:val="24"/>
                      </w:rPr>
                    </w:pPr>
                    <w:r w:rsidRPr="00CD2DCE">
                      <w:rPr>
                        <w:color w:val="2F5496"/>
                        <w:sz w:val="20"/>
                        <w:szCs w:val="24"/>
                      </w:rPr>
                      <w:t>Projet FIP-Pélagique</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A" w:rsidRDefault="00032AE6" w:rsidP="005328FB">
    <w:pPr>
      <w:jc w:val="center"/>
      <w:rPr>
        <w:sz w:val="24"/>
        <w:szCs w:val="24"/>
      </w:rPr>
    </w:pPr>
    <w:r>
      <w:rPr>
        <w:noProof/>
        <w:sz w:val="72"/>
        <w:szCs w:val="72"/>
        <w:lang w:val="en-GB" w:eastAsia="en-GB"/>
      </w:rPr>
      <w:drawing>
        <wp:anchor distT="0" distB="0" distL="114300" distR="114300" simplePos="0" relativeHeight="251655680" behindDoc="0" locked="0" layoutInCell="1" allowOverlap="1">
          <wp:simplePos x="0" y="0"/>
          <wp:positionH relativeFrom="margin">
            <wp:align>right</wp:align>
          </wp:positionH>
          <wp:positionV relativeFrom="page">
            <wp:posOffset>190500</wp:posOffset>
          </wp:positionV>
          <wp:extent cx="5356860" cy="702945"/>
          <wp:effectExtent l="0" t="0" r="0" b="1905"/>
          <wp:wrapTopAndBottom/>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4572" t="11250" r="14563" b="67500"/>
                  <a:stretch>
                    <a:fillRect/>
                  </a:stretch>
                </pic:blipFill>
                <pic:spPr bwMode="auto">
                  <a:xfrm>
                    <a:off x="0" y="0"/>
                    <a:ext cx="535686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37A" w:rsidRPr="00242696">
      <w:rPr>
        <w:sz w:val="24"/>
        <w:szCs w:val="24"/>
      </w:rPr>
      <w:t>Projet d’amélioration des Pêcheries Pélagiques Mauritanienne (FIP-PP)</w:t>
    </w:r>
  </w:p>
  <w:p w:rsidR="007B33BD" w:rsidRDefault="007B33BD" w:rsidP="005328FB">
    <w:pPr>
      <w:jc w:val="center"/>
      <w:rPr>
        <w:sz w:val="24"/>
        <w:szCs w:val="24"/>
      </w:rPr>
    </w:pPr>
  </w:p>
  <w:p w:rsidR="007B33BD" w:rsidRPr="00242696" w:rsidRDefault="007B33BD" w:rsidP="005328FB">
    <w:pPr>
      <w:jc w:val="center"/>
      <w:rPr>
        <w:sz w:val="24"/>
        <w:szCs w:val="24"/>
      </w:rPr>
    </w:pPr>
    <w:r>
      <w:rPr>
        <w:sz w:val="24"/>
        <w:szCs w:val="24"/>
      </w:rPr>
      <w:t>Projet d’Amélioration des Pêcheries Pélagiques Mauritanienne (FIP-PP)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74D"/>
    <w:multiLevelType w:val="hybridMultilevel"/>
    <w:tmpl w:val="81ECC18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85568"/>
    <w:multiLevelType w:val="hybridMultilevel"/>
    <w:tmpl w:val="965CB8B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B432AF5"/>
    <w:multiLevelType w:val="hybridMultilevel"/>
    <w:tmpl w:val="0BA29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A6DE0"/>
    <w:multiLevelType w:val="hybridMultilevel"/>
    <w:tmpl w:val="4A00501A"/>
    <w:lvl w:ilvl="0" w:tplc="239A1BF8">
      <w:start w:val="1"/>
      <w:numFmt w:val="bullet"/>
      <w:pStyle w:val="Sublist"/>
      <w:lvlText w:val="-"/>
      <w:lvlJc w:val="left"/>
      <w:pPr>
        <w:ind w:left="720" w:hanging="210"/>
      </w:pPr>
      <w:rPr>
        <w:rFonts w:ascii="Calibri" w:hAnsi="Calibri" w:hint="default"/>
        <w:b/>
        <w:i w:val="0"/>
        <w:color w:val="5192C9"/>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216B89"/>
    <w:multiLevelType w:val="hybridMultilevel"/>
    <w:tmpl w:val="3A7E4E38"/>
    <w:lvl w:ilvl="0" w:tplc="670EE4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CE5773"/>
    <w:multiLevelType w:val="hybridMultilevel"/>
    <w:tmpl w:val="88BE5582"/>
    <w:lvl w:ilvl="0" w:tplc="F108884E">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F2F09E5"/>
    <w:multiLevelType w:val="hybridMultilevel"/>
    <w:tmpl w:val="D7DA5F22"/>
    <w:lvl w:ilvl="0" w:tplc="B55AB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E01966"/>
    <w:multiLevelType w:val="hybridMultilevel"/>
    <w:tmpl w:val="633084AC"/>
    <w:lvl w:ilvl="0" w:tplc="BAFAB0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14461"/>
    <w:multiLevelType w:val="hybridMultilevel"/>
    <w:tmpl w:val="FA24B990"/>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9" w15:restartNumberingAfterBreak="0">
    <w:nsid w:val="28C4222E"/>
    <w:multiLevelType w:val="hybridMultilevel"/>
    <w:tmpl w:val="EBA00B66"/>
    <w:lvl w:ilvl="0" w:tplc="A8C88800">
      <w:start w:val="1"/>
      <w:numFmt w:val="bullet"/>
      <w:pStyle w:val="Bulletlist"/>
      <w:lvlText w:val=""/>
      <w:lvlJc w:val="left"/>
      <w:pPr>
        <w:ind w:left="510" w:hanging="226"/>
      </w:pPr>
      <w:rPr>
        <w:rFonts w:ascii="Symbol" w:hAnsi="Symbol" w:hint="default"/>
        <w:color w:val="5192C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63B25"/>
    <w:multiLevelType w:val="hybridMultilevel"/>
    <w:tmpl w:val="97F4EF24"/>
    <w:lvl w:ilvl="0" w:tplc="24624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A4013A"/>
    <w:multiLevelType w:val="hybridMultilevel"/>
    <w:tmpl w:val="78DE68A8"/>
    <w:lvl w:ilvl="0" w:tplc="E3FCE5A4">
      <w:start w:val="1"/>
      <w:numFmt w:val="bullet"/>
      <w:pStyle w:val="Tablebulletlist"/>
      <w:lvlText w:val=""/>
      <w:lvlJc w:val="left"/>
      <w:pPr>
        <w:ind w:left="170" w:hanging="170"/>
      </w:pPr>
      <w:rPr>
        <w:rFonts w:ascii="Symbol" w:hAnsi="Symbol" w:hint="default"/>
        <w:color w:val="5192C9"/>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A209D7"/>
    <w:multiLevelType w:val="hybridMultilevel"/>
    <w:tmpl w:val="6064637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E66FD1"/>
    <w:multiLevelType w:val="hybridMultilevel"/>
    <w:tmpl w:val="0E2E3F6E"/>
    <w:lvl w:ilvl="0" w:tplc="2CEA732E">
      <w:start w:val="5"/>
      <w:numFmt w:val="bullet"/>
      <w:lvlText w:val="-"/>
      <w:lvlJc w:val="left"/>
      <w:pPr>
        <w:ind w:left="720" w:hanging="360"/>
      </w:pPr>
      <w:rPr>
        <w:rFonts w:ascii="Calibri Light" w:eastAsia="Calibri" w:hAnsi="Calibri Light" w:cs="Calibri Ligh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55FB"/>
    <w:multiLevelType w:val="hybridMultilevel"/>
    <w:tmpl w:val="89363D56"/>
    <w:lvl w:ilvl="0" w:tplc="FFFFFFFF">
      <w:numFmt w:val="bullet"/>
      <w:lvlText w:val="-"/>
      <w:lvlJc w:val="left"/>
      <w:pPr>
        <w:ind w:left="720" w:hanging="360"/>
      </w:pPr>
      <w:rPr>
        <w:rFonts w:ascii="Times New Roman" w:eastAsia="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5E24FD"/>
    <w:multiLevelType w:val="hybridMultilevel"/>
    <w:tmpl w:val="82F2FA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258789D"/>
    <w:multiLevelType w:val="multilevel"/>
    <w:tmpl w:val="67BAAF70"/>
    <w:styleLink w:val="Style5"/>
    <w:lvl w:ilvl="0">
      <w:start w:val="1"/>
      <w:numFmt w:val="upperRoman"/>
      <w:pStyle w:val="RappGT2019TN1"/>
      <w:lvlText w:val="%1."/>
      <w:lvlJc w:val="right"/>
      <w:pPr>
        <w:ind w:left="284" w:hanging="284"/>
      </w:pPr>
      <w:rPr>
        <w:rFonts w:hint="default"/>
      </w:rPr>
    </w:lvl>
    <w:lvl w:ilvl="1">
      <w:start w:val="1"/>
      <w:numFmt w:val="decimal"/>
      <w:lvlText w:val="%2."/>
      <w:lvlJc w:val="left"/>
      <w:pPr>
        <w:ind w:left="1021" w:hanging="567"/>
      </w:pPr>
      <w:rPr>
        <w:rFonts w:hint="default"/>
      </w:rPr>
    </w:lvl>
    <w:lvl w:ilvl="2">
      <w:start w:val="1"/>
      <w:numFmt w:val="decimal"/>
      <w:pStyle w:val="RappGT2019TN2"/>
      <w:lvlText w:val="%3."/>
      <w:lvlJc w:val="left"/>
      <w:pPr>
        <w:ind w:left="1304" w:hanging="453"/>
      </w:pPr>
      <w:rPr>
        <w:rFonts w:hint="default"/>
      </w:rPr>
    </w:lvl>
    <w:lvl w:ilvl="3">
      <w:start w:val="1"/>
      <w:numFmt w:val="lowerLetter"/>
      <w:pStyle w:val="RappGT2019TN4"/>
      <w:lvlText w:val="%4."/>
      <w:lvlJc w:val="left"/>
      <w:pPr>
        <w:ind w:left="1985" w:hanging="567"/>
      </w:pPr>
      <w:rPr>
        <w:rFonts w:hint="default"/>
      </w:rPr>
    </w:lvl>
    <w:lvl w:ilvl="4">
      <w:start w:val="1"/>
      <w:numFmt w:val="decimal"/>
      <w:pStyle w:val="RappGT2019TN5"/>
      <w:lvlText w:val="%5."/>
      <w:lvlJc w:val="left"/>
      <w:pPr>
        <w:ind w:left="2552" w:hanging="567"/>
      </w:pPr>
      <w:rPr>
        <w:rFonts w:hint="default"/>
      </w:rPr>
    </w:lvl>
    <w:lvl w:ilvl="5">
      <w:start w:val="1"/>
      <w:numFmt w:val="lowerRoman"/>
      <w:pStyle w:val="RappGT2019TN6"/>
      <w:suff w:val="space"/>
      <w:lvlText w:val="(%6)"/>
      <w:lvlJc w:val="left"/>
      <w:pPr>
        <w:ind w:left="3005" w:hanging="453"/>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7" w15:restartNumberingAfterBreak="0">
    <w:nsid w:val="42E054FD"/>
    <w:multiLevelType w:val="hybridMultilevel"/>
    <w:tmpl w:val="5FE6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636C4A"/>
    <w:multiLevelType w:val="hybridMultilevel"/>
    <w:tmpl w:val="5DBEB8A6"/>
    <w:lvl w:ilvl="0" w:tplc="472CEF5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B7760E"/>
    <w:multiLevelType w:val="hybridMultilevel"/>
    <w:tmpl w:val="7526D2CA"/>
    <w:lvl w:ilvl="0" w:tplc="6ABC4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04E64"/>
    <w:multiLevelType w:val="hybridMultilevel"/>
    <w:tmpl w:val="AE66EB14"/>
    <w:lvl w:ilvl="0" w:tplc="040C0013">
      <w:start w:val="1"/>
      <w:numFmt w:val="upperRoman"/>
      <w:lvlText w:val="%1."/>
      <w:lvlJc w:val="right"/>
      <w:pPr>
        <w:ind w:left="720" w:hanging="360"/>
      </w:pPr>
    </w:lvl>
    <w:lvl w:ilvl="1" w:tplc="06DA2998">
      <w:start w:val="1"/>
      <w:numFmt w:val="decimal"/>
      <w:lvlText w:val="%2."/>
      <w:lvlJc w:val="left"/>
      <w:pPr>
        <w:ind w:left="1440" w:hanging="360"/>
      </w:pPr>
      <w:rPr>
        <w:sz w:val="28"/>
        <w:szCs w:val="2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7E69FA"/>
    <w:multiLevelType w:val="hybridMultilevel"/>
    <w:tmpl w:val="FA0C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6794C"/>
    <w:multiLevelType w:val="hybridMultilevel"/>
    <w:tmpl w:val="4E8E34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DC2274"/>
    <w:multiLevelType w:val="hybridMultilevel"/>
    <w:tmpl w:val="DEC48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54767D"/>
    <w:multiLevelType w:val="hybridMultilevel"/>
    <w:tmpl w:val="BE2AF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76C09"/>
    <w:multiLevelType w:val="hybridMultilevel"/>
    <w:tmpl w:val="C37CF8D8"/>
    <w:lvl w:ilvl="0" w:tplc="42AE85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414F53"/>
    <w:multiLevelType w:val="hybridMultilevel"/>
    <w:tmpl w:val="BBE23F22"/>
    <w:lvl w:ilvl="0" w:tplc="39AC0512">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A702C"/>
    <w:multiLevelType w:val="hybridMultilevel"/>
    <w:tmpl w:val="226AAD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7A704E"/>
    <w:multiLevelType w:val="hybridMultilevel"/>
    <w:tmpl w:val="66368D5E"/>
    <w:lvl w:ilvl="0" w:tplc="F108884E">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6C817B2"/>
    <w:multiLevelType w:val="multilevel"/>
    <w:tmpl w:val="6CB0F2AE"/>
    <w:lvl w:ilvl="0">
      <w:start w:val="1"/>
      <w:numFmt w:val="upperRoman"/>
      <w:lvlText w:val="%1."/>
      <w:lvlJc w:val="right"/>
      <w:pPr>
        <w:ind w:left="284" w:hanging="284"/>
      </w:pPr>
      <w:rPr>
        <w:rFonts w:hint="default"/>
      </w:rPr>
    </w:lvl>
    <w:lvl w:ilvl="1">
      <w:start w:val="1"/>
      <w:numFmt w:val="decimal"/>
      <w:lvlText w:val="%2."/>
      <w:lvlJc w:val="left"/>
      <w:pPr>
        <w:ind w:left="1021" w:hanging="567"/>
      </w:pPr>
      <w:rPr>
        <w:rFonts w:hint="default"/>
      </w:rPr>
    </w:lvl>
    <w:lvl w:ilvl="2">
      <w:start w:val="1"/>
      <w:numFmt w:val="lowerLetter"/>
      <w:lvlText w:val="%3."/>
      <w:lvlJc w:val="left"/>
      <w:pPr>
        <w:ind w:left="1304" w:hanging="453"/>
      </w:pPr>
      <w:rPr>
        <w:rFonts w:hint="default"/>
      </w:rPr>
    </w:lvl>
    <w:lvl w:ilvl="3">
      <w:start w:val="1"/>
      <w:numFmt w:val="lowerLetter"/>
      <w:lvlText w:val="%4."/>
      <w:lvlJc w:val="left"/>
      <w:pPr>
        <w:ind w:left="1985" w:hanging="567"/>
      </w:pPr>
      <w:rPr>
        <w:rFonts w:hint="default"/>
      </w:rPr>
    </w:lvl>
    <w:lvl w:ilvl="4">
      <w:start w:val="1"/>
      <w:numFmt w:val="decimal"/>
      <w:lvlText w:val="%5."/>
      <w:lvlJc w:val="left"/>
      <w:pPr>
        <w:ind w:left="2552" w:hanging="567"/>
      </w:pPr>
      <w:rPr>
        <w:rFonts w:hint="default"/>
      </w:rPr>
    </w:lvl>
    <w:lvl w:ilvl="5">
      <w:start w:val="1"/>
      <w:numFmt w:val="lowerRoman"/>
      <w:suff w:val="space"/>
      <w:lvlText w:val="(%6)"/>
      <w:lvlJc w:val="left"/>
      <w:pPr>
        <w:ind w:left="3005" w:hanging="453"/>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0" w15:restartNumberingAfterBreak="0">
    <w:nsid w:val="777E013C"/>
    <w:multiLevelType w:val="hybridMultilevel"/>
    <w:tmpl w:val="16C6F448"/>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78F35EF2"/>
    <w:multiLevelType w:val="hybridMultilevel"/>
    <w:tmpl w:val="72A4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C63C0"/>
    <w:multiLevelType w:val="hybridMultilevel"/>
    <w:tmpl w:val="3682AB4C"/>
    <w:lvl w:ilvl="0" w:tplc="040C001B">
      <w:start w:val="1"/>
      <w:numFmt w:val="lowerRoman"/>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6"/>
  </w:num>
  <w:num w:numId="5">
    <w:abstractNumId w:val="5"/>
  </w:num>
  <w:num w:numId="6">
    <w:abstractNumId w:val="20"/>
  </w:num>
  <w:num w:numId="7">
    <w:abstractNumId w:val="12"/>
  </w:num>
  <w:num w:numId="8">
    <w:abstractNumId w:val="19"/>
  </w:num>
  <w:num w:numId="9">
    <w:abstractNumId w:val="1"/>
  </w:num>
  <w:num w:numId="10">
    <w:abstractNumId w:val="27"/>
  </w:num>
  <w:num w:numId="11">
    <w:abstractNumId w:val="3"/>
  </w:num>
  <w:num w:numId="12">
    <w:abstractNumId w:val="22"/>
  </w:num>
  <w:num w:numId="13">
    <w:abstractNumId w:val="3"/>
  </w:num>
  <w:num w:numId="14">
    <w:abstractNumId w:val="3"/>
  </w:num>
  <w:num w:numId="15">
    <w:abstractNumId w:val="14"/>
  </w:num>
  <w:num w:numId="16">
    <w:abstractNumId w:val="21"/>
  </w:num>
  <w:num w:numId="17">
    <w:abstractNumId w:val="2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2"/>
  </w:num>
  <w:num w:numId="22">
    <w:abstractNumId w:val="31"/>
  </w:num>
  <w:num w:numId="23">
    <w:abstractNumId w:val="17"/>
  </w:num>
  <w:num w:numId="24">
    <w:abstractNumId w:val="32"/>
  </w:num>
  <w:num w:numId="25">
    <w:abstractNumId w:val="18"/>
  </w:num>
  <w:num w:numId="26">
    <w:abstractNumId w:val="16"/>
  </w:num>
  <w:num w:numId="27">
    <w:abstractNumId w:val="29"/>
  </w:num>
  <w:num w:numId="28">
    <w:abstractNumId w:val="25"/>
  </w:num>
  <w:num w:numId="29">
    <w:abstractNumId w:val="10"/>
  </w:num>
  <w:num w:numId="30">
    <w:abstractNumId w:val="23"/>
  </w:num>
  <w:num w:numId="31">
    <w:abstractNumId w:val="8"/>
  </w:num>
  <w:num w:numId="32">
    <w:abstractNumId w:val="30"/>
  </w:num>
  <w:num w:numId="33">
    <w:abstractNumId w:val="26"/>
  </w:num>
  <w:num w:numId="34">
    <w:abstractNumId w:val="24"/>
  </w:num>
  <w:num w:numId="35">
    <w:abstractNumId w:val="13"/>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58"/>
    <w:rsid w:val="000176F4"/>
    <w:rsid w:val="00017F21"/>
    <w:rsid w:val="00032AE6"/>
    <w:rsid w:val="0003524A"/>
    <w:rsid w:val="00047261"/>
    <w:rsid w:val="00050E55"/>
    <w:rsid w:val="000515CD"/>
    <w:rsid w:val="00061CEA"/>
    <w:rsid w:val="00064503"/>
    <w:rsid w:val="00065EEF"/>
    <w:rsid w:val="00067C5E"/>
    <w:rsid w:val="000774EE"/>
    <w:rsid w:val="00081C28"/>
    <w:rsid w:val="0008592B"/>
    <w:rsid w:val="0008605E"/>
    <w:rsid w:val="000929E8"/>
    <w:rsid w:val="000A3DD0"/>
    <w:rsid w:val="000A5583"/>
    <w:rsid w:val="000A5C74"/>
    <w:rsid w:val="000C00CA"/>
    <w:rsid w:val="000C1DC9"/>
    <w:rsid w:val="000C2147"/>
    <w:rsid w:val="000C3501"/>
    <w:rsid w:val="000D5005"/>
    <w:rsid w:val="000F3997"/>
    <w:rsid w:val="000F60AB"/>
    <w:rsid w:val="001004EC"/>
    <w:rsid w:val="00122FCD"/>
    <w:rsid w:val="00127574"/>
    <w:rsid w:val="001302FD"/>
    <w:rsid w:val="001376B7"/>
    <w:rsid w:val="00145110"/>
    <w:rsid w:val="00147DB0"/>
    <w:rsid w:val="001500B0"/>
    <w:rsid w:val="00154FED"/>
    <w:rsid w:val="00163B56"/>
    <w:rsid w:val="0017491B"/>
    <w:rsid w:val="00182420"/>
    <w:rsid w:val="00183054"/>
    <w:rsid w:val="00184DD6"/>
    <w:rsid w:val="00186B52"/>
    <w:rsid w:val="00186F5C"/>
    <w:rsid w:val="001931E4"/>
    <w:rsid w:val="001A0317"/>
    <w:rsid w:val="001A7D7E"/>
    <w:rsid w:val="001B7390"/>
    <w:rsid w:val="001B7D8A"/>
    <w:rsid w:val="001D0231"/>
    <w:rsid w:val="001D6476"/>
    <w:rsid w:val="001D7C6A"/>
    <w:rsid w:val="001E1589"/>
    <w:rsid w:val="001E6094"/>
    <w:rsid w:val="00206931"/>
    <w:rsid w:val="0021789E"/>
    <w:rsid w:val="002236B8"/>
    <w:rsid w:val="00237693"/>
    <w:rsid w:val="00242696"/>
    <w:rsid w:val="00254EAD"/>
    <w:rsid w:val="002572BE"/>
    <w:rsid w:val="00264761"/>
    <w:rsid w:val="002665DB"/>
    <w:rsid w:val="0027637A"/>
    <w:rsid w:val="002834C0"/>
    <w:rsid w:val="00284AE2"/>
    <w:rsid w:val="002860AD"/>
    <w:rsid w:val="0029186F"/>
    <w:rsid w:val="00292466"/>
    <w:rsid w:val="0029288B"/>
    <w:rsid w:val="002947A8"/>
    <w:rsid w:val="00295438"/>
    <w:rsid w:val="002A1DB7"/>
    <w:rsid w:val="002A403B"/>
    <w:rsid w:val="002A40DE"/>
    <w:rsid w:val="002B09C0"/>
    <w:rsid w:val="002B4D4D"/>
    <w:rsid w:val="002B4E4C"/>
    <w:rsid w:val="002B5BCD"/>
    <w:rsid w:val="002C3687"/>
    <w:rsid w:val="002D4C48"/>
    <w:rsid w:val="002E0101"/>
    <w:rsid w:val="002E15FF"/>
    <w:rsid w:val="002E2361"/>
    <w:rsid w:val="002F4026"/>
    <w:rsid w:val="003066C1"/>
    <w:rsid w:val="00306E06"/>
    <w:rsid w:val="00316FB2"/>
    <w:rsid w:val="00320FBA"/>
    <w:rsid w:val="00321A6F"/>
    <w:rsid w:val="00332BFF"/>
    <w:rsid w:val="00332ED9"/>
    <w:rsid w:val="0034744E"/>
    <w:rsid w:val="00351A05"/>
    <w:rsid w:val="003532CD"/>
    <w:rsid w:val="00354B4F"/>
    <w:rsid w:val="00354C30"/>
    <w:rsid w:val="0035565E"/>
    <w:rsid w:val="003565FB"/>
    <w:rsid w:val="00363B79"/>
    <w:rsid w:val="00367342"/>
    <w:rsid w:val="00377124"/>
    <w:rsid w:val="00382A0F"/>
    <w:rsid w:val="003861AF"/>
    <w:rsid w:val="00386E7E"/>
    <w:rsid w:val="00387BB7"/>
    <w:rsid w:val="0039163E"/>
    <w:rsid w:val="00394513"/>
    <w:rsid w:val="003948AA"/>
    <w:rsid w:val="00395658"/>
    <w:rsid w:val="00397EA9"/>
    <w:rsid w:val="003A2EBA"/>
    <w:rsid w:val="003B13D4"/>
    <w:rsid w:val="003B18FD"/>
    <w:rsid w:val="003B6A98"/>
    <w:rsid w:val="003D2A0D"/>
    <w:rsid w:val="003D5307"/>
    <w:rsid w:val="003D5466"/>
    <w:rsid w:val="003D5CB2"/>
    <w:rsid w:val="003E26D8"/>
    <w:rsid w:val="003E3608"/>
    <w:rsid w:val="003E3D11"/>
    <w:rsid w:val="00400398"/>
    <w:rsid w:val="00401C4C"/>
    <w:rsid w:val="004052B5"/>
    <w:rsid w:val="00413F7B"/>
    <w:rsid w:val="00416888"/>
    <w:rsid w:val="00425AC5"/>
    <w:rsid w:val="00426979"/>
    <w:rsid w:val="00432516"/>
    <w:rsid w:val="00444AD5"/>
    <w:rsid w:val="004606D6"/>
    <w:rsid w:val="00463C85"/>
    <w:rsid w:val="00467EA2"/>
    <w:rsid w:val="0047564F"/>
    <w:rsid w:val="004806A6"/>
    <w:rsid w:val="0048088A"/>
    <w:rsid w:val="0048117B"/>
    <w:rsid w:val="004A04AB"/>
    <w:rsid w:val="004A0582"/>
    <w:rsid w:val="004B5A3F"/>
    <w:rsid w:val="004D1303"/>
    <w:rsid w:val="004D437C"/>
    <w:rsid w:val="004D71D9"/>
    <w:rsid w:val="004E5800"/>
    <w:rsid w:val="004F13A0"/>
    <w:rsid w:val="004F624F"/>
    <w:rsid w:val="0050679B"/>
    <w:rsid w:val="00507666"/>
    <w:rsid w:val="00507E3C"/>
    <w:rsid w:val="00512CA9"/>
    <w:rsid w:val="0051320A"/>
    <w:rsid w:val="00526680"/>
    <w:rsid w:val="00532614"/>
    <w:rsid w:val="005328FB"/>
    <w:rsid w:val="00542D00"/>
    <w:rsid w:val="00551FB4"/>
    <w:rsid w:val="00556C94"/>
    <w:rsid w:val="00562713"/>
    <w:rsid w:val="0056733C"/>
    <w:rsid w:val="0057442F"/>
    <w:rsid w:val="005754BD"/>
    <w:rsid w:val="00577053"/>
    <w:rsid w:val="005777CD"/>
    <w:rsid w:val="00580B9D"/>
    <w:rsid w:val="005825A4"/>
    <w:rsid w:val="005862AC"/>
    <w:rsid w:val="00592846"/>
    <w:rsid w:val="005A33C9"/>
    <w:rsid w:val="005A5D60"/>
    <w:rsid w:val="005B0B98"/>
    <w:rsid w:val="005B656D"/>
    <w:rsid w:val="005C723C"/>
    <w:rsid w:val="005D096D"/>
    <w:rsid w:val="005D2D8F"/>
    <w:rsid w:val="005D4A7C"/>
    <w:rsid w:val="005D5D49"/>
    <w:rsid w:val="005E0F7E"/>
    <w:rsid w:val="005E1103"/>
    <w:rsid w:val="005E4A3E"/>
    <w:rsid w:val="005F55F6"/>
    <w:rsid w:val="005F7A49"/>
    <w:rsid w:val="0061057B"/>
    <w:rsid w:val="00616772"/>
    <w:rsid w:val="00616DB3"/>
    <w:rsid w:val="00620E14"/>
    <w:rsid w:val="00621C14"/>
    <w:rsid w:val="0063472D"/>
    <w:rsid w:val="0064588F"/>
    <w:rsid w:val="00651166"/>
    <w:rsid w:val="00660255"/>
    <w:rsid w:val="00661A15"/>
    <w:rsid w:val="00664035"/>
    <w:rsid w:val="00664525"/>
    <w:rsid w:val="00664D7D"/>
    <w:rsid w:val="006668C8"/>
    <w:rsid w:val="00670DEE"/>
    <w:rsid w:val="00675E11"/>
    <w:rsid w:val="00676D68"/>
    <w:rsid w:val="00676FDB"/>
    <w:rsid w:val="006806E7"/>
    <w:rsid w:val="00684874"/>
    <w:rsid w:val="006904A6"/>
    <w:rsid w:val="006A3FE0"/>
    <w:rsid w:val="006B039D"/>
    <w:rsid w:val="006B3AF3"/>
    <w:rsid w:val="006B3CEB"/>
    <w:rsid w:val="006D7BF8"/>
    <w:rsid w:val="006F58B7"/>
    <w:rsid w:val="00711C76"/>
    <w:rsid w:val="007220C9"/>
    <w:rsid w:val="007241C4"/>
    <w:rsid w:val="00736464"/>
    <w:rsid w:val="007411EF"/>
    <w:rsid w:val="00741595"/>
    <w:rsid w:val="00744141"/>
    <w:rsid w:val="0074572C"/>
    <w:rsid w:val="00752C26"/>
    <w:rsid w:val="00753CF6"/>
    <w:rsid w:val="007556E4"/>
    <w:rsid w:val="0077359B"/>
    <w:rsid w:val="00773B49"/>
    <w:rsid w:val="00774F01"/>
    <w:rsid w:val="00775659"/>
    <w:rsid w:val="007821DA"/>
    <w:rsid w:val="00786CED"/>
    <w:rsid w:val="0079314C"/>
    <w:rsid w:val="00795F97"/>
    <w:rsid w:val="00796D67"/>
    <w:rsid w:val="007B0416"/>
    <w:rsid w:val="007B33BD"/>
    <w:rsid w:val="007C1F4C"/>
    <w:rsid w:val="007C55B3"/>
    <w:rsid w:val="007D53F1"/>
    <w:rsid w:val="007D5ACA"/>
    <w:rsid w:val="007D61D9"/>
    <w:rsid w:val="007D71C1"/>
    <w:rsid w:val="007E2E64"/>
    <w:rsid w:val="008001B0"/>
    <w:rsid w:val="00800409"/>
    <w:rsid w:val="0080588A"/>
    <w:rsid w:val="008163F8"/>
    <w:rsid w:val="0082641B"/>
    <w:rsid w:val="00831234"/>
    <w:rsid w:val="0084292C"/>
    <w:rsid w:val="0084565B"/>
    <w:rsid w:val="00845D1C"/>
    <w:rsid w:val="00856E8B"/>
    <w:rsid w:val="0086424B"/>
    <w:rsid w:val="0087456E"/>
    <w:rsid w:val="0088203D"/>
    <w:rsid w:val="008821E0"/>
    <w:rsid w:val="00883BBB"/>
    <w:rsid w:val="00887C09"/>
    <w:rsid w:val="00890CFD"/>
    <w:rsid w:val="0089220F"/>
    <w:rsid w:val="00893D74"/>
    <w:rsid w:val="0089401B"/>
    <w:rsid w:val="008A2AC4"/>
    <w:rsid w:val="008B0E43"/>
    <w:rsid w:val="008B7AD4"/>
    <w:rsid w:val="008C041D"/>
    <w:rsid w:val="008C7134"/>
    <w:rsid w:val="008D1106"/>
    <w:rsid w:val="008D1A2C"/>
    <w:rsid w:val="008D238B"/>
    <w:rsid w:val="008F43DD"/>
    <w:rsid w:val="008F65D3"/>
    <w:rsid w:val="008F6FE8"/>
    <w:rsid w:val="00904075"/>
    <w:rsid w:val="00904C3C"/>
    <w:rsid w:val="00920879"/>
    <w:rsid w:val="0092132D"/>
    <w:rsid w:val="00922B85"/>
    <w:rsid w:val="009334A6"/>
    <w:rsid w:val="00935151"/>
    <w:rsid w:val="00936302"/>
    <w:rsid w:val="00941A81"/>
    <w:rsid w:val="009427D9"/>
    <w:rsid w:val="00942EAF"/>
    <w:rsid w:val="00944EC3"/>
    <w:rsid w:val="009509BF"/>
    <w:rsid w:val="009568A5"/>
    <w:rsid w:val="009614DC"/>
    <w:rsid w:val="00981452"/>
    <w:rsid w:val="00987B4B"/>
    <w:rsid w:val="0099073E"/>
    <w:rsid w:val="00991215"/>
    <w:rsid w:val="0099170A"/>
    <w:rsid w:val="009A13C6"/>
    <w:rsid w:val="009A14C0"/>
    <w:rsid w:val="009B0331"/>
    <w:rsid w:val="009B2275"/>
    <w:rsid w:val="009B4761"/>
    <w:rsid w:val="009B5D0A"/>
    <w:rsid w:val="009B6663"/>
    <w:rsid w:val="009C15FB"/>
    <w:rsid w:val="009C37A9"/>
    <w:rsid w:val="009C7607"/>
    <w:rsid w:val="009D0EFF"/>
    <w:rsid w:val="009D1484"/>
    <w:rsid w:val="009D3D62"/>
    <w:rsid w:val="009E0065"/>
    <w:rsid w:val="009E3424"/>
    <w:rsid w:val="009E5028"/>
    <w:rsid w:val="009F33EF"/>
    <w:rsid w:val="00A01146"/>
    <w:rsid w:val="00A17F13"/>
    <w:rsid w:val="00A249FB"/>
    <w:rsid w:val="00A27AC9"/>
    <w:rsid w:val="00A311C9"/>
    <w:rsid w:val="00A33689"/>
    <w:rsid w:val="00A375D8"/>
    <w:rsid w:val="00A40F27"/>
    <w:rsid w:val="00A434A7"/>
    <w:rsid w:val="00A52909"/>
    <w:rsid w:val="00A548FA"/>
    <w:rsid w:val="00A56A6B"/>
    <w:rsid w:val="00A6165F"/>
    <w:rsid w:val="00A61BDA"/>
    <w:rsid w:val="00A63308"/>
    <w:rsid w:val="00A671D8"/>
    <w:rsid w:val="00A71E22"/>
    <w:rsid w:val="00A71F67"/>
    <w:rsid w:val="00A7457D"/>
    <w:rsid w:val="00A76A64"/>
    <w:rsid w:val="00A8577F"/>
    <w:rsid w:val="00A85A0F"/>
    <w:rsid w:val="00A97EE6"/>
    <w:rsid w:val="00AA09AD"/>
    <w:rsid w:val="00AA1882"/>
    <w:rsid w:val="00AA5C7A"/>
    <w:rsid w:val="00AA62C2"/>
    <w:rsid w:val="00AA671D"/>
    <w:rsid w:val="00AB4098"/>
    <w:rsid w:val="00AB760B"/>
    <w:rsid w:val="00AC0C07"/>
    <w:rsid w:val="00AC3413"/>
    <w:rsid w:val="00AD12D4"/>
    <w:rsid w:val="00AD1338"/>
    <w:rsid w:val="00AD28CD"/>
    <w:rsid w:val="00AE0091"/>
    <w:rsid w:val="00AE30CF"/>
    <w:rsid w:val="00AE4AE1"/>
    <w:rsid w:val="00AF50C8"/>
    <w:rsid w:val="00B04E54"/>
    <w:rsid w:val="00B0637C"/>
    <w:rsid w:val="00B1058F"/>
    <w:rsid w:val="00B1340E"/>
    <w:rsid w:val="00B221EA"/>
    <w:rsid w:val="00B2270D"/>
    <w:rsid w:val="00B35D48"/>
    <w:rsid w:val="00B40C7D"/>
    <w:rsid w:val="00B550C2"/>
    <w:rsid w:val="00B5592A"/>
    <w:rsid w:val="00B62904"/>
    <w:rsid w:val="00B63A2A"/>
    <w:rsid w:val="00B72A2E"/>
    <w:rsid w:val="00B7517A"/>
    <w:rsid w:val="00B80DCE"/>
    <w:rsid w:val="00B80F8D"/>
    <w:rsid w:val="00B82CA3"/>
    <w:rsid w:val="00B83290"/>
    <w:rsid w:val="00B83C4A"/>
    <w:rsid w:val="00B93C00"/>
    <w:rsid w:val="00BA72A1"/>
    <w:rsid w:val="00BB251C"/>
    <w:rsid w:val="00BB3963"/>
    <w:rsid w:val="00BB4589"/>
    <w:rsid w:val="00BB7C27"/>
    <w:rsid w:val="00BC25FC"/>
    <w:rsid w:val="00BE67C9"/>
    <w:rsid w:val="00BF3F3E"/>
    <w:rsid w:val="00BF6F42"/>
    <w:rsid w:val="00C04734"/>
    <w:rsid w:val="00C078D4"/>
    <w:rsid w:val="00C10FE0"/>
    <w:rsid w:val="00C159B7"/>
    <w:rsid w:val="00C16D4C"/>
    <w:rsid w:val="00C217F4"/>
    <w:rsid w:val="00C478A6"/>
    <w:rsid w:val="00C54885"/>
    <w:rsid w:val="00C64F98"/>
    <w:rsid w:val="00C67E8B"/>
    <w:rsid w:val="00C86D21"/>
    <w:rsid w:val="00C92E9D"/>
    <w:rsid w:val="00CA17D4"/>
    <w:rsid w:val="00CA60B2"/>
    <w:rsid w:val="00CB0152"/>
    <w:rsid w:val="00CC12F5"/>
    <w:rsid w:val="00CC34D3"/>
    <w:rsid w:val="00CC350B"/>
    <w:rsid w:val="00CC479E"/>
    <w:rsid w:val="00CC5246"/>
    <w:rsid w:val="00CC5FD9"/>
    <w:rsid w:val="00CD2DCE"/>
    <w:rsid w:val="00CD595F"/>
    <w:rsid w:val="00CE1ED9"/>
    <w:rsid w:val="00CF0A8C"/>
    <w:rsid w:val="00CF6465"/>
    <w:rsid w:val="00D0055F"/>
    <w:rsid w:val="00D02018"/>
    <w:rsid w:val="00D032CB"/>
    <w:rsid w:val="00D036E3"/>
    <w:rsid w:val="00D11C6E"/>
    <w:rsid w:val="00D15D4F"/>
    <w:rsid w:val="00D17DA3"/>
    <w:rsid w:val="00D211D3"/>
    <w:rsid w:val="00D23B84"/>
    <w:rsid w:val="00D27AEB"/>
    <w:rsid w:val="00D320F2"/>
    <w:rsid w:val="00D348C8"/>
    <w:rsid w:val="00D4155D"/>
    <w:rsid w:val="00D468DD"/>
    <w:rsid w:val="00D51722"/>
    <w:rsid w:val="00D55B7D"/>
    <w:rsid w:val="00D56A81"/>
    <w:rsid w:val="00D6338B"/>
    <w:rsid w:val="00D7091C"/>
    <w:rsid w:val="00D729AD"/>
    <w:rsid w:val="00D76742"/>
    <w:rsid w:val="00D80019"/>
    <w:rsid w:val="00D871D6"/>
    <w:rsid w:val="00D911DB"/>
    <w:rsid w:val="00D93E74"/>
    <w:rsid w:val="00D95A66"/>
    <w:rsid w:val="00DA00D2"/>
    <w:rsid w:val="00DA185D"/>
    <w:rsid w:val="00DB0ACF"/>
    <w:rsid w:val="00DB63DC"/>
    <w:rsid w:val="00DC09D4"/>
    <w:rsid w:val="00DC7F48"/>
    <w:rsid w:val="00DD6634"/>
    <w:rsid w:val="00DD6A62"/>
    <w:rsid w:val="00DE474D"/>
    <w:rsid w:val="00DE4899"/>
    <w:rsid w:val="00DE567D"/>
    <w:rsid w:val="00DF3C19"/>
    <w:rsid w:val="00DF6F5F"/>
    <w:rsid w:val="00E02E8A"/>
    <w:rsid w:val="00E03186"/>
    <w:rsid w:val="00E06437"/>
    <w:rsid w:val="00E10EA7"/>
    <w:rsid w:val="00E16D69"/>
    <w:rsid w:val="00E31DF6"/>
    <w:rsid w:val="00E40CF4"/>
    <w:rsid w:val="00E41B0D"/>
    <w:rsid w:val="00E54366"/>
    <w:rsid w:val="00E7539E"/>
    <w:rsid w:val="00E75A78"/>
    <w:rsid w:val="00E7663A"/>
    <w:rsid w:val="00E80008"/>
    <w:rsid w:val="00E801A4"/>
    <w:rsid w:val="00E837FC"/>
    <w:rsid w:val="00E876ED"/>
    <w:rsid w:val="00E9656D"/>
    <w:rsid w:val="00E9768F"/>
    <w:rsid w:val="00EA2B26"/>
    <w:rsid w:val="00EA2E07"/>
    <w:rsid w:val="00EA37F9"/>
    <w:rsid w:val="00EB4898"/>
    <w:rsid w:val="00EC39F6"/>
    <w:rsid w:val="00EC5212"/>
    <w:rsid w:val="00EC56DF"/>
    <w:rsid w:val="00EF04B7"/>
    <w:rsid w:val="00EF3FB1"/>
    <w:rsid w:val="00F11E90"/>
    <w:rsid w:val="00F12AC6"/>
    <w:rsid w:val="00F14472"/>
    <w:rsid w:val="00F1756B"/>
    <w:rsid w:val="00F17D49"/>
    <w:rsid w:val="00F22AE6"/>
    <w:rsid w:val="00F24220"/>
    <w:rsid w:val="00F40ACC"/>
    <w:rsid w:val="00F42B47"/>
    <w:rsid w:val="00F50652"/>
    <w:rsid w:val="00F529E9"/>
    <w:rsid w:val="00F53035"/>
    <w:rsid w:val="00F53B12"/>
    <w:rsid w:val="00F662FB"/>
    <w:rsid w:val="00F72B27"/>
    <w:rsid w:val="00F732DE"/>
    <w:rsid w:val="00F770F4"/>
    <w:rsid w:val="00F7755E"/>
    <w:rsid w:val="00F86557"/>
    <w:rsid w:val="00F865DD"/>
    <w:rsid w:val="00FA4204"/>
    <w:rsid w:val="00FA4EDB"/>
    <w:rsid w:val="00FA69A4"/>
    <w:rsid w:val="00FA6B04"/>
    <w:rsid w:val="00FC2E1E"/>
    <w:rsid w:val="00FC6C69"/>
    <w:rsid w:val="00FE1534"/>
    <w:rsid w:val="00FE167D"/>
    <w:rsid w:val="00FE4CE9"/>
    <w:rsid w:val="00FF0643"/>
    <w:rsid w:val="00FF53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B4238-58CA-48B1-912D-5F72B7C7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0F"/>
    <w:pPr>
      <w:spacing w:after="120" w:line="252" w:lineRule="auto"/>
    </w:pPr>
    <w:rPr>
      <w:rFonts w:ascii="Calibri Light" w:hAnsi="Calibri Light"/>
      <w:sz w:val="22"/>
      <w:szCs w:val="22"/>
      <w:lang w:val="fr-FR" w:eastAsia="en-US"/>
    </w:rPr>
  </w:style>
  <w:style w:type="paragraph" w:styleId="Heading1">
    <w:name w:val="heading 1"/>
    <w:next w:val="Normal"/>
    <w:link w:val="Heading1Char"/>
    <w:uiPriority w:val="9"/>
    <w:rsid w:val="00883BBB"/>
    <w:pPr>
      <w:pBdr>
        <w:bottom w:val="single" w:sz="4" w:space="1" w:color="5192C9"/>
      </w:pBdr>
      <w:spacing w:before="400" w:after="80"/>
      <w:outlineLvl w:val="0"/>
    </w:pPr>
    <w:rPr>
      <w:b/>
      <w:caps/>
      <w:color w:val="5192C9"/>
      <w:position w:val="-28"/>
      <w:sz w:val="24"/>
      <w:szCs w:val="22"/>
      <w:lang w:val="fr-FR" w:eastAsia="en-US"/>
    </w:rPr>
  </w:style>
  <w:style w:type="paragraph" w:styleId="Heading2">
    <w:name w:val="heading 2"/>
    <w:link w:val="Heading2Char"/>
    <w:uiPriority w:val="9"/>
    <w:unhideWhenUsed/>
    <w:qFormat/>
    <w:rsid w:val="00883BBB"/>
    <w:pPr>
      <w:keepNext/>
      <w:keepLines/>
      <w:spacing w:before="400" w:after="80"/>
      <w:outlineLvl w:val="1"/>
    </w:pPr>
    <w:rPr>
      <w:rFonts w:eastAsia="Times New Roman" w:cs="Times New Roman"/>
      <w:b/>
      <w:bCs/>
      <w:color w:val="5192C9"/>
      <w:sz w:val="24"/>
      <w:szCs w:val="26"/>
      <w:lang w:val="fr-FR" w:eastAsia="en-US"/>
    </w:rPr>
  </w:style>
  <w:style w:type="paragraph" w:styleId="Heading3">
    <w:name w:val="heading 3"/>
    <w:link w:val="Heading3Char"/>
    <w:uiPriority w:val="9"/>
    <w:unhideWhenUsed/>
    <w:qFormat/>
    <w:rsid w:val="0089220F"/>
    <w:pPr>
      <w:spacing w:before="240" w:after="80"/>
      <w:outlineLvl w:val="2"/>
    </w:pPr>
    <w:rPr>
      <w:color w:val="5792C9"/>
      <w:sz w:val="24"/>
      <w:szCs w:val="24"/>
      <w:lang w:val="fr-FR" w:eastAsia="en-US"/>
    </w:rPr>
  </w:style>
  <w:style w:type="paragraph" w:styleId="Heading4">
    <w:name w:val="heading 4"/>
    <w:basedOn w:val="Normal"/>
    <w:next w:val="Normal"/>
    <w:link w:val="Heading4Char"/>
    <w:uiPriority w:val="9"/>
    <w:semiHidden/>
    <w:unhideWhenUsed/>
    <w:qFormat/>
    <w:rsid w:val="00A97EE6"/>
    <w:pPr>
      <w:keepNext/>
      <w:keepLines/>
      <w:spacing w:before="40" w:after="0"/>
      <w:outlineLvl w:val="3"/>
    </w:pPr>
    <w:rPr>
      <w:rFonts w:eastAsia="Times New Roman" w:cs="Times New Roman"/>
      <w:i/>
      <w:iCs/>
      <w:color w:val="5192C9"/>
    </w:rPr>
  </w:style>
  <w:style w:type="paragraph" w:styleId="Heading5">
    <w:name w:val="heading 5"/>
    <w:basedOn w:val="Normal"/>
    <w:next w:val="Normal"/>
    <w:link w:val="Heading5Char"/>
    <w:uiPriority w:val="9"/>
    <w:semiHidden/>
    <w:unhideWhenUsed/>
    <w:qFormat/>
    <w:rsid w:val="00A97EE6"/>
    <w:pPr>
      <w:keepNext/>
      <w:keepLines/>
      <w:spacing w:before="40" w:after="0"/>
      <w:outlineLvl w:val="4"/>
    </w:pPr>
    <w:rPr>
      <w:rFonts w:eastAsia="Times New Roman" w:cs="Times New Roman"/>
      <w:color w:val="5192C9"/>
    </w:rPr>
  </w:style>
  <w:style w:type="paragraph" w:styleId="Heading6">
    <w:name w:val="heading 6"/>
    <w:basedOn w:val="Normal"/>
    <w:next w:val="Normal"/>
    <w:link w:val="Heading6Char"/>
    <w:uiPriority w:val="9"/>
    <w:semiHidden/>
    <w:unhideWhenUsed/>
    <w:qFormat/>
    <w:rsid w:val="00A97EE6"/>
    <w:pPr>
      <w:keepNext/>
      <w:keepLines/>
      <w:spacing w:before="40" w:after="0"/>
      <w:outlineLvl w:val="5"/>
    </w:pPr>
    <w:rPr>
      <w:rFonts w:eastAsia="Times New Roman" w:cs="Times New Roman"/>
      <w:color w:val="5192C9"/>
    </w:rPr>
  </w:style>
  <w:style w:type="paragraph" w:styleId="Heading7">
    <w:name w:val="heading 7"/>
    <w:basedOn w:val="Normal"/>
    <w:next w:val="Normal"/>
    <w:link w:val="Heading7Char"/>
    <w:uiPriority w:val="9"/>
    <w:semiHidden/>
    <w:unhideWhenUsed/>
    <w:qFormat/>
    <w:rsid w:val="00A97EE6"/>
    <w:pPr>
      <w:keepNext/>
      <w:keepLines/>
      <w:spacing w:before="40" w:after="0"/>
      <w:outlineLvl w:val="6"/>
    </w:pPr>
    <w:rPr>
      <w:rFonts w:eastAsia="Times New Roman" w:cs="Times New Roman"/>
      <w:i/>
      <w:iCs/>
      <w:color w:val="5192C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A97EE6"/>
  </w:style>
  <w:style w:type="character" w:customStyle="1" w:styleId="BodyTextChar">
    <w:name w:val="Body Text Char"/>
    <w:link w:val="BodyText"/>
    <w:uiPriority w:val="1"/>
    <w:semiHidden/>
    <w:rsid w:val="00A97EE6"/>
    <w:rPr>
      <w:rFonts w:ascii="Calibri Light" w:hAnsi="Calibri Light"/>
      <w:sz w:val="22"/>
    </w:rPr>
  </w:style>
  <w:style w:type="character" w:styleId="FootnoteReference">
    <w:name w:val="footnote reference"/>
    <w:uiPriority w:val="99"/>
    <w:unhideWhenUsed/>
    <w:rsid w:val="006B3AF3"/>
    <w:rPr>
      <w:rFonts w:ascii="Calibri Light" w:hAnsi="Calibri Light"/>
      <w:sz w:val="22"/>
      <w:vertAlign w:val="superscript"/>
    </w:rPr>
  </w:style>
  <w:style w:type="character" w:customStyle="1" w:styleId="Heading1Char">
    <w:name w:val="Heading 1 Char"/>
    <w:link w:val="Heading1"/>
    <w:uiPriority w:val="9"/>
    <w:rsid w:val="00883BBB"/>
    <w:rPr>
      <w:b/>
      <w:caps/>
      <w:color w:val="5192C9"/>
      <w:position w:val="-28"/>
      <w:sz w:val="24"/>
      <w:szCs w:val="22"/>
      <w:lang w:val="fr-FR" w:eastAsia="en-US" w:bidi="ar-SA"/>
    </w:rPr>
  </w:style>
  <w:style w:type="character" w:customStyle="1" w:styleId="Heading2Char">
    <w:name w:val="Heading 2 Char"/>
    <w:link w:val="Heading2"/>
    <w:uiPriority w:val="9"/>
    <w:rsid w:val="00883BBB"/>
    <w:rPr>
      <w:rFonts w:eastAsia="Times New Roman" w:cs="Times New Roman"/>
      <w:b/>
      <w:bCs/>
      <w:color w:val="5192C9"/>
      <w:sz w:val="24"/>
      <w:szCs w:val="26"/>
      <w:lang w:val="fr-FR" w:eastAsia="en-US" w:bidi="ar-SA"/>
    </w:rPr>
  </w:style>
  <w:style w:type="character" w:customStyle="1" w:styleId="Heading3Char">
    <w:name w:val="Heading 3 Char"/>
    <w:link w:val="Heading3"/>
    <w:uiPriority w:val="9"/>
    <w:rsid w:val="0089220F"/>
    <w:rPr>
      <w:color w:val="5792C9"/>
      <w:sz w:val="24"/>
      <w:szCs w:val="24"/>
      <w:lang w:val="fr-FR" w:eastAsia="en-US" w:bidi="ar-SA"/>
    </w:rPr>
  </w:style>
  <w:style w:type="character" w:styleId="Hyperlink">
    <w:name w:val="Hyperlink"/>
    <w:uiPriority w:val="99"/>
    <w:rsid w:val="00D17DA3"/>
    <w:rPr>
      <w:rFonts w:ascii="Calibri Light" w:hAnsi="Calibri Light"/>
      <w:color w:val="5192C9"/>
      <w:sz w:val="22"/>
      <w:u w:val="single"/>
      <w:bdr w:val="none" w:sz="0" w:space="0" w:color="auto"/>
      <w:shd w:val="clear" w:color="auto" w:fill="auto"/>
      <w:lang w:val="en-GB"/>
    </w:rPr>
  </w:style>
  <w:style w:type="paragraph" w:styleId="ListParagraph">
    <w:name w:val="List Paragraph"/>
    <w:aliases w:val="Bullets,Paragraphe de liste1,references,References,List Paragraph (numbered (a)),Liste 1,Numbered List Paragraph,ReferencesCxSpLast,List Paragraph nowy,List Paragraph1,123 List Paragraph,List_Paragraph,Multilevel para_II"/>
    <w:basedOn w:val="Normal"/>
    <w:link w:val="ListParagraphChar"/>
    <w:uiPriority w:val="34"/>
    <w:qFormat/>
    <w:rsid w:val="00BE67C9"/>
    <w:pPr>
      <w:spacing w:line="264" w:lineRule="auto"/>
      <w:ind w:left="720"/>
      <w:contextualSpacing/>
    </w:pPr>
    <w:rPr>
      <w:rFonts w:eastAsia="Times New Roman" w:cs="Arial (Corpo CS)"/>
    </w:rPr>
  </w:style>
  <w:style w:type="paragraph" w:styleId="Title">
    <w:name w:val="Title"/>
    <w:next w:val="Subtitle"/>
    <w:link w:val="TitleChar"/>
    <w:uiPriority w:val="10"/>
    <w:qFormat/>
    <w:rsid w:val="0089220F"/>
    <w:pPr>
      <w:spacing w:before="640" w:after="240"/>
      <w:contextualSpacing/>
      <w:jc w:val="center"/>
    </w:pPr>
    <w:rPr>
      <w:rFonts w:ascii="Georgia" w:eastAsia="Times New Roman" w:hAnsi="Georgia" w:cs="Times New Roman"/>
      <w:color w:val="5192C9"/>
      <w:kern w:val="28"/>
      <w:sz w:val="48"/>
      <w:szCs w:val="56"/>
      <w:lang w:val="fr-FR" w:eastAsia="en-US"/>
    </w:rPr>
  </w:style>
  <w:style w:type="character" w:customStyle="1" w:styleId="TitleChar">
    <w:name w:val="Title Char"/>
    <w:link w:val="Title"/>
    <w:uiPriority w:val="10"/>
    <w:rsid w:val="0089220F"/>
    <w:rPr>
      <w:rFonts w:ascii="Georgia" w:eastAsia="Times New Roman" w:hAnsi="Georgia" w:cs="Times New Roman"/>
      <w:color w:val="5192C9"/>
      <w:kern w:val="28"/>
      <w:sz w:val="48"/>
      <w:szCs w:val="56"/>
      <w:lang w:val="fr-FR" w:eastAsia="en-US" w:bidi="ar-SA"/>
    </w:rPr>
  </w:style>
  <w:style w:type="paragraph" w:customStyle="1" w:styleId="FigureTitle">
    <w:name w:val="Figure Title"/>
    <w:qFormat/>
    <w:rsid w:val="00883BBB"/>
    <w:pPr>
      <w:pBdr>
        <w:bottom w:val="single" w:sz="4" w:space="1" w:color="5192C9"/>
      </w:pBdr>
      <w:spacing w:before="400" w:after="40"/>
    </w:pPr>
    <w:rPr>
      <w:rFonts w:cs="Segoe UI"/>
      <w:color w:val="5192C9"/>
      <w:sz w:val="24"/>
      <w:szCs w:val="32"/>
      <w:lang w:val="fr-FR"/>
    </w:rPr>
  </w:style>
  <w:style w:type="character" w:styleId="SubtleEmphasis">
    <w:name w:val="Subtle Emphasis"/>
    <w:uiPriority w:val="19"/>
    <w:qFormat/>
    <w:rsid w:val="0063472D"/>
    <w:rPr>
      <w:rFonts w:ascii="Calibri Light" w:hAnsi="Calibri Light"/>
      <w:i/>
      <w:iCs/>
      <w:color w:val="404040"/>
      <w:sz w:val="22"/>
    </w:rPr>
  </w:style>
  <w:style w:type="character" w:styleId="FollowedHyperlink">
    <w:name w:val="FollowedHyperlink"/>
    <w:uiPriority w:val="99"/>
    <w:semiHidden/>
    <w:unhideWhenUsed/>
    <w:rsid w:val="00991215"/>
    <w:rPr>
      <w:rFonts w:ascii="Calibri Light" w:hAnsi="Calibri Light"/>
      <w:color w:val="954F72"/>
      <w:sz w:val="22"/>
      <w:u w:val="single"/>
    </w:rPr>
  </w:style>
  <w:style w:type="paragraph" w:customStyle="1" w:styleId="Data1">
    <w:name w:val="Data1"/>
    <w:basedOn w:val="Normal"/>
    <w:qFormat/>
    <w:rsid w:val="00BE67C9"/>
    <w:pPr>
      <w:spacing w:after="0" w:line="264" w:lineRule="auto"/>
      <w:ind w:right="260"/>
      <w:jc w:val="right"/>
    </w:pPr>
    <w:rPr>
      <w:rFonts w:eastAsia="Times New Roman" w:cs="Arial (Corpo CS)"/>
      <w:b/>
      <w:color w:val="5792C9"/>
      <w:sz w:val="28"/>
      <w:szCs w:val="28"/>
    </w:rPr>
  </w:style>
  <w:style w:type="character" w:customStyle="1" w:styleId="Heading4Char">
    <w:name w:val="Heading 4 Char"/>
    <w:link w:val="Heading4"/>
    <w:uiPriority w:val="9"/>
    <w:semiHidden/>
    <w:rsid w:val="00A97EE6"/>
    <w:rPr>
      <w:rFonts w:ascii="Calibri Light" w:eastAsia="Times New Roman" w:hAnsi="Calibri Light" w:cs="Times New Roman"/>
      <w:i/>
      <w:iCs/>
      <w:color w:val="5192C9"/>
      <w:sz w:val="22"/>
    </w:rPr>
  </w:style>
  <w:style w:type="character" w:customStyle="1" w:styleId="ListParagraphChar">
    <w:name w:val="List Paragraph Char"/>
    <w:aliases w:val="Bullets Char,Paragraphe de liste1 Char,references Char,References Char,List Paragraph (numbered (a)) Char,Liste 1 Char,Numbered List Paragraph Char,ReferencesCxSpLast Char,List Paragraph nowy Char,List Paragraph1 Char"/>
    <w:link w:val="ListParagraph"/>
    <w:uiPriority w:val="34"/>
    <w:qFormat/>
    <w:locked/>
    <w:rsid w:val="00BE67C9"/>
    <w:rPr>
      <w:rFonts w:ascii="Calibri Light" w:eastAsia="Times New Roman" w:hAnsi="Calibri Light" w:cs="Arial (Corpo CS)"/>
      <w:sz w:val="22"/>
    </w:rPr>
  </w:style>
  <w:style w:type="paragraph" w:styleId="EndnoteText">
    <w:name w:val="endnote text"/>
    <w:basedOn w:val="Normal"/>
    <w:link w:val="EndnoteTextChar"/>
    <w:uiPriority w:val="99"/>
    <w:semiHidden/>
    <w:unhideWhenUsed/>
    <w:rsid w:val="00BE67C9"/>
    <w:pPr>
      <w:spacing w:after="0" w:line="240" w:lineRule="auto"/>
    </w:pPr>
    <w:rPr>
      <w:rFonts w:ascii="Times New Roman" w:hAnsi="Times New Roman" w:cs="Times New Roman"/>
      <w:sz w:val="20"/>
      <w:szCs w:val="20"/>
      <w:lang w:eastAsia="en-GB"/>
    </w:rPr>
  </w:style>
  <w:style w:type="character" w:customStyle="1" w:styleId="EndnoteTextChar">
    <w:name w:val="Endnote Text Char"/>
    <w:link w:val="EndnoteText"/>
    <w:uiPriority w:val="99"/>
    <w:semiHidden/>
    <w:rsid w:val="00BE67C9"/>
    <w:rPr>
      <w:rFonts w:ascii="Times New Roman" w:hAnsi="Times New Roman" w:cs="Times New Roman"/>
      <w:sz w:val="20"/>
      <w:szCs w:val="20"/>
      <w:lang w:val="en-GB" w:eastAsia="en-GB"/>
    </w:rPr>
  </w:style>
  <w:style w:type="character" w:styleId="EndnoteReference">
    <w:name w:val="endnote reference"/>
    <w:uiPriority w:val="99"/>
    <w:semiHidden/>
    <w:unhideWhenUsed/>
    <w:rsid w:val="00BE67C9"/>
    <w:rPr>
      <w:rFonts w:ascii="Calibri Light" w:hAnsi="Calibri Light"/>
      <w:sz w:val="22"/>
      <w:vertAlign w:val="superscript"/>
    </w:rPr>
  </w:style>
  <w:style w:type="paragraph" w:styleId="Subtitle">
    <w:name w:val="Subtitle"/>
    <w:basedOn w:val="Normal"/>
    <w:next w:val="Normal"/>
    <w:link w:val="SubtitleChar"/>
    <w:uiPriority w:val="11"/>
    <w:qFormat/>
    <w:rsid w:val="00BE67C9"/>
    <w:pPr>
      <w:numPr>
        <w:ilvl w:val="1"/>
      </w:numPr>
    </w:pPr>
    <w:rPr>
      <w:rFonts w:eastAsia="Times New Roman"/>
      <w:color w:val="5A5A5A"/>
      <w:spacing w:val="15"/>
    </w:rPr>
  </w:style>
  <w:style w:type="character" w:customStyle="1" w:styleId="SubtitleChar">
    <w:name w:val="Subtitle Char"/>
    <w:link w:val="Subtitle"/>
    <w:uiPriority w:val="11"/>
    <w:rsid w:val="00BE67C9"/>
    <w:rPr>
      <w:rFonts w:ascii="Calibri Light" w:eastAsia="Times New Roman" w:hAnsi="Calibri Light"/>
      <w:color w:val="5A5A5A"/>
      <w:spacing w:val="15"/>
      <w:sz w:val="22"/>
    </w:rPr>
  </w:style>
  <w:style w:type="character" w:customStyle="1" w:styleId="Heading5Char">
    <w:name w:val="Heading 5 Char"/>
    <w:link w:val="Heading5"/>
    <w:uiPriority w:val="9"/>
    <w:semiHidden/>
    <w:rsid w:val="00A97EE6"/>
    <w:rPr>
      <w:rFonts w:ascii="Calibri Light" w:eastAsia="Times New Roman" w:hAnsi="Calibri Light" w:cs="Times New Roman"/>
      <w:color w:val="5192C9"/>
      <w:sz w:val="22"/>
    </w:rPr>
  </w:style>
  <w:style w:type="character" w:customStyle="1" w:styleId="Heading6Char">
    <w:name w:val="Heading 6 Char"/>
    <w:link w:val="Heading6"/>
    <w:uiPriority w:val="9"/>
    <w:semiHidden/>
    <w:rsid w:val="00A97EE6"/>
    <w:rPr>
      <w:rFonts w:ascii="Calibri Light" w:eastAsia="Times New Roman" w:hAnsi="Calibri Light" w:cs="Times New Roman"/>
      <w:color w:val="5192C9"/>
      <w:sz w:val="22"/>
    </w:rPr>
  </w:style>
  <w:style w:type="paragraph" w:customStyle="1" w:styleId="Bulletlist">
    <w:name w:val="Bullet_list"/>
    <w:basedOn w:val="ListParagraph"/>
    <w:qFormat/>
    <w:rsid w:val="0089220F"/>
    <w:pPr>
      <w:numPr>
        <w:numId w:val="1"/>
      </w:numPr>
      <w:spacing w:line="252" w:lineRule="auto"/>
    </w:pPr>
    <w:rPr>
      <w:rFonts w:eastAsia="SegoeUI" w:cs="Calibri Light"/>
      <w:lang w:bidi="en-US"/>
    </w:rPr>
  </w:style>
  <w:style w:type="paragraph" w:styleId="BalloonText">
    <w:name w:val="Balloon Text"/>
    <w:basedOn w:val="Normal"/>
    <w:link w:val="BalloonTextChar"/>
    <w:uiPriority w:val="99"/>
    <w:semiHidden/>
    <w:unhideWhenUsed/>
    <w:rsid w:val="007C1F4C"/>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7C1F4C"/>
    <w:rPr>
      <w:rFonts w:ascii="Times New Roman" w:hAnsi="Times New Roman" w:cs="Times New Roman"/>
      <w:sz w:val="18"/>
      <w:szCs w:val="18"/>
    </w:rPr>
  </w:style>
  <w:style w:type="paragraph" w:customStyle="1" w:styleId="Souce">
    <w:name w:val="Souce"/>
    <w:basedOn w:val="Normal"/>
    <w:qFormat/>
    <w:rsid w:val="00883BBB"/>
    <w:pPr>
      <w:spacing w:before="40"/>
      <w:ind w:left="4768" w:firstLine="227"/>
      <w:jc w:val="right"/>
    </w:pPr>
    <w:rPr>
      <w:rFonts w:cs="Calibri Light"/>
      <w:i/>
      <w:iCs/>
      <w:sz w:val="18"/>
      <w:szCs w:val="18"/>
    </w:rPr>
  </w:style>
  <w:style w:type="paragraph" w:customStyle="1" w:styleId="Intestazione1">
    <w:name w:val="Intestazione1"/>
    <w:basedOn w:val="Normal"/>
    <w:qFormat/>
    <w:rsid w:val="00351A05"/>
    <w:pPr>
      <w:spacing w:after="0"/>
      <w:jc w:val="center"/>
    </w:pPr>
    <w:rPr>
      <w:rFonts w:ascii="Georgia" w:hAnsi="Georgia" w:cs="Segoe UI"/>
      <w:color w:val="5192C9"/>
    </w:rPr>
  </w:style>
  <w:style w:type="character" w:customStyle="1" w:styleId="Heading7Char">
    <w:name w:val="Heading 7 Char"/>
    <w:link w:val="Heading7"/>
    <w:uiPriority w:val="9"/>
    <w:semiHidden/>
    <w:rsid w:val="00A97EE6"/>
    <w:rPr>
      <w:rFonts w:ascii="Calibri Light" w:eastAsia="Times New Roman" w:hAnsi="Calibri Light" w:cs="Times New Roman"/>
      <w:i/>
      <w:iCs/>
      <w:color w:val="5192C9"/>
      <w:sz w:val="22"/>
    </w:rPr>
  </w:style>
  <w:style w:type="paragraph" w:styleId="Footer">
    <w:name w:val="footer"/>
    <w:basedOn w:val="Normal"/>
    <w:link w:val="FooterChar"/>
    <w:uiPriority w:val="99"/>
    <w:unhideWhenUsed/>
    <w:rsid w:val="00CF6465"/>
    <w:pPr>
      <w:tabs>
        <w:tab w:val="center" w:pos="4819"/>
        <w:tab w:val="right" w:pos="9638"/>
      </w:tabs>
      <w:spacing w:after="0" w:line="240" w:lineRule="auto"/>
    </w:pPr>
    <w:rPr>
      <w:sz w:val="16"/>
    </w:rPr>
  </w:style>
  <w:style w:type="character" w:customStyle="1" w:styleId="FooterChar">
    <w:name w:val="Footer Char"/>
    <w:link w:val="Footer"/>
    <w:uiPriority w:val="99"/>
    <w:rsid w:val="00CF6465"/>
    <w:rPr>
      <w:rFonts w:ascii="Calibri Light" w:hAnsi="Calibri Light"/>
      <w:sz w:val="16"/>
    </w:rPr>
  </w:style>
  <w:style w:type="paragraph" w:styleId="TOCHeading">
    <w:name w:val="TOC Heading"/>
    <w:basedOn w:val="Heading1"/>
    <w:next w:val="Normal"/>
    <w:uiPriority w:val="39"/>
    <w:unhideWhenUsed/>
    <w:qFormat/>
    <w:rsid w:val="00A97EE6"/>
    <w:pPr>
      <w:keepNext/>
      <w:keepLines/>
      <w:pBdr>
        <w:bottom w:val="none" w:sz="0" w:space="0" w:color="auto"/>
      </w:pBdr>
      <w:spacing w:before="240" w:after="0" w:line="252" w:lineRule="auto"/>
      <w:outlineLvl w:val="9"/>
    </w:pPr>
    <w:rPr>
      <w:rFonts w:ascii="Calibri Light" w:eastAsia="Times New Roman" w:hAnsi="Calibri Light" w:cs="Times New Roman"/>
      <w:b w:val="0"/>
      <w:caps w:val="0"/>
      <w:position w:val="0"/>
      <w:sz w:val="32"/>
      <w:szCs w:val="32"/>
      <w:lang w:val="en-US"/>
    </w:rPr>
  </w:style>
  <w:style w:type="paragraph" w:styleId="BlockText">
    <w:name w:val="Block Text"/>
    <w:basedOn w:val="Normal"/>
    <w:uiPriority w:val="99"/>
    <w:semiHidden/>
    <w:unhideWhenUsed/>
    <w:rsid w:val="00AF50C8"/>
    <w:pPr>
      <w:pBdr>
        <w:top w:val="single" w:sz="2" w:space="10" w:color="5192C9"/>
        <w:left w:val="single" w:sz="2" w:space="10" w:color="5192C9"/>
        <w:bottom w:val="single" w:sz="2" w:space="10" w:color="5192C9"/>
        <w:right w:val="single" w:sz="2" w:space="10" w:color="5192C9"/>
      </w:pBdr>
      <w:ind w:left="1152" w:right="1152"/>
    </w:pPr>
    <w:rPr>
      <w:rFonts w:ascii="Calibri" w:eastAsia="Times New Roman" w:hAnsi="Calibri"/>
      <w:i/>
      <w:iCs/>
      <w:color w:val="5192C9"/>
    </w:rPr>
  </w:style>
  <w:style w:type="character" w:customStyle="1" w:styleId="Mention1">
    <w:name w:val="Mention1"/>
    <w:uiPriority w:val="99"/>
    <w:semiHidden/>
    <w:unhideWhenUsed/>
    <w:rsid w:val="00AF50C8"/>
    <w:rPr>
      <w:rFonts w:ascii="Calibri Light" w:hAnsi="Calibri Light"/>
      <w:color w:val="5192C9"/>
      <w:sz w:val="22"/>
      <w:shd w:val="clear" w:color="auto" w:fill="E1DFDD"/>
    </w:rPr>
  </w:style>
  <w:style w:type="character" w:styleId="IntenseReference">
    <w:name w:val="Intense Reference"/>
    <w:uiPriority w:val="32"/>
    <w:qFormat/>
    <w:rsid w:val="00AF50C8"/>
    <w:rPr>
      <w:rFonts w:ascii="Calibri Light" w:hAnsi="Calibri Light"/>
      <w:b/>
      <w:bCs/>
      <w:smallCaps/>
      <w:color w:val="5192C9"/>
      <w:spacing w:val="5"/>
      <w:sz w:val="22"/>
    </w:rPr>
  </w:style>
  <w:style w:type="paragraph" w:styleId="IntenseQuote">
    <w:name w:val="Intense Quote"/>
    <w:basedOn w:val="Normal"/>
    <w:next w:val="Normal"/>
    <w:link w:val="IntenseQuoteChar"/>
    <w:uiPriority w:val="30"/>
    <w:qFormat/>
    <w:rsid w:val="00D871D6"/>
    <w:pPr>
      <w:pBdr>
        <w:top w:val="single" w:sz="4" w:space="10" w:color="5192C9"/>
        <w:bottom w:val="single" w:sz="4" w:space="10" w:color="5192C9"/>
      </w:pBdr>
      <w:spacing w:before="360" w:after="360"/>
      <w:ind w:left="862" w:right="862"/>
      <w:jc w:val="center"/>
    </w:pPr>
    <w:rPr>
      <w:i/>
      <w:iCs/>
      <w:color w:val="5192C9"/>
    </w:rPr>
  </w:style>
  <w:style w:type="character" w:customStyle="1" w:styleId="IntenseQuoteChar">
    <w:name w:val="Intense Quote Char"/>
    <w:link w:val="IntenseQuote"/>
    <w:uiPriority w:val="30"/>
    <w:rsid w:val="00D871D6"/>
    <w:rPr>
      <w:rFonts w:ascii="Calibri Light" w:hAnsi="Calibri Light"/>
      <w:i/>
      <w:iCs/>
      <w:color w:val="5192C9"/>
      <w:sz w:val="22"/>
    </w:rPr>
  </w:style>
  <w:style w:type="character" w:customStyle="1" w:styleId="Hashtag1">
    <w:name w:val="Hashtag1"/>
    <w:uiPriority w:val="99"/>
    <w:semiHidden/>
    <w:unhideWhenUsed/>
    <w:rsid w:val="00AF50C8"/>
    <w:rPr>
      <w:rFonts w:ascii="Calibri Light" w:hAnsi="Calibri Light"/>
      <w:color w:val="5192C9"/>
      <w:sz w:val="22"/>
      <w:shd w:val="clear" w:color="auto" w:fill="E1DFDD"/>
    </w:rPr>
  </w:style>
  <w:style w:type="character" w:styleId="IntenseEmphasis">
    <w:name w:val="Intense Emphasis"/>
    <w:uiPriority w:val="21"/>
    <w:qFormat/>
    <w:rsid w:val="00AF50C8"/>
    <w:rPr>
      <w:rFonts w:ascii="Calibri Light" w:hAnsi="Calibri Light"/>
      <w:i/>
      <w:iCs/>
      <w:color w:val="4472C4"/>
      <w:sz w:val="22"/>
    </w:rPr>
  </w:style>
  <w:style w:type="paragraph" w:customStyle="1" w:styleId="Sublist">
    <w:name w:val="Sublist"/>
    <w:basedOn w:val="ListParagraph"/>
    <w:qFormat/>
    <w:rsid w:val="00351A05"/>
    <w:pPr>
      <w:numPr>
        <w:numId w:val="2"/>
      </w:numPr>
      <w:spacing w:line="252" w:lineRule="auto"/>
    </w:pPr>
  </w:style>
  <w:style w:type="paragraph" w:styleId="NoSpacing">
    <w:name w:val="No Spacing"/>
    <w:link w:val="NoSpacingChar"/>
    <w:uiPriority w:val="1"/>
    <w:qFormat/>
    <w:rsid w:val="0082641B"/>
    <w:rPr>
      <w:rFonts w:ascii="Calibri Light" w:hAnsi="Calibri Light"/>
      <w:sz w:val="22"/>
      <w:szCs w:val="22"/>
      <w:lang w:val="en-US" w:eastAsia="en-US"/>
    </w:rPr>
  </w:style>
  <w:style w:type="paragraph" w:styleId="FootnoteText">
    <w:name w:val="footnote text"/>
    <w:aliases w:val="Geneva 9,Font: Geneva 9,Boston 10,f,FOOTNOTES,fn,single space,footnote text,ALTS FOOTNOTE,BRS FOOTNOTE TEXT,Footnotes,Footnote ak,Footnote Text Char1,Footnote Text Char Char,Char,Char Char,Char Char Char Char,Char Char2,Char Char21"/>
    <w:basedOn w:val="Normal"/>
    <w:link w:val="FootnoteTextChar"/>
    <w:uiPriority w:val="99"/>
    <w:unhideWhenUsed/>
    <w:qFormat/>
    <w:rsid w:val="00883BBB"/>
    <w:pPr>
      <w:spacing w:before="40" w:after="40" w:line="240" w:lineRule="auto"/>
    </w:pPr>
    <w:rPr>
      <w:sz w:val="16"/>
      <w:szCs w:val="20"/>
    </w:rPr>
  </w:style>
  <w:style w:type="paragraph" w:customStyle="1" w:styleId="ReferencesandacknowledgmentsTxt">
    <w:name w:val="References and acknowledgments – Txt"/>
    <w:basedOn w:val="Normal"/>
    <w:qFormat/>
    <w:rsid w:val="00FA6B04"/>
    <w:pPr>
      <w:ind w:left="227" w:hanging="227"/>
    </w:pPr>
    <w:rPr>
      <w:lang w:val="it-IT"/>
    </w:rPr>
  </w:style>
  <w:style w:type="character" w:customStyle="1" w:styleId="FootnoteTextChar">
    <w:name w:val="Footnote Text Char"/>
    <w:aliases w:val="Geneva 9 Char,Font: Geneva 9 Char,Boston 10 Char,f Char,FOOTNOTES Char,fn Char,single space Char,footnote text Char,ALTS FOOTNOTE Char,BRS FOOTNOTE TEXT Char,Footnotes Char,Footnote ak Char,Footnote Text Char1 Char,Char Char1"/>
    <w:link w:val="FootnoteText"/>
    <w:uiPriority w:val="99"/>
    <w:rsid w:val="00883BBB"/>
    <w:rPr>
      <w:rFonts w:ascii="Calibri Light" w:hAnsi="Calibri Light"/>
      <w:sz w:val="16"/>
      <w:szCs w:val="20"/>
      <w:lang w:val="fr-FR"/>
    </w:rPr>
  </w:style>
  <w:style w:type="paragraph" w:customStyle="1" w:styleId="Tabletxt">
    <w:name w:val="Table_txt"/>
    <w:basedOn w:val="Normal"/>
    <w:qFormat/>
    <w:rsid w:val="0089220F"/>
    <w:rPr>
      <w:rFonts w:cs="Calibri"/>
      <w:color w:val="000000"/>
      <w:sz w:val="20"/>
      <w:szCs w:val="20"/>
    </w:rPr>
  </w:style>
  <w:style w:type="table" w:customStyle="1" w:styleId="GridTable1LightAccent1">
    <w:name w:val="Grid Table 1 Light Accent 1"/>
    <w:basedOn w:val="TableNormal"/>
    <w:uiPriority w:val="46"/>
    <w:rsid w:val="00B80F8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ablebulletlist">
    <w:name w:val="Table_bullet_list"/>
    <w:basedOn w:val="Bulletlist"/>
    <w:qFormat/>
    <w:rsid w:val="00B80F8D"/>
    <w:pPr>
      <w:numPr>
        <w:numId w:val="3"/>
      </w:numPr>
    </w:pPr>
    <w:rPr>
      <w:bCs/>
      <w:sz w:val="20"/>
      <w:lang w:val="en-CA"/>
    </w:rPr>
  </w:style>
  <w:style w:type="paragraph" w:customStyle="1" w:styleId="Tableboxtitle">
    <w:name w:val="Table box title"/>
    <w:basedOn w:val="Normal"/>
    <w:qFormat/>
    <w:rsid w:val="00B80F8D"/>
    <w:pPr>
      <w:spacing w:after="0" w:line="240" w:lineRule="auto"/>
    </w:pPr>
    <w:rPr>
      <w:rFonts w:ascii="Calibri" w:hAnsi="Calibri" w:cs="Calibri"/>
      <w:b/>
      <w:bCs/>
      <w:color w:val="FFFFFF"/>
      <w:sz w:val="20"/>
      <w:szCs w:val="20"/>
      <w:lang w:val="en-CA"/>
    </w:rPr>
  </w:style>
  <w:style w:type="paragraph" w:customStyle="1" w:styleId="TableTitle">
    <w:name w:val="Table Title"/>
    <w:basedOn w:val="FigureTitle"/>
    <w:qFormat/>
    <w:rsid w:val="00883BBB"/>
    <w:pPr>
      <w:pBdr>
        <w:bottom w:val="none" w:sz="0" w:space="0" w:color="auto"/>
      </w:pBdr>
    </w:pPr>
  </w:style>
  <w:style w:type="paragraph" w:customStyle="1" w:styleId="Questions">
    <w:name w:val="Questions"/>
    <w:basedOn w:val="Normal"/>
    <w:qFormat/>
    <w:rsid w:val="000C2147"/>
    <w:rPr>
      <w:b/>
    </w:rPr>
  </w:style>
  <w:style w:type="paragraph" w:customStyle="1" w:styleId="Answers">
    <w:name w:val="Answers"/>
    <w:basedOn w:val="Normal"/>
    <w:qFormat/>
    <w:rsid w:val="0089220F"/>
    <w:pPr>
      <w:spacing w:after="240"/>
      <w:ind w:left="284"/>
    </w:pPr>
  </w:style>
  <w:style w:type="paragraph" w:customStyle="1" w:styleId="Pargraphbg">
    <w:name w:val="Pargraph bg"/>
    <w:basedOn w:val="Normal"/>
    <w:qFormat/>
    <w:rsid w:val="00B82CA3"/>
    <w:pPr>
      <w:pBdr>
        <w:top w:val="single" w:sz="4" w:space="10" w:color="ECF6FF"/>
        <w:left w:val="single" w:sz="4" w:space="14" w:color="ECF6FF"/>
        <w:bottom w:val="single" w:sz="4" w:space="10" w:color="ECF6FF"/>
        <w:right w:val="single" w:sz="4" w:space="14" w:color="ECF6FF"/>
      </w:pBdr>
      <w:shd w:val="clear" w:color="5192C9" w:fill="ECF6FF"/>
      <w:spacing w:before="240"/>
      <w:ind w:left="284" w:right="284"/>
    </w:pPr>
  </w:style>
  <w:style w:type="paragraph" w:customStyle="1" w:styleId="Author">
    <w:name w:val="Author"/>
    <w:basedOn w:val="Normal"/>
    <w:qFormat/>
    <w:rsid w:val="00676FDB"/>
    <w:pPr>
      <w:spacing w:after="0"/>
      <w:jc w:val="center"/>
    </w:pPr>
    <w:rPr>
      <w:rFonts w:cs="Calibri Light"/>
      <w:b/>
      <w:iCs/>
      <w:color w:val="5192C9"/>
      <w:lang w:val="es-ES"/>
    </w:rPr>
  </w:style>
  <w:style w:type="character" w:styleId="CommentReference">
    <w:name w:val="annotation reference"/>
    <w:uiPriority w:val="99"/>
    <w:semiHidden/>
    <w:unhideWhenUsed/>
    <w:rsid w:val="00FE1534"/>
    <w:rPr>
      <w:sz w:val="16"/>
      <w:szCs w:val="16"/>
    </w:rPr>
  </w:style>
  <w:style w:type="paragraph" w:styleId="CommentText">
    <w:name w:val="annotation text"/>
    <w:basedOn w:val="Normal"/>
    <w:link w:val="CommentTextChar"/>
    <w:uiPriority w:val="99"/>
    <w:semiHidden/>
    <w:unhideWhenUsed/>
    <w:rsid w:val="00FE1534"/>
    <w:pPr>
      <w:spacing w:line="240" w:lineRule="auto"/>
    </w:pPr>
    <w:rPr>
      <w:sz w:val="20"/>
      <w:szCs w:val="20"/>
    </w:rPr>
  </w:style>
  <w:style w:type="character" w:customStyle="1" w:styleId="CommentTextChar">
    <w:name w:val="Comment Text Char"/>
    <w:link w:val="CommentText"/>
    <w:uiPriority w:val="99"/>
    <w:semiHidden/>
    <w:rsid w:val="00FE1534"/>
    <w:rPr>
      <w:rFonts w:ascii="Calibri Light" w:hAnsi="Calibri Light"/>
      <w:sz w:val="20"/>
      <w:szCs w:val="20"/>
      <w:lang w:val="fr-FR"/>
    </w:rPr>
  </w:style>
  <w:style w:type="paragraph" w:styleId="CommentSubject">
    <w:name w:val="annotation subject"/>
    <w:basedOn w:val="CommentText"/>
    <w:next w:val="CommentText"/>
    <w:link w:val="CommentSubjectChar"/>
    <w:uiPriority w:val="99"/>
    <w:semiHidden/>
    <w:unhideWhenUsed/>
    <w:rsid w:val="00FE1534"/>
    <w:rPr>
      <w:b/>
      <w:bCs/>
    </w:rPr>
  </w:style>
  <w:style w:type="character" w:customStyle="1" w:styleId="CommentSubjectChar">
    <w:name w:val="Comment Subject Char"/>
    <w:link w:val="CommentSubject"/>
    <w:uiPriority w:val="99"/>
    <w:semiHidden/>
    <w:rsid w:val="00FE1534"/>
    <w:rPr>
      <w:rFonts w:ascii="Calibri Light" w:hAnsi="Calibri Light"/>
      <w:b/>
      <w:bCs/>
      <w:sz w:val="20"/>
      <w:szCs w:val="20"/>
      <w:lang w:val="fr-FR"/>
    </w:rPr>
  </w:style>
  <w:style w:type="table" w:customStyle="1" w:styleId="PlainTable11">
    <w:name w:val="Plain Table 11"/>
    <w:basedOn w:val="TableNormal"/>
    <w:uiPriority w:val="41"/>
    <w:rsid w:val="00C16D4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
    <w:name w:val="Grid Table 2 Accent 1"/>
    <w:basedOn w:val="TableNormal"/>
    <w:uiPriority w:val="47"/>
    <w:rsid w:val="005E0F7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
    <w:name w:val="Grid Table 4 Accent 5"/>
    <w:basedOn w:val="TableNormal"/>
    <w:uiPriority w:val="49"/>
    <w:rsid w:val="005E0F7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link w:val="NoSpacing"/>
    <w:uiPriority w:val="1"/>
    <w:rsid w:val="005328FB"/>
    <w:rPr>
      <w:rFonts w:ascii="Calibri Light" w:hAnsi="Calibri Light"/>
      <w:sz w:val="22"/>
      <w:szCs w:val="22"/>
      <w:lang w:val="en-US" w:eastAsia="en-US" w:bidi="ar-SA"/>
    </w:rPr>
  </w:style>
  <w:style w:type="paragraph" w:customStyle="1" w:styleId="Tramemoyenne1-Accent11">
    <w:name w:val="Trame moyenne 1 - Accent 11"/>
    <w:qFormat/>
    <w:rsid w:val="00F17D49"/>
    <w:rPr>
      <w:rFonts w:eastAsia="Times New Roman" w:cs="Calibri"/>
      <w:sz w:val="22"/>
      <w:szCs w:val="22"/>
      <w:lang w:val="de-DE" w:eastAsia="en-US"/>
    </w:rPr>
  </w:style>
  <w:style w:type="character" w:customStyle="1" w:styleId="TabellentextZchn">
    <w:name w:val="Tabellentext Zchn"/>
    <w:link w:val="Tabellentext"/>
    <w:locked/>
    <w:rsid w:val="00F17D49"/>
    <w:rPr>
      <w:rFonts w:ascii="Arial" w:hAnsi="Arial" w:cs="Arial"/>
    </w:rPr>
  </w:style>
  <w:style w:type="paragraph" w:customStyle="1" w:styleId="Tabellentext">
    <w:name w:val="Tabellentext"/>
    <w:basedOn w:val="Normal"/>
    <w:link w:val="TabellentextZchn"/>
    <w:qFormat/>
    <w:rsid w:val="00F17D49"/>
    <w:pPr>
      <w:spacing w:after="0" w:line="288" w:lineRule="auto"/>
    </w:pPr>
    <w:rPr>
      <w:rFonts w:ascii="Arial" w:hAnsi="Arial" w:cs="Times New Roman"/>
      <w:sz w:val="20"/>
      <w:szCs w:val="20"/>
      <w:lang w:val="x-none" w:eastAsia="x-none"/>
    </w:rPr>
  </w:style>
  <w:style w:type="paragraph" w:styleId="Caption">
    <w:name w:val="caption"/>
    <w:basedOn w:val="Normal"/>
    <w:next w:val="Normal"/>
    <w:autoRedefine/>
    <w:uiPriority w:val="35"/>
    <w:qFormat/>
    <w:rsid w:val="00A17F13"/>
    <w:pPr>
      <w:spacing w:before="120" w:line="312" w:lineRule="auto"/>
      <w:jc w:val="center"/>
      <w:outlineLvl w:val="0"/>
    </w:pPr>
    <w:rPr>
      <w:rFonts w:ascii="Times New Roman" w:eastAsia="Times New Roman" w:hAnsi="Times New Roman" w:cs="Times New Roman"/>
      <w:lang w:eastAsia="fr-FR"/>
    </w:rPr>
  </w:style>
  <w:style w:type="table" w:customStyle="1" w:styleId="PlainTable31">
    <w:name w:val="Plain Table 31"/>
    <w:basedOn w:val="TableNormal"/>
    <w:uiPriority w:val="43"/>
    <w:rsid w:val="007441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548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A548F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1">
    <w:name w:val="toc 1"/>
    <w:basedOn w:val="Normal"/>
    <w:next w:val="Normal"/>
    <w:autoRedefine/>
    <w:uiPriority w:val="39"/>
    <w:unhideWhenUsed/>
    <w:rsid w:val="006F58B7"/>
    <w:pPr>
      <w:spacing w:after="100"/>
    </w:pPr>
  </w:style>
  <w:style w:type="paragraph" w:customStyle="1" w:styleId="Default">
    <w:name w:val="Default"/>
    <w:rsid w:val="0034744E"/>
    <w:pPr>
      <w:autoSpaceDE w:val="0"/>
      <w:autoSpaceDN w:val="0"/>
      <w:adjustRightInd w:val="0"/>
    </w:pPr>
    <w:rPr>
      <w:rFonts w:eastAsia="Times New Roman" w:cs="Calibri"/>
      <w:color w:val="000000"/>
      <w:sz w:val="24"/>
      <w:szCs w:val="24"/>
      <w:lang w:val="fr-FR" w:eastAsia="fr-FR"/>
    </w:rPr>
  </w:style>
  <w:style w:type="paragraph" w:customStyle="1" w:styleId="RappGT2019TN1">
    <w:name w:val="Rapp GT2019 TN1"/>
    <w:basedOn w:val="Heading1"/>
    <w:autoRedefine/>
    <w:qFormat/>
    <w:rsid w:val="0034744E"/>
    <w:pPr>
      <w:keepNext/>
      <w:keepLines/>
      <w:pageBreakBefore/>
      <w:numPr>
        <w:numId w:val="26"/>
      </w:numPr>
      <w:pBdr>
        <w:bottom w:val="none" w:sz="0" w:space="0" w:color="auto"/>
      </w:pBdr>
      <w:spacing w:before="120" w:after="120" w:line="276" w:lineRule="auto"/>
      <w:jc w:val="both"/>
    </w:pPr>
    <w:rPr>
      <w:rFonts w:ascii="Calibri Light" w:eastAsia="CenturyGothic,Bold" w:hAnsi="Calibri Light" w:cs="Times New Roman"/>
      <w:color w:val="2F5496"/>
      <w:position w:val="0"/>
      <w:sz w:val="32"/>
      <w:szCs w:val="32"/>
      <w:lang w:val="en-US" w:eastAsia="fr-FR"/>
    </w:rPr>
  </w:style>
  <w:style w:type="paragraph" w:customStyle="1" w:styleId="RappGT2019TN2">
    <w:name w:val="Rapp GT2019 TN2"/>
    <w:basedOn w:val="ListParagraph"/>
    <w:next w:val="RappGT2019TN1"/>
    <w:autoRedefine/>
    <w:qFormat/>
    <w:rsid w:val="0034744E"/>
    <w:pPr>
      <w:keepNext/>
      <w:keepLines/>
      <w:numPr>
        <w:ilvl w:val="2"/>
        <w:numId w:val="26"/>
      </w:numPr>
      <w:shd w:val="clear" w:color="auto" w:fill="D9E2F3"/>
      <w:spacing w:before="100" w:after="100" w:line="240" w:lineRule="auto"/>
      <w:ind w:right="284"/>
      <w:jc w:val="both"/>
      <w:outlineLvl w:val="1"/>
    </w:pPr>
    <w:rPr>
      <w:rFonts w:eastAsia="Century Gothic" w:cs="Century Gothic"/>
      <w:b/>
      <w:color w:val="2F5496"/>
      <w:sz w:val="30"/>
      <w:szCs w:val="24"/>
      <w:lang w:val="en-US" w:eastAsia="fr-FR"/>
    </w:rPr>
  </w:style>
  <w:style w:type="paragraph" w:customStyle="1" w:styleId="RappGT2019TN4">
    <w:name w:val="Rapp GT2019 TN4"/>
    <w:basedOn w:val="Default"/>
    <w:next w:val="Normal"/>
    <w:autoRedefine/>
    <w:qFormat/>
    <w:rsid w:val="0034744E"/>
    <w:pPr>
      <w:keepNext/>
      <w:numPr>
        <w:ilvl w:val="3"/>
        <w:numId w:val="26"/>
      </w:numPr>
      <w:spacing w:before="80" w:after="80"/>
      <w:ind w:right="454"/>
      <w:jc w:val="both"/>
      <w:outlineLvl w:val="3"/>
    </w:pPr>
    <w:rPr>
      <w:rFonts w:ascii="Calibri Light" w:eastAsia="Calibri" w:hAnsi="Calibri Light" w:cs="Times New Roman"/>
      <w:b/>
      <w:color w:val="2F5496"/>
      <w:sz w:val="26"/>
      <w:szCs w:val="22"/>
      <w:lang w:eastAsia="en-US"/>
    </w:rPr>
  </w:style>
  <w:style w:type="paragraph" w:customStyle="1" w:styleId="RappGT2019TN5">
    <w:name w:val="Rapp GT2019 TN5"/>
    <w:basedOn w:val="Heading5"/>
    <w:next w:val="RappGT2019TN4"/>
    <w:autoRedefine/>
    <w:qFormat/>
    <w:rsid w:val="0034744E"/>
    <w:pPr>
      <w:numPr>
        <w:ilvl w:val="4"/>
        <w:numId w:val="26"/>
      </w:numPr>
      <w:spacing w:before="60" w:after="60" w:line="240" w:lineRule="auto"/>
      <w:jc w:val="both"/>
    </w:pPr>
    <w:rPr>
      <w:b/>
      <w:color w:val="2F5496"/>
      <w:sz w:val="24"/>
      <w:szCs w:val="24"/>
      <w:lang w:val="en-US"/>
    </w:rPr>
  </w:style>
  <w:style w:type="paragraph" w:customStyle="1" w:styleId="RappGT2019TN6">
    <w:name w:val="Rapp GT2019 TN6"/>
    <w:basedOn w:val="Normal"/>
    <w:next w:val="RappGT2019TN5"/>
    <w:autoRedefine/>
    <w:qFormat/>
    <w:rsid w:val="0034744E"/>
    <w:pPr>
      <w:keepNext/>
      <w:keepLines/>
      <w:numPr>
        <w:ilvl w:val="5"/>
        <w:numId w:val="26"/>
      </w:numPr>
      <w:spacing w:before="40" w:after="40" w:line="276" w:lineRule="auto"/>
      <w:jc w:val="both"/>
      <w:outlineLvl w:val="5"/>
    </w:pPr>
    <w:rPr>
      <w:rFonts w:eastAsia="Times New Roman" w:cs="Times New Roman"/>
      <w:b/>
      <w:color w:val="4472C4"/>
      <w:sz w:val="24"/>
      <w:szCs w:val="24"/>
      <w:lang w:val="en-US" w:eastAsia="fr-FR"/>
    </w:rPr>
  </w:style>
  <w:style w:type="numbering" w:customStyle="1" w:styleId="Style5">
    <w:name w:val="Style5"/>
    <w:uiPriority w:val="99"/>
    <w:rsid w:val="0034744E"/>
    <w:pPr>
      <w:numPr>
        <w:numId w:val="26"/>
      </w:numPr>
    </w:pPr>
  </w:style>
  <w:style w:type="table" w:customStyle="1" w:styleId="PlainTable12">
    <w:name w:val="Plain Table 12"/>
    <w:basedOn w:val="TableNormal"/>
    <w:uiPriority w:val="41"/>
    <w:rsid w:val="00413F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27637A"/>
    <w:rPr>
      <w:rFonts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637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B039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ext">
    <w:name w:val="text"/>
    <w:basedOn w:val="Normal"/>
    <w:rsid w:val="0048088A"/>
    <w:pPr>
      <w:spacing w:after="0" w:line="285" w:lineRule="auto"/>
      <w:jc w:val="both"/>
    </w:pPr>
    <w:rPr>
      <w:rFonts w:ascii="Arial Unicode MS" w:eastAsia="Arial Unicode MS" w:hAnsi="Arial Unicode MS" w:cs="Arial Unicode MS"/>
      <w:color w:val="000000"/>
      <w:kern w:val="28"/>
      <w:sz w:val="18"/>
      <w:szCs w:val="18"/>
      <w:lang w:val="en-US"/>
    </w:rPr>
  </w:style>
  <w:style w:type="table" w:styleId="GridTable1Light-Accent1">
    <w:name w:val="Grid Table 1 Light Accent 1"/>
    <w:basedOn w:val="TableNormal"/>
    <w:uiPriority w:val="46"/>
    <w:rsid w:val="00A8577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0722">
      <w:bodyDiv w:val="1"/>
      <w:marLeft w:val="0"/>
      <w:marRight w:val="0"/>
      <w:marTop w:val="0"/>
      <w:marBottom w:val="0"/>
      <w:divBdr>
        <w:top w:val="none" w:sz="0" w:space="0" w:color="auto"/>
        <w:left w:val="none" w:sz="0" w:space="0" w:color="auto"/>
        <w:bottom w:val="none" w:sz="0" w:space="0" w:color="auto"/>
        <w:right w:val="none" w:sz="0" w:space="0" w:color="auto"/>
      </w:divBdr>
    </w:div>
    <w:div w:id="255095786">
      <w:bodyDiv w:val="1"/>
      <w:marLeft w:val="0"/>
      <w:marRight w:val="0"/>
      <w:marTop w:val="0"/>
      <w:marBottom w:val="0"/>
      <w:divBdr>
        <w:top w:val="none" w:sz="0" w:space="0" w:color="auto"/>
        <w:left w:val="none" w:sz="0" w:space="0" w:color="auto"/>
        <w:bottom w:val="none" w:sz="0" w:space="0" w:color="auto"/>
        <w:right w:val="none" w:sz="0" w:space="0" w:color="auto"/>
      </w:divBdr>
    </w:div>
    <w:div w:id="321353953">
      <w:bodyDiv w:val="1"/>
      <w:marLeft w:val="0"/>
      <w:marRight w:val="0"/>
      <w:marTop w:val="0"/>
      <w:marBottom w:val="0"/>
      <w:divBdr>
        <w:top w:val="none" w:sz="0" w:space="0" w:color="auto"/>
        <w:left w:val="none" w:sz="0" w:space="0" w:color="auto"/>
        <w:bottom w:val="none" w:sz="0" w:space="0" w:color="auto"/>
        <w:right w:val="none" w:sz="0" w:space="0" w:color="auto"/>
      </w:divBdr>
    </w:div>
    <w:div w:id="329866956">
      <w:bodyDiv w:val="1"/>
      <w:marLeft w:val="0"/>
      <w:marRight w:val="0"/>
      <w:marTop w:val="0"/>
      <w:marBottom w:val="0"/>
      <w:divBdr>
        <w:top w:val="none" w:sz="0" w:space="0" w:color="auto"/>
        <w:left w:val="none" w:sz="0" w:space="0" w:color="auto"/>
        <w:bottom w:val="none" w:sz="0" w:space="0" w:color="auto"/>
        <w:right w:val="none" w:sz="0" w:space="0" w:color="auto"/>
      </w:divBdr>
    </w:div>
    <w:div w:id="576015355">
      <w:bodyDiv w:val="1"/>
      <w:marLeft w:val="0"/>
      <w:marRight w:val="0"/>
      <w:marTop w:val="0"/>
      <w:marBottom w:val="0"/>
      <w:divBdr>
        <w:top w:val="none" w:sz="0" w:space="0" w:color="auto"/>
        <w:left w:val="none" w:sz="0" w:space="0" w:color="auto"/>
        <w:bottom w:val="none" w:sz="0" w:space="0" w:color="auto"/>
        <w:right w:val="none" w:sz="0" w:space="0" w:color="auto"/>
      </w:divBdr>
    </w:div>
    <w:div w:id="576401443">
      <w:bodyDiv w:val="1"/>
      <w:marLeft w:val="0"/>
      <w:marRight w:val="0"/>
      <w:marTop w:val="0"/>
      <w:marBottom w:val="0"/>
      <w:divBdr>
        <w:top w:val="none" w:sz="0" w:space="0" w:color="auto"/>
        <w:left w:val="none" w:sz="0" w:space="0" w:color="auto"/>
        <w:bottom w:val="none" w:sz="0" w:space="0" w:color="auto"/>
        <w:right w:val="none" w:sz="0" w:space="0" w:color="auto"/>
      </w:divBdr>
    </w:div>
    <w:div w:id="1189758684">
      <w:bodyDiv w:val="1"/>
      <w:marLeft w:val="0"/>
      <w:marRight w:val="0"/>
      <w:marTop w:val="0"/>
      <w:marBottom w:val="0"/>
      <w:divBdr>
        <w:top w:val="none" w:sz="0" w:space="0" w:color="auto"/>
        <w:left w:val="none" w:sz="0" w:space="0" w:color="auto"/>
        <w:bottom w:val="none" w:sz="0" w:space="0" w:color="auto"/>
        <w:right w:val="none" w:sz="0" w:space="0" w:color="auto"/>
      </w:divBdr>
    </w:div>
    <w:div w:id="1622415278">
      <w:bodyDiv w:val="1"/>
      <w:marLeft w:val="0"/>
      <w:marRight w:val="0"/>
      <w:marTop w:val="0"/>
      <w:marBottom w:val="0"/>
      <w:divBdr>
        <w:top w:val="none" w:sz="0" w:space="0" w:color="auto"/>
        <w:left w:val="none" w:sz="0" w:space="0" w:color="auto"/>
        <w:bottom w:val="none" w:sz="0" w:space="0" w:color="auto"/>
        <w:right w:val="none" w:sz="0" w:space="0" w:color="auto"/>
      </w:divBdr>
    </w:div>
    <w:div w:id="1740636405">
      <w:bodyDiv w:val="1"/>
      <w:marLeft w:val="0"/>
      <w:marRight w:val="0"/>
      <w:marTop w:val="0"/>
      <w:marBottom w:val="0"/>
      <w:divBdr>
        <w:top w:val="none" w:sz="0" w:space="0" w:color="auto"/>
        <w:left w:val="none" w:sz="0" w:space="0" w:color="auto"/>
        <w:bottom w:val="none" w:sz="0" w:space="0" w:color="auto"/>
        <w:right w:val="none" w:sz="0" w:space="0" w:color="auto"/>
      </w:divBdr>
    </w:div>
    <w:div w:id="2052269411">
      <w:bodyDiv w:val="1"/>
      <w:marLeft w:val="0"/>
      <w:marRight w:val="0"/>
      <w:marTop w:val="0"/>
      <w:marBottom w:val="0"/>
      <w:divBdr>
        <w:top w:val="none" w:sz="0" w:space="0" w:color="auto"/>
        <w:left w:val="none" w:sz="0" w:space="0" w:color="auto"/>
        <w:bottom w:val="none" w:sz="0" w:space="0" w:color="auto"/>
        <w:right w:val="none" w:sz="0" w:space="0" w:color="auto"/>
      </w:divBdr>
    </w:div>
    <w:div w:id="21440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2.emf"/><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COUBS\AppData\Local\Packages\microsoft.windowscommunicationsapps_8wekyb3d8bbwe\LocalState\Files\S0\6\Attachments\COVID_19_word_template_FR%20(1)%5b2305843009226737133%5d.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ayeb\Documents\2021\etude\PAP-PP\Rapport\TRAITEMENT\JOURNAL%20P&#203;CHE.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ayeb\Documents\2021\etude\PAP-PP\Rapport\TRAITEMENT\JOURNAL%20P&#203;CH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ayeb\Documents\2021\etude\PAP-PP\Rapport\TRAITEMENT\JOURNAL%20P&#203;CHE.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dAhmed\Desktop\Projet_FIP\FIB_2021\oct-Nov.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dAhmed\Desktop\Projet_FIP\FIB_2021\oct-Nov.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dAhmed\AppData\Roaming\Microsoft\Excel\oct-Nov%20(version%201).xlsb"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edAhmed\AppData\Roaming\Microsoft\Excel\oct-Nov%20(version%201).xlsb"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edAhmed\AppData\Roaming\Microsoft\Excel\oct-Nov%20(version%201).xlsb"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edAhmed\AppData\Roaming\Microsoft\Excel\oct-Nov%20(version%201).xlsb"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MedAhmed\AppData\Roaming\Microsoft\Excel\oct-Nov%20(version%201).xlsb"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pirgues!$I$5</c:f>
              <c:strCache>
                <c:ptCount val="1"/>
                <c:pt idx="0">
                  <c:v>NOMBRE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pirgues!$C$6:$C$17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pirgues!$I$6:$I$17</c:f>
              <c:numCache>
                <c:formatCode>General</c:formatCode>
                <c:ptCount val="12"/>
                <c:pt idx="0">
                  <c:v>106</c:v>
                </c:pt>
                <c:pt idx="1">
                  <c:v>171</c:v>
                </c:pt>
                <c:pt idx="2">
                  <c:v>142</c:v>
                </c:pt>
                <c:pt idx="3">
                  <c:v>180</c:v>
                </c:pt>
                <c:pt idx="4">
                  <c:v>190</c:v>
                </c:pt>
                <c:pt idx="5">
                  <c:v>236</c:v>
                </c:pt>
                <c:pt idx="6">
                  <c:v>360</c:v>
                </c:pt>
                <c:pt idx="7">
                  <c:v>92</c:v>
                </c:pt>
                <c:pt idx="8">
                  <c:v>110</c:v>
                </c:pt>
                <c:pt idx="9">
                  <c:v>264</c:v>
                </c:pt>
                <c:pt idx="10">
                  <c:v>337</c:v>
                </c:pt>
                <c:pt idx="11">
                  <c:v>267</c:v>
                </c:pt>
              </c:numCache>
            </c:numRef>
          </c:val>
          <c:smooth val="0"/>
        </c:ser>
        <c:dLbls>
          <c:dLblPos val="ctr"/>
          <c:showLegendKey val="0"/>
          <c:showVal val="1"/>
          <c:showCatName val="0"/>
          <c:showSerName val="0"/>
          <c:showPercent val="0"/>
          <c:showBubbleSize val="0"/>
        </c:dLbls>
        <c:marker val="1"/>
        <c:smooth val="0"/>
        <c:axId val="5046064"/>
        <c:axId val="5035184"/>
      </c:lineChart>
      <c:catAx>
        <c:axId val="5046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35184"/>
        <c:crosses val="autoZero"/>
        <c:auto val="1"/>
        <c:lblAlgn val="ctr"/>
        <c:lblOffset val="100"/>
        <c:noMultiLvlLbl val="0"/>
      </c:catAx>
      <c:valAx>
        <c:axId val="5035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Nombre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5046064"/>
        <c:crosses val="autoZero"/>
        <c:crossBetween val="between"/>
      </c:valAx>
      <c:spPr>
        <a:solidFill>
          <a:schemeClr val="bg1"/>
        </a:solidFill>
        <a:ln>
          <a:noFill/>
        </a:ln>
        <a:effectLst/>
      </c:spPr>
    </c:plotArea>
    <c:plotVisOnly val="1"/>
    <c:dispBlanksAs val="gap"/>
    <c:showDLblsOverMax val="0"/>
  </c:chart>
  <c:spPr>
    <a:noFill/>
    <a:ln w="9525" cap="flat" cmpd="sng" algn="ctr">
      <a:solidFill>
        <a:schemeClr val="bg1"/>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Feuil3!$G$18</c:f>
              <c:strCache>
                <c:ptCount val="1"/>
                <c:pt idx="0">
                  <c:v>quantité</c:v>
                </c:pt>
              </c:strCache>
            </c:strRef>
          </c:tx>
          <c:spPr>
            <a:solidFill>
              <a:schemeClr val="accent1">
                <a:alpha val="70000"/>
              </a:schemeClr>
            </a:solidFill>
            <a:ln>
              <a:noFill/>
            </a:ln>
            <a:effectLst/>
          </c:spPr>
          <c:invertIfNegative val="0"/>
          <c:cat>
            <c:numRef>
              <c:f>Feuil3!$F$19:$F$30</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Feuil3!$G$19:$G$30</c:f>
              <c:numCache>
                <c:formatCode>General</c:formatCode>
                <c:ptCount val="12"/>
                <c:pt idx="0">
                  <c:v>20000</c:v>
                </c:pt>
                <c:pt idx="1">
                  <c:v>26398</c:v>
                </c:pt>
                <c:pt idx="2">
                  <c:v>32767</c:v>
                </c:pt>
                <c:pt idx="3">
                  <c:v>35399</c:v>
                </c:pt>
                <c:pt idx="4">
                  <c:v>72149</c:v>
                </c:pt>
                <c:pt idx="5">
                  <c:v>72498</c:v>
                </c:pt>
                <c:pt idx="6">
                  <c:v>79883</c:v>
                </c:pt>
                <c:pt idx="7">
                  <c:v>111866</c:v>
                </c:pt>
                <c:pt idx="8">
                  <c:v>127940</c:v>
                </c:pt>
                <c:pt idx="9">
                  <c:v>99491</c:v>
                </c:pt>
                <c:pt idx="10">
                  <c:v>128000</c:v>
                </c:pt>
                <c:pt idx="11">
                  <c:v>95445</c:v>
                </c:pt>
              </c:numCache>
            </c:numRef>
          </c:val>
        </c:ser>
        <c:dLbls>
          <c:showLegendKey val="0"/>
          <c:showVal val="0"/>
          <c:showCatName val="0"/>
          <c:showSerName val="0"/>
          <c:showPercent val="0"/>
          <c:showBubbleSize val="0"/>
        </c:dLbls>
        <c:gapWidth val="80"/>
        <c:overlap val="25"/>
        <c:axId val="5034640"/>
        <c:axId val="5037904"/>
      </c:barChart>
      <c:catAx>
        <c:axId val="5034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cap="none" spc="20" normalizeH="0" baseline="0">
                <a:solidFill>
                  <a:schemeClr val="tx1">
                    <a:lumMod val="65000"/>
                    <a:lumOff val="35000"/>
                  </a:schemeClr>
                </a:solidFill>
                <a:latin typeface="+mn-lt"/>
                <a:ea typeface="+mn-ea"/>
                <a:cs typeface="+mn-cs"/>
              </a:defRPr>
            </a:pPr>
            <a:endParaRPr lang="en-US"/>
          </a:p>
        </c:txPr>
        <c:crossAx val="5037904"/>
        <c:crosses val="autoZero"/>
        <c:auto val="1"/>
        <c:lblAlgn val="ctr"/>
        <c:lblOffset val="100"/>
        <c:noMultiLvlLbl val="0"/>
      </c:catAx>
      <c:valAx>
        <c:axId val="503790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r>
                  <a:rPr lang="en-US"/>
                  <a:t>Quantité en tonne</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tx1">
                    <a:lumMod val="65000"/>
                    <a:lumOff val="35000"/>
                  </a:schemeClr>
                </a:solidFill>
                <a:latin typeface="+mn-lt"/>
                <a:ea typeface="+mn-ea"/>
                <a:cs typeface="+mn-cs"/>
              </a:defRPr>
            </a:pPr>
            <a:endParaRPr lang="en-US"/>
          </a:p>
        </c:txPr>
        <c:crossAx val="5034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'BATEAUX Cotiers'!$D$6</c:f>
              <c:strCache>
                <c:ptCount val="1"/>
                <c:pt idx="0">
                  <c:v>Segment 1</c:v>
                </c:pt>
              </c:strCache>
            </c:strRef>
          </c:tx>
          <c:spPr>
            <a:noFill/>
            <a:ln w="25400" cap="flat" cmpd="sng" algn="ctr">
              <a:solidFill>
                <a:schemeClr val="accent1"/>
              </a:solidFill>
              <a:miter lim="800000"/>
            </a:ln>
            <a:effectLst/>
          </c:spPr>
          <c:invertIfNegative val="0"/>
          <c:cat>
            <c:numRef>
              <c:f>'BATEAUX Cotiers'!$C$9:$C$14</c:f>
              <c:numCache>
                <c:formatCode>General</c:formatCode>
                <c:ptCount val="6"/>
                <c:pt idx="0">
                  <c:v>2016</c:v>
                </c:pt>
                <c:pt idx="1">
                  <c:v>2017</c:v>
                </c:pt>
                <c:pt idx="2">
                  <c:v>2018</c:v>
                </c:pt>
                <c:pt idx="3">
                  <c:v>2019</c:v>
                </c:pt>
                <c:pt idx="4">
                  <c:v>2020</c:v>
                </c:pt>
                <c:pt idx="5">
                  <c:v>2021</c:v>
                </c:pt>
              </c:numCache>
            </c:numRef>
          </c:cat>
          <c:val>
            <c:numRef>
              <c:f>'BATEAUX Cotiers'!$D$9:$D$14</c:f>
              <c:numCache>
                <c:formatCode>General</c:formatCode>
                <c:ptCount val="6"/>
                <c:pt idx="0">
                  <c:v>11</c:v>
                </c:pt>
                <c:pt idx="1">
                  <c:v>9</c:v>
                </c:pt>
                <c:pt idx="2">
                  <c:v>9</c:v>
                </c:pt>
                <c:pt idx="3">
                  <c:v>7</c:v>
                </c:pt>
                <c:pt idx="4">
                  <c:v>7</c:v>
                </c:pt>
                <c:pt idx="5">
                  <c:v>7</c:v>
                </c:pt>
              </c:numCache>
            </c:numRef>
          </c:val>
        </c:ser>
        <c:ser>
          <c:idx val="1"/>
          <c:order val="1"/>
          <c:tx>
            <c:strRef>
              <c:f>'BATEAUX Cotiers'!$E$6</c:f>
              <c:strCache>
                <c:ptCount val="1"/>
                <c:pt idx="0">
                  <c:v>Segment 2</c:v>
                </c:pt>
              </c:strCache>
            </c:strRef>
          </c:tx>
          <c:spPr>
            <a:noFill/>
            <a:ln w="25400" cap="flat" cmpd="sng" algn="ctr">
              <a:solidFill>
                <a:schemeClr val="accent2"/>
              </a:solidFill>
              <a:miter lim="800000"/>
            </a:ln>
            <a:effectLst/>
          </c:spPr>
          <c:invertIfNegative val="0"/>
          <c:cat>
            <c:numRef>
              <c:f>'BATEAUX Cotiers'!$C$9:$C$14</c:f>
              <c:numCache>
                <c:formatCode>General</c:formatCode>
                <c:ptCount val="6"/>
                <c:pt idx="0">
                  <c:v>2016</c:v>
                </c:pt>
                <c:pt idx="1">
                  <c:v>2017</c:v>
                </c:pt>
                <c:pt idx="2">
                  <c:v>2018</c:v>
                </c:pt>
                <c:pt idx="3">
                  <c:v>2019</c:v>
                </c:pt>
                <c:pt idx="4">
                  <c:v>2020</c:v>
                </c:pt>
                <c:pt idx="5">
                  <c:v>2021</c:v>
                </c:pt>
              </c:numCache>
            </c:numRef>
          </c:cat>
          <c:val>
            <c:numRef>
              <c:f>'BATEAUX Cotiers'!$E$9:$E$14</c:f>
              <c:numCache>
                <c:formatCode>General</c:formatCode>
                <c:ptCount val="6"/>
                <c:pt idx="0">
                  <c:v>19</c:v>
                </c:pt>
                <c:pt idx="1">
                  <c:v>16</c:v>
                </c:pt>
                <c:pt idx="2">
                  <c:v>29</c:v>
                </c:pt>
                <c:pt idx="3">
                  <c:v>26</c:v>
                </c:pt>
                <c:pt idx="4">
                  <c:v>26</c:v>
                </c:pt>
                <c:pt idx="5">
                  <c:v>26</c:v>
                </c:pt>
              </c:numCache>
            </c:numRef>
          </c:val>
        </c:ser>
        <c:ser>
          <c:idx val="2"/>
          <c:order val="2"/>
          <c:tx>
            <c:strRef>
              <c:f>'BATEAUX Cotiers'!$F$6</c:f>
              <c:strCache>
                <c:ptCount val="1"/>
                <c:pt idx="0">
                  <c:v>Segment 3</c:v>
                </c:pt>
              </c:strCache>
            </c:strRef>
          </c:tx>
          <c:spPr>
            <a:noFill/>
            <a:ln w="25400" cap="flat" cmpd="sng" algn="ctr">
              <a:solidFill>
                <a:schemeClr val="accent3"/>
              </a:solidFill>
              <a:miter lim="800000"/>
            </a:ln>
            <a:effectLst/>
          </c:spPr>
          <c:invertIfNegative val="0"/>
          <c:cat>
            <c:numRef>
              <c:f>'BATEAUX Cotiers'!$C$9:$C$14</c:f>
              <c:numCache>
                <c:formatCode>General</c:formatCode>
                <c:ptCount val="6"/>
                <c:pt idx="0">
                  <c:v>2016</c:v>
                </c:pt>
                <c:pt idx="1">
                  <c:v>2017</c:v>
                </c:pt>
                <c:pt idx="2">
                  <c:v>2018</c:v>
                </c:pt>
                <c:pt idx="3">
                  <c:v>2019</c:v>
                </c:pt>
                <c:pt idx="4">
                  <c:v>2020</c:v>
                </c:pt>
                <c:pt idx="5">
                  <c:v>2021</c:v>
                </c:pt>
              </c:numCache>
            </c:numRef>
          </c:cat>
          <c:val>
            <c:numRef>
              <c:f>'BATEAUX Cotiers'!$F$9:$F$14</c:f>
              <c:numCache>
                <c:formatCode>General</c:formatCode>
                <c:ptCount val="6"/>
                <c:pt idx="0">
                  <c:v>22</c:v>
                </c:pt>
                <c:pt idx="1">
                  <c:v>52</c:v>
                </c:pt>
                <c:pt idx="2">
                  <c:v>59</c:v>
                </c:pt>
                <c:pt idx="3">
                  <c:v>43</c:v>
                </c:pt>
                <c:pt idx="4">
                  <c:v>26</c:v>
                </c:pt>
                <c:pt idx="5">
                  <c:v>24</c:v>
                </c:pt>
              </c:numCache>
            </c:numRef>
          </c:val>
        </c:ser>
        <c:dLbls>
          <c:showLegendKey val="0"/>
          <c:showVal val="0"/>
          <c:showCatName val="0"/>
          <c:showSerName val="0"/>
          <c:showPercent val="0"/>
          <c:showBubbleSize val="0"/>
        </c:dLbls>
        <c:gapWidth val="164"/>
        <c:overlap val="-35"/>
        <c:axId val="5045520"/>
        <c:axId val="5044432"/>
      </c:barChart>
      <c:catAx>
        <c:axId val="5045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endParaRPr lang="en-US"/>
          </a:p>
        </c:txPr>
        <c:crossAx val="5044432"/>
        <c:crosses val="autoZero"/>
        <c:auto val="1"/>
        <c:lblAlgn val="ctr"/>
        <c:lblOffset val="100"/>
        <c:noMultiLvlLbl val="0"/>
      </c:catAx>
      <c:valAx>
        <c:axId val="504443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r>
                  <a:rPr lang="en-US"/>
                  <a:t>Nombre</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endParaRPr lang="en-US"/>
          </a:p>
        </c:txPr>
        <c:crossAx val="5045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Sardine</a:t>
            </a:r>
          </a:p>
        </c:rich>
      </c:tx>
      <c:overlay val="0"/>
    </c:title>
    <c:autoTitleDeleted val="0"/>
    <c:plotArea>
      <c:layout/>
      <c:barChart>
        <c:barDir val="col"/>
        <c:grouping val="clustered"/>
        <c:varyColors val="0"/>
        <c:ser>
          <c:idx val="1"/>
          <c:order val="0"/>
          <c:tx>
            <c:strRef>
              <c:f>Sardine!$B$2</c:f>
              <c:strCache>
                <c:ptCount val="1"/>
                <c:pt idx="0">
                  <c:v>Fréq</c:v>
                </c:pt>
              </c:strCache>
            </c:strRef>
          </c:tx>
          <c:invertIfNegative val="0"/>
          <c:cat>
            <c:numRef>
              <c:f>Sardine!$A$3:$A$31</c:f>
              <c:numCache>
                <c:formatCode>General</c:formatCode>
                <c:ptCount val="29"/>
                <c:pt idx="0">
                  <c:v>13</c:v>
                </c:pt>
                <c:pt idx="1">
                  <c:v>13.5</c:v>
                </c:pt>
                <c:pt idx="2">
                  <c:v>14</c:v>
                </c:pt>
                <c:pt idx="3">
                  <c:v>14.5</c:v>
                </c:pt>
                <c:pt idx="4">
                  <c:v>15</c:v>
                </c:pt>
                <c:pt idx="5">
                  <c:v>15.5</c:v>
                </c:pt>
                <c:pt idx="6">
                  <c:v>16</c:v>
                </c:pt>
                <c:pt idx="7">
                  <c:v>16.5</c:v>
                </c:pt>
                <c:pt idx="8">
                  <c:v>17</c:v>
                </c:pt>
                <c:pt idx="9">
                  <c:v>17.5</c:v>
                </c:pt>
                <c:pt idx="10">
                  <c:v>18</c:v>
                </c:pt>
                <c:pt idx="11">
                  <c:v>18.5</c:v>
                </c:pt>
                <c:pt idx="12">
                  <c:v>19</c:v>
                </c:pt>
                <c:pt idx="13">
                  <c:v>19.5</c:v>
                </c:pt>
                <c:pt idx="14">
                  <c:v>20</c:v>
                </c:pt>
                <c:pt idx="15">
                  <c:v>20.5</c:v>
                </c:pt>
                <c:pt idx="16">
                  <c:v>21</c:v>
                </c:pt>
                <c:pt idx="17">
                  <c:v>21.5</c:v>
                </c:pt>
                <c:pt idx="18">
                  <c:v>22</c:v>
                </c:pt>
                <c:pt idx="19">
                  <c:v>22.5</c:v>
                </c:pt>
                <c:pt idx="20">
                  <c:v>23</c:v>
                </c:pt>
                <c:pt idx="21">
                  <c:v>23.5</c:v>
                </c:pt>
                <c:pt idx="22">
                  <c:v>24</c:v>
                </c:pt>
                <c:pt idx="23">
                  <c:v>24.5</c:v>
                </c:pt>
                <c:pt idx="24">
                  <c:v>25</c:v>
                </c:pt>
                <c:pt idx="25">
                  <c:v>25.5</c:v>
                </c:pt>
                <c:pt idx="26">
                  <c:v>26</c:v>
                </c:pt>
                <c:pt idx="27">
                  <c:v>26.5</c:v>
                </c:pt>
                <c:pt idx="28">
                  <c:v>27</c:v>
                </c:pt>
              </c:numCache>
            </c:numRef>
          </c:cat>
          <c:val>
            <c:numRef>
              <c:f>Sardine!$B$3:$B$31</c:f>
              <c:numCache>
                <c:formatCode>General</c:formatCode>
                <c:ptCount val="29"/>
                <c:pt idx="0">
                  <c:v>6</c:v>
                </c:pt>
                <c:pt idx="1">
                  <c:v>7</c:v>
                </c:pt>
                <c:pt idx="2">
                  <c:v>8</c:v>
                </c:pt>
                <c:pt idx="3">
                  <c:v>31</c:v>
                </c:pt>
                <c:pt idx="4">
                  <c:v>50</c:v>
                </c:pt>
                <c:pt idx="5">
                  <c:v>44</c:v>
                </c:pt>
                <c:pt idx="6">
                  <c:v>162</c:v>
                </c:pt>
                <c:pt idx="7">
                  <c:v>117</c:v>
                </c:pt>
                <c:pt idx="8">
                  <c:v>192</c:v>
                </c:pt>
                <c:pt idx="9">
                  <c:v>382</c:v>
                </c:pt>
                <c:pt idx="10">
                  <c:v>403</c:v>
                </c:pt>
                <c:pt idx="11">
                  <c:v>148</c:v>
                </c:pt>
                <c:pt idx="12">
                  <c:v>141</c:v>
                </c:pt>
                <c:pt idx="13">
                  <c:v>43</c:v>
                </c:pt>
                <c:pt idx="14">
                  <c:v>25</c:v>
                </c:pt>
                <c:pt idx="15">
                  <c:v>2</c:v>
                </c:pt>
                <c:pt idx="16">
                  <c:v>1</c:v>
                </c:pt>
                <c:pt idx="17">
                  <c:v>7</c:v>
                </c:pt>
                <c:pt idx="18">
                  <c:v>10</c:v>
                </c:pt>
                <c:pt idx="19">
                  <c:v>5</c:v>
                </c:pt>
                <c:pt idx="20">
                  <c:v>20</c:v>
                </c:pt>
                <c:pt idx="21">
                  <c:v>2</c:v>
                </c:pt>
                <c:pt idx="22">
                  <c:v>33</c:v>
                </c:pt>
                <c:pt idx="23">
                  <c:v>24</c:v>
                </c:pt>
                <c:pt idx="24">
                  <c:v>3</c:v>
                </c:pt>
                <c:pt idx="25">
                  <c:v>2</c:v>
                </c:pt>
                <c:pt idx="26">
                  <c:v>7</c:v>
                </c:pt>
                <c:pt idx="27">
                  <c:v>1</c:v>
                </c:pt>
                <c:pt idx="28">
                  <c:v>1</c:v>
                </c:pt>
              </c:numCache>
            </c:numRef>
          </c:val>
        </c:ser>
        <c:dLbls>
          <c:showLegendKey val="0"/>
          <c:showVal val="0"/>
          <c:showCatName val="0"/>
          <c:showSerName val="0"/>
          <c:showPercent val="0"/>
          <c:showBubbleSize val="0"/>
        </c:dLbls>
        <c:gapWidth val="150"/>
        <c:axId val="5043888"/>
        <c:axId val="5036816"/>
      </c:barChart>
      <c:catAx>
        <c:axId val="5043888"/>
        <c:scaling>
          <c:orientation val="minMax"/>
        </c:scaling>
        <c:delete val="0"/>
        <c:axPos val="b"/>
        <c:numFmt formatCode="General" sourceLinked="1"/>
        <c:majorTickMark val="out"/>
        <c:minorTickMark val="none"/>
        <c:tickLblPos val="nextTo"/>
        <c:crossAx val="5036816"/>
        <c:crosses val="autoZero"/>
        <c:auto val="1"/>
        <c:lblAlgn val="ctr"/>
        <c:lblOffset val="100"/>
        <c:noMultiLvlLbl val="0"/>
      </c:catAx>
      <c:valAx>
        <c:axId val="5036816"/>
        <c:scaling>
          <c:orientation val="minMax"/>
        </c:scaling>
        <c:delete val="0"/>
        <c:axPos val="l"/>
        <c:numFmt formatCode="General" sourceLinked="1"/>
        <c:majorTickMark val="out"/>
        <c:minorTickMark val="none"/>
        <c:tickLblPos val="nextTo"/>
        <c:crossAx val="504388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S.Plate</a:t>
            </a:r>
          </a:p>
        </c:rich>
      </c:tx>
      <c:overlay val="0"/>
    </c:title>
    <c:autoTitleDeleted val="0"/>
    <c:plotArea>
      <c:layout/>
      <c:barChart>
        <c:barDir val="col"/>
        <c:grouping val="clustered"/>
        <c:varyColors val="0"/>
        <c:ser>
          <c:idx val="1"/>
          <c:order val="0"/>
          <c:tx>
            <c:strRef>
              <c:f>Sardine!$E$2</c:f>
              <c:strCache>
                <c:ptCount val="1"/>
                <c:pt idx="0">
                  <c:v>Freq</c:v>
                </c:pt>
              </c:strCache>
            </c:strRef>
          </c:tx>
          <c:invertIfNegative val="0"/>
          <c:cat>
            <c:numRef>
              <c:f>Sardine!$D$3:$D$26</c:f>
              <c:numCache>
                <c:formatCode>General</c:formatCode>
                <c:ptCount val="24"/>
                <c:pt idx="0">
                  <c:v>13</c:v>
                </c:pt>
                <c:pt idx="1">
                  <c:v>15</c:v>
                </c:pt>
                <c:pt idx="2">
                  <c:v>16</c:v>
                </c:pt>
                <c:pt idx="3">
                  <c:v>17</c:v>
                </c:pt>
                <c:pt idx="4">
                  <c:v>18</c:v>
                </c:pt>
                <c:pt idx="5">
                  <c:v>19</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pt idx="22">
                  <c:v>36</c:v>
                </c:pt>
                <c:pt idx="23">
                  <c:v>37</c:v>
                </c:pt>
              </c:numCache>
            </c:numRef>
          </c:cat>
          <c:val>
            <c:numRef>
              <c:f>Sardine!$E$3:$E$26</c:f>
              <c:numCache>
                <c:formatCode>General</c:formatCode>
                <c:ptCount val="24"/>
                <c:pt idx="0">
                  <c:v>15</c:v>
                </c:pt>
                <c:pt idx="1">
                  <c:v>26</c:v>
                </c:pt>
                <c:pt idx="2">
                  <c:v>112</c:v>
                </c:pt>
                <c:pt idx="3">
                  <c:v>204</c:v>
                </c:pt>
                <c:pt idx="4">
                  <c:v>317</c:v>
                </c:pt>
                <c:pt idx="5">
                  <c:v>590</c:v>
                </c:pt>
                <c:pt idx="6">
                  <c:v>1335</c:v>
                </c:pt>
                <c:pt idx="7">
                  <c:v>1235</c:v>
                </c:pt>
                <c:pt idx="8">
                  <c:v>1520</c:v>
                </c:pt>
                <c:pt idx="9">
                  <c:v>1753</c:v>
                </c:pt>
                <c:pt idx="10">
                  <c:v>1408</c:v>
                </c:pt>
                <c:pt idx="11">
                  <c:v>1568</c:v>
                </c:pt>
                <c:pt idx="12">
                  <c:v>1079</c:v>
                </c:pt>
                <c:pt idx="13">
                  <c:v>859</c:v>
                </c:pt>
                <c:pt idx="14">
                  <c:v>742</c:v>
                </c:pt>
                <c:pt idx="15">
                  <c:v>520</c:v>
                </c:pt>
                <c:pt idx="16">
                  <c:v>357</c:v>
                </c:pt>
                <c:pt idx="17">
                  <c:v>187</c:v>
                </c:pt>
                <c:pt idx="18">
                  <c:v>124</c:v>
                </c:pt>
                <c:pt idx="19">
                  <c:v>47</c:v>
                </c:pt>
                <c:pt idx="20">
                  <c:v>14</c:v>
                </c:pt>
                <c:pt idx="21">
                  <c:v>3</c:v>
                </c:pt>
                <c:pt idx="22">
                  <c:v>2</c:v>
                </c:pt>
                <c:pt idx="23">
                  <c:v>1</c:v>
                </c:pt>
              </c:numCache>
            </c:numRef>
          </c:val>
        </c:ser>
        <c:dLbls>
          <c:showLegendKey val="0"/>
          <c:showVal val="0"/>
          <c:showCatName val="0"/>
          <c:showSerName val="0"/>
          <c:showPercent val="0"/>
          <c:showBubbleSize val="0"/>
        </c:dLbls>
        <c:gapWidth val="150"/>
        <c:axId val="5035728"/>
        <c:axId val="5042800"/>
      </c:barChart>
      <c:catAx>
        <c:axId val="503572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42800"/>
        <c:crosses val="autoZero"/>
        <c:auto val="1"/>
        <c:lblAlgn val="ctr"/>
        <c:lblOffset val="100"/>
        <c:noMultiLvlLbl val="0"/>
      </c:catAx>
      <c:valAx>
        <c:axId val="5042800"/>
        <c:scaling>
          <c:orientation val="minMax"/>
        </c:scaling>
        <c:delete val="0"/>
        <c:axPos val="l"/>
        <c:numFmt formatCode="General" sourceLinked="1"/>
        <c:majorTickMark val="out"/>
        <c:minorTickMark val="none"/>
        <c:tickLblPos val="nextTo"/>
        <c:crossAx val="503572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S.ronde</a:t>
            </a:r>
          </a:p>
        </c:rich>
      </c:tx>
      <c:overlay val="0"/>
    </c:title>
    <c:autoTitleDeleted val="0"/>
    <c:plotArea>
      <c:layout/>
      <c:barChart>
        <c:barDir val="col"/>
        <c:grouping val="clustered"/>
        <c:varyColors val="0"/>
        <c:ser>
          <c:idx val="1"/>
          <c:order val="0"/>
          <c:tx>
            <c:strRef>
              <c:f>Sardine!$B$34</c:f>
              <c:strCache>
                <c:ptCount val="1"/>
                <c:pt idx="0">
                  <c:v>Freq</c:v>
                </c:pt>
              </c:strCache>
            </c:strRef>
          </c:tx>
          <c:invertIfNegative val="0"/>
          <c:cat>
            <c:numRef>
              <c:f>Sardine!$A$35:$A$57</c:f>
              <c:numCache>
                <c:formatCode>General</c:formatCode>
                <c:ptCount val="23"/>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numCache>
            </c:numRef>
          </c:cat>
          <c:val>
            <c:numRef>
              <c:f>Sardine!$B$35:$B$57</c:f>
              <c:numCache>
                <c:formatCode>General</c:formatCode>
                <c:ptCount val="23"/>
                <c:pt idx="0">
                  <c:v>1</c:v>
                </c:pt>
                <c:pt idx="1">
                  <c:v>2</c:v>
                </c:pt>
                <c:pt idx="2">
                  <c:v>6</c:v>
                </c:pt>
                <c:pt idx="3">
                  <c:v>26</c:v>
                </c:pt>
                <c:pt idx="4">
                  <c:v>66</c:v>
                </c:pt>
                <c:pt idx="5">
                  <c:v>99</c:v>
                </c:pt>
                <c:pt idx="6">
                  <c:v>106</c:v>
                </c:pt>
                <c:pt idx="7">
                  <c:v>115</c:v>
                </c:pt>
                <c:pt idx="8">
                  <c:v>147</c:v>
                </c:pt>
                <c:pt idx="9">
                  <c:v>165</c:v>
                </c:pt>
                <c:pt idx="10">
                  <c:v>205</c:v>
                </c:pt>
                <c:pt idx="11">
                  <c:v>235</c:v>
                </c:pt>
                <c:pt idx="12">
                  <c:v>221</c:v>
                </c:pt>
                <c:pt idx="13">
                  <c:v>182</c:v>
                </c:pt>
                <c:pt idx="14">
                  <c:v>117</c:v>
                </c:pt>
                <c:pt idx="15">
                  <c:v>128</c:v>
                </c:pt>
                <c:pt idx="16">
                  <c:v>55</c:v>
                </c:pt>
                <c:pt idx="17">
                  <c:v>28</c:v>
                </c:pt>
                <c:pt idx="18">
                  <c:v>8</c:v>
                </c:pt>
                <c:pt idx="19">
                  <c:v>2</c:v>
                </c:pt>
                <c:pt idx="20">
                  <c:v>2</c:v>
                </c:pt>
                <c:pt idx="21">
                  <c:v>1</c:v>
                </c:pt>
                <c:pt idx="22">
                  <c:v>1</c:v>
                </c:pt>
              </c:numCache>
            </c:numRef>
          </c:val>
        </c:ser>
        <c:dLbls>
          <c:showLegendKey val="0"/>
          <c:showVal val="0"/>
          <c:showCatName val="0"/>
          <c:showSerName val="0"/>
          <c:showPercent val="0"/>
          <c:showBubbleSize val="0"/>
        </c:dLbls>
        <c:gapWidth val="150"/>
        <c:axId val="5040080"/>
        <c:axId val="5041712"/>
      </c:barChart>
      <c:catAx>
        <c:axId val="504008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41712"/>
        <c:crosses val="autoZero"/>
        <c:auto val="1"/>
        <c:lblAlgn val="ctr"/>
        <c:lblOffset val="100"/>
        <c:noMultiLvlLbl val="0"/>
      </c:catAx>
      <c:valAx>
        <c:axId val="5041712"/>
        <c:scaling>
          <c:orientation val="minMax"/>
        </c:scaling>
        <c:delete val="0"/>
        <c:axPos val="l"/>
        <c:numFmt formatCode="General" sourceLinked="1"/>
        <c:majorTickMark val="out"/>
        <c:minorTickMark val="none"/>
        <c:tickLblPos val="nextTo"/>
        <c:crossAx val="504008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Maquereau</a:t>
            </a:r>
          </a:p>
        </c:rich>
      </c:tx>
      <c:overlay val="0"/>
    </c:title>
    <c:autoTitleDeleted val="0"/>
    <c:plotArea>
      <c:layout/>
      <c:barChart>
        <c:barDir val="col"/>
        <c:grouping val="clustered"/>
        <c:varyColors val="0"/>
        <c:ser>
          <c:idx val="1"/>
          <c:order val="0"/>
          <c:tx>
            <c:strRef>
              <c:f>Sardine!$E$34</c:f>
              <c:strCache>
                <c:ptCount val="1"/>
                <c:pt idx="0">
                  <c:v>Freq</c:v>
                </c:pt>
              </c:strCache>
            </c:strRef>
          </c:tx>
          <c:invertIfNegative val="0"/>
          <c:cat>
            <c:numRef>
              <c:f>Sardine!$D$35:$D$61</c:f>
              <c:numCache>
                <c:formatCode>General</c:formatCode>
                <c:ptCount val="27"/>
                <c:pt idx="0">
                  <c:v>21</c:v>
                </c:pt>
                <c:pt idx="1">
                  <c:v>22</c:v>
                </c:pt>
                <c:pt idx="2">
                  <c:v>23</c:v>
                </c:pt>
                <c:pt idx="3">
                  <c:v>24</c:v>
                </c:pt>
                <c:pt idx="4">
                  <c:v>25</c:v>
                </c:pt>
                <c:pt idx="5">
                  <c:v>26</c:v>
                </c:pt>
                <c:pt idx="6">
                  <c:v>27</c:v>
                </c:pt>
                <c:pt idx="7">
                  <c:v>28</c:v>
                </c:pt>
                <c:pt idx="8">
                  <c:v>29</c:v>
                </c:pt>
                <c:pt idx="9">
                  <c:v>30</c:v>
                </c:pt>
                <c:pt idx="10">
                  <c:v>31</c:v>
                </c:pt>
                <c:pt idx="11">
                  <c:v>32</c:v>
                </c:pt>
                <c:pt idx="12">
                  <c:v>33</c:v>
                </c:pt>
                <c:pt idx="13">
                  <c:v>34</c:v>
                </c:pt>
                <c:pt idx="14">
                  <c:v>35</c:v>
                </c:pt>
                <c:pt idx="15">
                  <c:v>36</c:v>
                </c:pt>
                <c:pt idx="16">
                  <c:v>37</c:v>
                </c:pt>
                <c:pt idx="17">
                  <c:v>38</c:v>
                </c:pt>
                <c:pt idx="18">
                  <c:v>39</c:v>
                </c:pt>
                <c:pt idx="19">
                  <c:v>40</c:v>
                </c:pt>
                <c:pt idx="20">
                  <c:v>41</c:v>
                </c:pt>
                <c:pt idx="21">
                  <c:v>42</c:v>
                </c:pt>
                <c:pt idx="22">
                  <c:v>43</c:v>
                </c:pt>
                <c:pt idx="23">
                  <c:v>44</c:v>
                </c:pt>
                <c:pt idx="24">
                  <c:v>45</c:v>
                </c:pt>
                <c:pt idx="25">
                  <c:v>46</c:v>
                </c:pt>
                <c:pt idx="26">
                  <c:v>47</c:v>
                </c:pt>
              </c:numCache>
            </c:numRef>
          </c:cat>
          <c:val>
            <c:numRef>
              <c:f>Sardine!$E$35:$E$61</c:f>
              <c:numCache>
                <c:formatCode>General</c:formatCode>
                <c:ptCount val="27"/>
                <c:pt idx="0">
                  <c:v>2</c:v>
                </c:pt>
                <c:pt idx="1">
                  <c:v>2</c:v>
                </c:pt>
                <c:pt idx="2">
                  <c:v>8</c:v>
                </c:pt>
                <c:pt idx="3">
                  <c:v>44</c:v>
                </c:pt>
                <c:pt idx="4">
                  <c:v>128</c:v>
                </c:pt>
                <c:pt idx="5">
                  <c:v>166</c:v>
                </c:pt>
                <c:pt idx="6">
                  <c:v>199</c:v>
                </c:pt>
                <c:pt idx="7">
                  <c:v>274</c:v>
                </c:pt>
                <c:pt idx="8">
                  <c:v>226</c:v>
                </c:pt>
                <c:pt idx="9">
                  <c:v>208</c:v>
                </c:pt>
                <c:pt idx="10">
                  <c:v>117</c:v>
                </c:pt>
                <c:pt idx="11">
                  <c:v>143</c:v>
                </c:pt>
                <c:pt idx="12">
                  <c:v>148</c:v>
                </c:pt>
                <c:pt idx="13">
                  <c:v>196</c:v>
                </c:pt>
                <c:pt idx="14">
                  <c:v>217</c:v>
                </c:pt>
                <c:pt idx="15">
                  <c:v>145</c:v>
                </c:pt>
                <c:pt idx="16">
                  <c:v>123</c:v>
                </c:pt>
                <c:pt idx="17">
                  <c:v>94</c:v>
                </c:pt>
                <c:pt idx="18">
                  <c:v>105</c:v>
                </c:pt>
                <c:pt idx="19">
                  <c:v>94</c:v>
                </c:pt>
                <c:pt idx="20">
                  <c:v>73</c:v>
                </c:pt>
                <c:pt idx="21">
                  <c:v>77</c:v>
                </c:pt>
                <c:pt idx="22">
                  <c:v>58</c:v>
                </c:pt>
                <c:pt idx="23">
                  <c:v>37</c:v>
                </c:pt>
                <c:pt idx="24">
                  <c:v>24</c:v>
                </c:pt>
                <c:pt idx="25">
                  <c:v>14</c:v>
                </c:pt>
                <c:pt idx="26">
                  <c:v>5</c:v>
                </c:pt>
              </c:numCache>
            </c:numRef>
          </c:val>
        </c:ser>
        <c:dLbls>
          <c:showLegendKey val="0"/>
          <c:showVal val="0"/>
          <c:showCatName val="0"/>
          <c:showSerName val="0"/>
          <c:showPercent val="0"/>
          <c:showBubbleSize val="0"/>
        </c:dLbls>
        <c:gapWidth val="150"/>
        <c:axId val="5038448"/>
        <c:axId val="5036272"/>
      </c:barChart>
      <c:catAx>
        <c:axId val="503844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36272"/>
        <c:crosses val="autoZero"/>
        <c:auto val="1"/>
        <c:lblAlgn val="ctr"/>
        <c:lblOffset val="100"/>
        <c:noMultiLvlLbl val="0"/>
      </c:catAx>
      <c:valAx>
        <c:axId val="5036272"/>
        <c:scaling>
          <c:orientation val="minMax"/>
        </c:scaling>
        <c:delete val="0"/>
        <c:axPos val="l"/>
        <c:numFmt formatCode="General" sourceLinked="1"/>
        <c:majorTickMark val="out"/>
        <c:minorTickMark val="none"/>
        <c:tickLblPos val="nextTo"/>
        <c:crossAx val="503844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OBO</a:t>
            </a:r>
          </a:p>
        </c:rich>
      </c:tx>
      <c:overlay val="0"/>
    </c:title>
    <c:autoTitleDeleted val="0"/>
    <c:plotArea>
      <c:layout/>
      <c:barChart>
        <c:barDir val="col"/>
        <c:grouping val="clustered"/>
        <c:varyColors val="0"/>
        <c:ser>
          <c:idx val="1"/>
          <c:order val="0"/>
          <c:tx>
            <c:strRef>
              <c:f>Sardine!$B$63</c:f>
              <c:strCache>
                <c:ptCount val="1"/>
                <c:pt idx="0">
                  <c:v>Freq</c:v>
                </c:pt>
              </c:strCache>
            </c:strRef>
          </c:tx>
          <c:invertIfNegative val="0"/>
          <c:cat>
            <c:numRef>
              <c:f>Sardine!$A$64:$A$74</c:f>
              <c:numCache>
                <c:formatCode>General</c:formatCode>
                <c:ptCount val="11"/>
                <c:pt idx="0">
                  <c:v>24</c:v>
                </c:pt>
                <c:pt idx="1">
                  <c:v>25</c:v>
                </c:pt>
                <c:pt idx="2">
                  <c:v>26</c:v>
                </c:pt>
                <c:pt idx="3">
                  <c:v>27</c:v>
                </c:pt>
                <c:pt idx="4">
                  <c:v>28</c:v>
                </c:pt>
                <c:pt idx="5">
                  <c:v>29</c:v>
                </c:pt>
                <c:pt idx="6">
                  <c:v>30</c:v>
                </c:pt>
                <c:pt idx="7">
                  <c:v>31</c:v>
                </c:pt>
                <c:pt idx="8">
                  <c:v>32</c:v>
                </c:pt>
                <c:pt idx="9">
                  <c:v>33</c:v>
                </c:pt>
                <c:pt idx="10">
                  <c:v>35</c:v>
                </c:pt>
              </c:numCache>
            </c:numRef>
          </c:cat>
          <c:val>
            <c:numRef>
              <c:f>Sardine!$B$64:$B$74</c:f>
              <c:numCache>
                <c:formatCode>General</c:formatCode>
                <c:ptCount val="11"/>
                <c:pt idx="0">
                  <c:v>5</c:v>
                </c:pt>
                <c:pt idx="1">
                  <c:v>7</c:v>
                </c:pt>
                <c:pt idx="2">
                  <c:v>27</c:v>
                </c:pt>
                <c:pt idx="3">
                  <c:v>6</c:v>
                </c:pt>
                <c:pt idx="4">
                  <c:v>11</c:v>
                </c:pt>
                <c:pt idx="5">
                  <c:v>32</c:v>
                </c:pt>
                <c:pt idx="6">
                  <c:v>5</c:v>
                </c:pt>
                <c:pt idx="7">
                  <c:v>9</c:v>
                </c:pt>
                <c:pt idx="8">
                  <c:v>1</c:v>
                </c:pt>
                <c:pt idx="9">
                  <c:v>1</c:v>
                </c:pt>
                <c:pt idx="10">
                  <c:v>1</c:v>
                </c:pt>
              </c:numCache>
            </c:numRef>
          </c:val>
        </c:ser>
        <c:dLbls>
          <c:showLegendKey val="0"/>
          <c:showVal val="0"/>
          <c:showCatName val="0"/>
          <c:showSerName val="0"/>
          <c:showPercent val="0"/>
          <c:showBubbleSize val="0"/>
        </c:dLbls>
        <c:gapWidth val="150"/>
        <c:axId val="5040624"/>
        <c:axId val="5037360"/>
      </c:barChart>
      <c:catAx>
        <c:axId val="504062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37360"/>
        <c:crosses val="autoZero"/>
        <c:auto val="1"/>
        <c:lblAlgn val="ctr"/>
        <c:lblOffset val="100"/>
        <c:noMultiLvlLbl val="0"/>
      </c:catAx>
      <c:valAx>
        <c:axId val="5037360"/>
        <c:scaling>
          <c:orientation val="minMax"/>
        </c:scaling>
        <c:delete val="0"/>
        <c:axPos val="l"/>
        <c:numFmt formatCode="General" sourceLinked="1"/>
        <c:majorTickMark val="out"/>
        <c:minorTickMark val="none"/>
        <c:tickLblPos val="nextTo"/>
        <c:crossAx val="504062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Chinchard jaune</a:t>
            </a:r>
          </a:p>
        </c:rich>
      </c:tx>
      <c:overlay val="0"/>
    </c:title>
    <c:autoTitleDeleted val="0"/>
    <c:plotArea>
      <c:layout/>
      <c:barChart>
        <c:barDir val="col"/>
        <c:grouping val="clustered"/>
        <c:varyColors val="0"/>
        <c:ser>
          <c:idx val="1"/>
          <c:order val="0"/>
          <c:tx>
            <c:strRef>
              <c:f>Sardine!$B$77</c:f>
              <c:strCache>
                <c:ptCount val="1"/>
                <c:pt idx="0">
                  <c:v>Freq</c:v>
                </c:pt>
              </c:strCache>
            </c:strRef>
          </c:tx>
          <c:invertIfNegative val="0"/>
          <c:cat>
            <c:numRef>
              <c:f>Sardine!$A$78:$A$92</c:f>
              <c:numCache>
                <c:formatCode>General</c:formatCode>
                <c:ptCount val="15"/>
                <c:pt idx="1">
                  <c:v>23</c:v>
                </c:pt>
                <c:pt idx="2">
                  <c:v>24</c:v>
                </c:pt>
                <c:pt idx="3">
                  <c:v>25</c:v>
                </c:pt>
                <c:pt idx="4">
                  <c:v>26</c:v>
                </c:pt>
                <c:pt idx="5">
                  <c:v>27</c:v>
                </c:pt>
                <c:pt idx="6">
                  <c:v>28</c:v>
                </c:pt>
                <c:pt idx="7">
                  <c:v>29</c:v>
                </c:pt>
                <c:pt idx="8">
                  <c:v>30</c:v>
                </c:pt>
                <c:pt idx="9">
                  <c:v>31</c:v>
                </c:pt>
                <c:pt idx="10">
                  <c:v>32</c:v>
                </c:pt>
                <c:pt idx="11">
                  <c:v>33</c:v>
                </c:pt>
                <c:pt idx="12">
                  <c:v>34</c:v>
                </c:pt>
                <c:pt idx="13">
                  <c:v>35</c:v>
                </c:pt>
                <c:pt idx="14">
                  <c:v>38</c:v>
                </c:pt>
              </c:numCache>
            </c:numRef>
          </c:cat>
          <c:val>
            <c:numRef>
              <c:f>Sardine!$B$78:$B$92</c:f>
              <c:numCache>
                <c:formatCode>General</c:formatCode>
                <c:ptCount val="15"/>
                <c:pt idx="1">
                  <c:v>4</c:v>
                </c:pt>
                <c:pt idx="2">
                  <c:v>3</c:v>
                </c:pt>
                <c:pt idx="3">
                  <c:v>36</c:v>
                </c:pt>
                <c:pt idx="4">
                  <c:v>50</c:v>
                </c:pt>
                <c:pt idx="5">
                  <c:v>67</c:v>
                </c:pt>
                <c:pt idx="6">
                  <c:v>82</c:v>
                </c:pt>
                <c:pt idx="7">
                  <c:v>78</c:v>
                </c:pt>
                <c:pt idx="8">
                  <c:v>35</c:v>
                </c:pt>
                <c:pt idx="9">
                  <c:v>12</c:v>
                </c:pt>
                <c:pt idx="10">
                  <c:v>12</c:v>
                </c:pt>
                <c:pt idx="11">
                  <c:v>5</c:v>
                </c:pt>
                <c:pt idx="12">
                  <c:v>1</c:v>
                </c:pt>
                <c:pt idx="13">
                  <c:v>1</c:v>
                </c:pt>
                <c:pt idx="14">
                  <c:v>1</c:v>
                </c:pt>
              </c:numCache>
            </c:numRef>
          </c:val>
        </c:ser>
        <c:dLbls>
          <c:showLegendKey val="0"/>
          <c:showVal val="0"/>
          <c:showCatName val="0"/>
          <c:showSerName val="0"/>
          <c:showPercent val="0"/>
          <c:showBubbleSize val="0"/>
        </c:dLbls>
        <c:gapWidth val="150"/>
        <c:axId val="5044976"/>
        <c:axId val="5046608"/>
      </c:barChart>
      <c:catAx>
        <c:axId val="5044976"/>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46608"/>
        <c:crosses val="autoZero"/>
        <c:auto val="1"/>
        <c:lblAlgn val="ctr"/>
        <c:lblOffset val="100"/>
        <c:noMultiLvlLbl val="0"/>
      </c:catAx>
      <c:valAx>
        <c:axId val="5046608"/>
        <c:scaling>
          <c:orientation val="minMax"/>
        </c:scaling>
        <c:delete val="0"/>
        <c:axPos val="l"/>
        <c:numFmt formatCode="General" sourceLinked="1"/>
        <c:majorTickMark val="out"/>
        <c:minorTickMark val="none"/>
        <c:tickLblPos val="nextTo"/>
        <c:crossAx val="504497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Chinchard noir</a:t>
            </a:r>
          </a:p>
        </c:rich>
      </c:tx>
      <c:overlay val="0"/>
    </c:title>
    <c:autoTitleDeleted val="0"/>
    <c:plotArea>
      <c:layout/>
      <c:barChart>
        <c:barDir val="col"/>
        <c:grouping val="clustered"/>
        <c:varyColors val="0"/>
        <c:ser>
          <c:idx val="1"/>
          <c:order val="0"/>
          <c:tx>
            <c:strRef>
              <c:f>Sardine!$B$94</c:f>
              <c:strCache>
                <c:ptCount val="1"/>
                <c:pt idx="0">
                  <c:v>Freq</c:v>
                </c:pt>
              </c:strCache>
            </c:strRef>
          </c:tx>
          <c:invertIfNegative val="0"/>
          <c:cat>
            <c:numRef>
              <c:f>Sardine!$A$95:$A$120</c:f>
              <c:numCache>
                <c:formatCode>General</c:formatCode>
                <c:ptCount val="26"/>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numCache>
            </c:numRef>
          </c:cat>
          <c:val>
            <c:numRef>
              <c:f>Sardine!$B$95:$B$120</c:f>
              <c:numCache>
                <c:formatCode>General</c:formatCode>
                <c:ptCount val="26"/>
                <c:pt idx="0">
                  <c:v>1</c:v>
                </c:pt>
                <c:pt idx="1">
                  <c:v>2</c:v>
                </c:pt>
                <c:pt idx="2">
                  <c:v>5</c:v>
                </c:pt>
                <c:pt idx="3">
                  <c:v>14</c:v>
                </c:pt>
                <c:pt idx="4">
                  <c:v>7</c:v>
                </c:pt>
                <c:pt idx="5">
                  <c:v>27</c:v>
                </c:pt>
                <c:pt idx="6">
                  <c:v>28</c:v>
                </c:pt>
                <c:pt idx="7">
                  <c:v>56</c:v>
                </c:pt>
                <c:pt idx="8">
                  <c:v>85</c:v>
                </c:pt>
                <c:pt idx="9">
                  <c:v>172</c:v>
                </c:pt>
                <c:pt idx="10">
                  <c:v>180</c:v>
                </c:pt>
                <c:pt idx="11">
                  <c:v>155</c:v>
                </c:pt>
                <c:pt idx="12">
                  <c:v>94</c:v>
                </c:pt>
                <c:pt idx="13">
                  <c:v>78</c:v>
                </c:pt>
                <c:pt idx="14">
                  <c:v>57</c:v>
                </c:pt>
                <c:pt idx="15">
                  <c:v>25</c:v>
                </c:pt>
                <c:pt idx="16">
                  <c:v>11</c:v>
                </c:pt>
                <c:pt idx="17">
                  <c:v>12</c:v>
                </c:pt>
                <c:pt idx="18">
                  <c:v>9</c:v>
                </c:pt>
                <c:pt idx="19">
                  <c:v>6</c:v>
                </c:pt>
                <c:pt idx="20">
                  <c:v>2</c:v>
                </c:pt>
                <c:pt idx="21">
                  <c:v>6</c:v>
                </c:pt>
                <c:pt idx="22">
                  <c:v>1</c:v>
                </c:pt>
                <c:pt idx="23">
                  <c:v>1</c:v>
                </c:pt>
                <c:pt idx="24">
                  <c:v>1</c:v>
                </c:pt>
                <c:pt idx="25">
                  <c:v>1</c:v>
                </c:pt>
              </c:numCache>
            </c:numRef>
          </c:val>
        </c:ser>
        <c:dLbls>
          <c:showLegendKey val="0"/>
          <c:showVal val="0"/>
          <c:showCatName val="0"/>
          <c:showSerName val="0"/>
          <c:showPercent val="0"/>
          <c:showBubbleSize val="0"/>
        </c:dLbls>
        <c:gapWidth val="150"/>
        <c:axId val="5041168"/>
        <c:axId val="5043344"/>
      </c:barChart>
      <c:catAx>
        <c:axId val="5041168"/>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043344"/>
        <c:crosses val="autoZero"/>
        <c:auto val="1"/>
        <c:lblAlgn val="ctr"/>
        <c:lblOffset val="100"/>
        <c:noMultiLvlLbl val="0"/>
      </c:catAx>
      <c:valAx>
        <c:axId val="5043344"/>
        <c:scaling>
          <c:orientation val="minMax"/>
        </c:scaling>
        <c:delete val="0"/>
        <c:axPos val="l"/>
        <c:numFmt formatCode="General" sourceLinked="1"/>
        <c:majorTickMark val="out"/>
        <c:minorTickMark val="none"/>
        <c:tickLblPos val="nextTo"/>
        <c:crossAx val="5041168"/>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61FDF6557DB428B421A8ED0087232" ma:contentTypeVersion="11" ma:contentTypeDescription="Create a new document." ma:contentTypeScope="" ma:versionID="bdfbe84e13909346d82aee73b8695630">
  <xsd:schema xmlns:xsd="http://www.w3.org/2001/XMLSchema" xmlns:xs="http://www.w3.org/2001/XMLSchema" xmlns:p="http://schemas.microsoft.com/office/2006/metadata/properties" xmlns:ns2="f779aed9-3389-4426-8a19-5426e698a944" xmlns:ns3="caac1706-c9a6-479d-bf83-61366124c75e" targetNamespace="http://schemas.microsoft.com/office/2006/metadata/properties" ma:root="true" ma:fieldsID="91d1982a177bcee7fcca55e5086bff18" ns2:_="" ns3:_="">
    <xsd:import namespace="f779aed9-3389-4426-8a19-5426e698a944"/>
    <xsd:import namespace="caac1706-c9a6-479d-bf83-61366124c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aed9-3389-4426-8a19-5426e698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c1706-c9a6-479d-bf83-61366124c7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4917-27F5-479D-9670-A8FB79F84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aed9-3389-4426-8a19-5426e698a944"/>
    <ds:schemaRef ds:uri="caac1706-c9a6-479d-bf83-61366124c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D8527-0CBD-410F-AE88-D5E9C873353A}">
  <ds:schemaRefs>
    <ds:schemaRef ds:uri="http://schemas.microsoft.com/sharepoint/v3/contenttype/forms"/>
  </ds:schemaRefs>
</ds:datastoreItem>
</file>

<file path=customXml/itemProps3.xml><?xml version="1.0" encoding="utf-8"?>
<ds:datastoreItem xmlns:ds="http://schemas.openxmlformats.org/officeDocument/2006/customXml" ds:itemID="{D9C20072-A3A0-4C4D-907F-0C05069A37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62AE3E-3E5C-48DE-B6F2-A98D3967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COVID_19_word_template_FR (1)[2305843009226737133]</Template>
  <TotalTime>0</TotalTime>
  <Pages>21</Pages>
  <Words>4926</Words>
  <Characters>28080</Characters>
  <Application>Microsoft Office Word</Application>
  <DocSecurity>0</DocSecurity>
  <Lines>234</Lines>
  <Paragraphs>65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32941</CharactersWithSpaces>
  <SharedDoc>false</SharedDoc>
  <HyperlinkBase/>
  <HLinks>
    <vt:vector size="114" baseType="variant">
      <vt:variant>
        <vt:i4>1835069</vt:i4>
      </vt:variant>
      <vt:variant>
        <vt:i4>110</vt:i4>
      </vt:variant>
      <vt:variant>
        <vt:i4>0</vt:i4>
      </vt:variant>
      <vt:variant>
        <vt:i4>5</vt:i4>
      </vt:variant>
      <vt:variant>
        <vt:lpwstr/>
      </vt:variant>
      <vt:variant>
        <vt:lpwstr>_Toc71496182</vt:lpwstr>
      </vt:variant>
      <vt:variant>
        <vt:i4>2031677</vt:i4>
      </vt:variant>
      <vt:variant>
        <vt:i4>104</vt:i4>
      </vt:variant>
      <vt:variant>
        <vt:i4>0</vt:i4>
      </vt:variant>
      <vt:variant>
        <vt:i4>5</vt:i4>
      </vt:variant>
      <vt:variant>
        <vt:lpwstr/>
      </vt:variant>
      <vt:variant>
        <vt:lpwstr>_Toc71496181</vt:lpwstr>
      </vt:variant>
      <vt:variant>
        <vt:i4>1966141</vt:i4>
      </vt:variant>
      <vt:variant>
        <vt:i4>98</vt:i4>
      </vt:variant>
      <vt:variant>
        <vt:i4>0</vt:i4>
      </vt:variant>
      <vt:variant>
        <vt:i4>5</vt:i4>
      </vt:variant>
      <vt:variant>
        <vt:lpwstr/>
      </vt:variant>
      <vt:variant>
        <vt:lpwstr>_Toc71496180</vt:lpwstr>
      </vt:variant>
      <vt:variant>
        <vt:i4>1507378</vt:i4>
      </vt:variant>
      <vt:variant>
        <vt:i4>92</vt:i4>
      </vt:variant>
      <vt:variant>
        <vt:i4>0</vt:i4>
      </vt:variant>
      <vt:variant>
        <vt:i4>5</vt:i4>
      </vt:variant>
      <vt:variant>
        <vt:lpwstr/>
      </vt:variant>
      <vt:variant>
        <vt:lpwstr>_Toc71496179</vt:lpwstr>
      </vt:variant>
      <vt:variant>
        <vt:i4>1441842</vt:i4>
      </vt:variant>
      <vt:variant>
        <vt:i4>86</vt:i4>
      </vt:variant>
      <vt:variant>
        <vt:i4>0</vt:i4>
      </vt:variant>
      <vt:variant>
        <vt:i4>5</vt:i4>
      </vt:variant>
      <vt:variant>
        <vt:lpwstr/>
      </vt:variant>
      <vt:variant>
        <vt:lpwstr>_Toc71496178</vt:lpwstr>
      </vt:variant>
      <vt:variant>
        <vt:i4>1638450</vt:i4>
      </vt:variant>
      <vt:variant>
        <vt:i4>80</vt:i4>
      </vt:variant>
      <vt:variant>
        <vt:i4>0</vt:i4>
      </vt:variant>
      <vt:variant>
        <vt:i4>5</vt:i4>
      </vt:variant>
      <vt:variant>
        <vt:lpwstr/>
      </vt:variant>
      <vt:variant>
        <vt:lpwstr>_Toc71496177</vt:lpwstr>
      </vt:variant>
      <vt:variant>
        <vt:i4>1572914</vt:i4>
      </vt:variant>
      <vt:variant>
        <vt:i4>74</vt:i4>
      </vt:variant>
      <vt:variant>
        <vt:i4>0</vt:i4>
      </vt:variant>
      <vt:variant>
        <vt:i4>5</vt:i4>
      </vt:variant>
      <vt:variant>
        <vt:lpwstr/>
      </vt:variant>
      <vt:variant>
        <vt:lpwstr>_Toc71496176</vt:lpwstr>
      </vt:variant>
      <vt:variant>
        <vt:i4>1769522</vt:i4>
      </vt:variant>
      <vt:variant>
        <vt:i4>68</vt:i4>
      </vt:variant>
      <vt:variant>
        <vt:i4>0</vt:i4>
      </vt:variant>
      <vt:variant>
        <vt:i4>5</vt:i4>
      </vt:variant>
      <vt:variant>
        <vt:lpwstr/>
      </vt:variant>
      <vt:variant>
        <vt:lpwstr>_Toc71496175</vt:lpwstr>
      </vt:variant>
      <vt:variant>
        <vt:i4>1703986</vt:i4>
      </vt:variant>
      <vt:variant>
        <vt:i4>62</vt:i4>
      </vt:variant>
      <vt:variant>
        <vt:i4>0</vt:i4>
      </vt:variant>
      <vt:variant>
        <vt:i4>5</vt:i4>
      </vt:variant>
      <vt:variant>
        <vt:lpwstr/>
      </vt:variant>
      <vt:variant>
        <vt:lpwstr>_Toc71496174</vt:lpwstr>
      </vt:variant>
      <vt:variant>
        <vt:i4>1900594</vt:i4>
      </vt:variant>
      <vt:variant>
        <vt:i4>56</vt:i4>
      </vt:variant>
      <vt:variant>
        <vt:i4>0</vt:i4>
      </vt:variant>
      <vt:variant>
        <vt:i4>5</vt:i4>
      </vt:variant>
      <vt:variant>
        <vt:lpwstr/>
      </vt:variant>
      <vt:variant>
        <vt:lpwstr>_Toc71496173</vt:lpwstr>
      </vt:variant>
      <vt:variant>
        <vt:i4>1835058</vt:i4>
      </vt:variant>
      <vt:variant>
        <vt:i4>50</vt:i4>
      </vt:variant>
      <vt:variant>
        <vt:i4>0</vt:i4>
      </vt:variant>
      <vt:variant>
        <vt:i4>5</vt:i4>
      </vt:variant>
      <vt:variant>
        <vt:lpwstr/>
      </vt:variant>
      <vt:variant>
        <vt:lpwstr>_Toc71496172</vt:lpwstr>
      </vt:variant>
      <vt:variant>
        <vt:i4>2031666</vt:i4>
      </vt:variant>
      <vt:variant>
        <vt:i4>44</vt:i4>
      </vt:variant>
      <vt:variant>
        <vt:i4>0</vt:i4>
      </vt:variant>
      <vt:variant>
        <vt:i4>5</vt:i4>
      </vt:variant>
      <vt:variant>
        <vt:lpwstr/>
      </vt:variant>
      <vt:variant>
        <vt:lpwstr>_Toc71496171</vt:lpwstr>
      </vt:variant>
      <vt:variant>
        <vt:i4>1966130</vt:i4>
      </vt:variant>
      <vt:variant>
        <vt:i4>38</vt:i4>
      </vt:variant>
      <vt:variant>
        <vt:i4>0</vt:i4>
      </vt:variant>
      <vt:variant>
        <vt:i4>5</vt:i4>
      </vt:variant>
      <vt:variant>
        <vt:lpwstr/>
      </vt:variant>
      <vt:variant>
        <vt:lpwstr>_Toc71496170</vt:lpwstr>
      </vt:variant>
      <vt:variant>
        <vt:i4>1507379</vt:i4>
      </vt:variant>
      <vt:variant>
        <vt:i4>32</vt:i4>
      </vt:variant>
      <vt:variant>
        <vt:i4>0</vt:i4>
      </vt:variant>
      <vt:variant>
        <vt:i4>5</vt:i4>
      </vt:variant>
      <vt:variant>
        <vt:lpwstr/>
      </vt:variant>
      <vt:variant>
        <vt:lpwstr>_Toc71496169</vt:lpwstr>
      </vt:variant>
      <vt:variant>
        <vt:i4>1441843</vt:i4>
      </vt:variant>
      <vt:variant>
        <vt:i4>26</vt:i4>
      </vt:variant>
      <vt:variant>
        <vt:i4>0</vt:i4>
      </vt:variant>
      <vt:variant>
        <vt:i4>5</vt:i4>
      </vt:variant>
      <vt:variant>
        <vt:lpwstr/>
      </vt:variant>
      <vt:variant>
        <vt:lpwstr>_Toc71496168</vt:lpwstr>
      </vt:variant>
      <vt:variant>
        <vt:i4>1638451</vt:i4>
      </vt:variant>
      <vt:variant>
        <vt:i4>20</vt:i4>
      </vt:variant>
      <vt:variant>
        <vt:i4>0</vt:i4>
      </vt:variant>
      <vt:variant>
        <vt:i4>5</vt:i4>
      </vt:variant>
      <vt:variant>
        <vt:lpwstr/>
      </vt:variant>
      <vt:variant>
        <vt:lpwstr>_Toc71496167</vt:lpwstr>
      </vt:variant>
      <vt:variant>
        <vt:i4>1572915</vt:i4>
      </vt:variant>
      <vt:variant>
        <vt:i4>14</vt:i4>
      </vt:variant>
      <vt:variant>
        <vt:i4>0</vt:i4>
      </vt:variant>
      <vt:variant>
        <vt:i4>5</vt:i4>
      </vt:variant>
      <vt:variant>
        <vt:lpwstr/>
      </vt:variant>
      <vt:variant>
        <vt:lpwstr>_Toc71496166</vt:lpwstr>
      </vt:variant>
      <vt:variant>
        <vt:i4>1769523</vt:i4>
      </vt:variant>
      <vt:variant>
        <vt:i4>8</vt:i4>
      </vt:variant>
      <vt:variant>
        <vt:i4>0</vt:i4>
      </vt:variant>
      <vt:variant>
        <vt:i4>5</vt:i4>
      </vt:variant>
      <vt:variant>
        <vt:lpwstr/>
      </vt:variant>
      <vt:variant>
        <vt:lpwstr>_Toc71496165</vt:lpwstr>
      </vt:variant>
      <vt:variant>
        <vt:i4>1703987</vt:i4>
      </vt:variant>
      <vt:variant>
        <vt:i4>2</vt:i4>
      </vt:variant>
      <vt:variant>
        <vt:i4>0</vt:i4>
      </vt:variant>
      <vt:variant>
        <vt:i4>5</vt:i4>
      </vt:variant>
      <vt:variant>
        <vt:lpwstr/>
      </vt:variant>
      <vt:variant>
        <vt:lpwstr>_Toc71496164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Souha (FAOSNE);Asma.Jlassi@fao.org</dc:creator>
  <cp:keywords/>
  <cp:lastModifiedBy>Gascoigne</cp:lastModifiedBy>
  <cp:revision>2</cp:revision>
  <cp:lastPrinted>2020-03-30T12:14:00Z</cp:lastPrinted>
  <dcterms:created xsi:type="dcterms:W3CDTF">2022-02-24T11:30:00Z</dcterms:created>
  <dcterms:modified xsi:type="dcterms:W3CDTF">2022-02-24T11:30:00Z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0x010100A2B61FDF6557DB428B421A8ED0087232</vt:lpwstr>
  </property>
  <property fmtid="{D5CDD505-2E9C-101B-9397-08002B2CF9AE}" pid="3" name="SharedWithUsers">
    <vt:lpwstr>587;#Aouadi, Faten (FAOSNE)</vt:lpwstr>
  </property>
</Properties>
</file>