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559891" w14:textId="47688BA0" w:rsidR="0088750C" w:rsidRDefault="0088750C" w:rsidP="00EA60DC"/>
    <w:p w14:paraId="10C1440E" w14:textId="615C9923" w:rsidR="00EA60DC" w:rsidRDefault="00EA60DC" w:rsidP="00EA60DC"/>
    <w:p w14:paraId="43876C57" w14:textId="3D5419FA" w:rsidR="00EA60DC" w:rsidRDefault="00EA60DC" w:rsidP="00EA60DC"/>
    <w:p w14:paraId="25B0AAF5" w14:textId="4A00E3AD" w:rsidR="00EA60DC" w:rsidRPr="005E1F29" w:rsidRDefault="00EA60DC" w:rsidP="00FE6CF9">
      <w:pPr>
        <w:tabs>
          <w:tab w:val="left" w:pos="3155"/>
        </w:tabs>
      </w:pPr>
    </w:p>
    <w:p w14:paraId="7AAB3ADE" w14:textId="77777777" w:rsidR="003C4EE5" w:rsidRDefault="003C4EE5" w:rsidP="003C4EE5">
      <w:pPr>
        <w:jc w:val="center"/>
        <w:rPr>
          <w:b/>
          <w:color w:val="002060"/>
          <w:sz w:val="44"/>
          <w:szCs w:val="44"/>
        </w:rPr>
      </w:pPr>
      <w:r>
        <w:rPr>
          <w:color w:val="002554"/>
          <w:sz w:val="60"/>
          <w:szCs w:val="60"/>
        </w:rPr>
        <w:t>Project UK Fisheries Improvement</w:t>
      </w:r>
    </w:p>
    <w:p w14:paraId="15FE561B" w14:textId="77777777" w:rsidR="003C4EE5" w:rsidRPr="00225142" w:rsidRDefault="003C4EE5" w:rsidP="003C4EE5">
      <w:pPr>
        <w:jc w:val="center"/>
        <w:rPr>
          <w:b/>
          <w:color w:val="002060"/>
          <w:sz w:val="44"/>
          <w:szCs w:val="44"/>
        </w:rPr>
      </w:pPr>
      <w:r>
        <w:rPr>
          <w:b/>
          <w:color w:val="002060"/>
          <w:sz w:val="44"/>
          <w:szCs w:val="44"/>
        </w:rPr>
        <w:t xml:space="preserve">Task 6. </w:t>
      </w:r>
      <w:r w:rsidRPr="00225142">
        <w:rPr>
          <w:b/>
          <w:color w:val="002060"/>
          <w:sz w:val="44"/>
          <w:szCs w:val="44"/>
        </w:rPr>
        <w:t>Secondary species status for monkfish fishery, beam trawl, demersal trawl and tangle/trammel net</w:t>
      </w:r>
    </w:p>
    <w:p w14:paraId="15A49870" w14:textId="29C50841" w:rsidR="008464AA" w:rsidRDefault="008464AA" w:rsidP="003C4EE5">
      <w:pPr>
        <w:pStyle w:val="Title"/>
        <w:ind w:left="0"/>
      </w:pPr>
    </w:p>
    <w:p w14:paraId="6678CBFD" w14:textId="77777777" w:rsidR="008464AA" w:rsidRPr="0027350F" w:rsidRDefault="008464AA" w:rsidP="00EA60DC"/>
    <w:p w14:paraId="7D625688" w14:textId="6A2CCB41" w:rsidR="00AA45FD" w:rsidRDefault="005273B4" w:rsidP="00944708">
      <w:pPr>
        <w:pStyle w:val="Normalblue"/>
        <w:ind w:left="0"/>
        <w:rPr>
          <w:sz w:val="24"/>
          <w:szCs w:val="24"/>
        </w:rPr>
      </w:pPr>
      <w:r w:rsidRPr="00944708">
        <w:rPr>
          <w:sz w:val="24"/>
          <w:szCs w:val="24"/>
        </w:rPr>
        <w:t>Author</w:t>
      </w:r>
      <w:r w:rsidR="00174D67">
        <w:rPr>
          <w:sz w:val="24"/>
          <w:szCs w:val="24"/>
        </w:rPr>
        <w:t>(</w:t>
      </w:r>
      <w:r w:rsidRPr="00944708">
        <w:rPr>
          <w:sz w:val="24"/>
          <w:szCs w:val="24"/>
        </w:rPr>
        <w:t>s</w:t>
      </w:r>
      <w:r w:rsidR="00174D67">
        <w:rPr>
          <w:sz w:val="24"/>
          <w:szCs w:val="24"/>
        </w:rPr>
        <w:t>)</w:t>
      </w:r>
      <w:r w:rsidR="00944708">
        <w:rPr>
          <w:sz w:val="24"/>
          <w:szCs w:val="24"/>
        </w:rPr>
        <w:t xml:space="preserve">: </w:t>
      </w:r>
      <w:r w:rsidR="003C4EE5">
        <w:rPr>
          <w:sz w:val="24"/>
          <w:szCs w:val="24"/>
        </w:rPr>
        <w:t>Ana Ribeiro Santos</w:t>
      </w:r>
      <w:r w:rsidR="00174D67">
        <w:rPr>
          <w:sz w:val="24"/>
          <w:szCs w:val="24"/>
        </w:rPr>
        <w:t xml:space="preserve"> </w:t>
      </w:r>
    </w:p>
    <w:p w14:paraId="47F7791E" w14:textId="56DB7BA9" w:rsidR="00944708" w:rsidRPr="00944708" w:rsidRDefault="00174D67" w:rsidP="00944708">
      <w:pPr>
        <w:pStyle w:val="Normalblue"/>
        <w:ind w:left="0"/>
        <w:rPr>
          <w:sz w:val="24"/>
          <w:szCs w:val="24"/>
        </w:rPr>
      </w:pPr>
      <w:r>
        <w:rPr>
          <w:sz w:val="24"/>
          <w:szCs w:val="24"/>
        </w:rPr>
        <w:t xml:space="preserve">Issue Date: </w:t>
      </w:r>
      <w:r w:rsidR="00896697">
        <w:rPr>
          <w:sz w:val="24"/>
          <w:szCs w:val="24"/>
        </w:rPr>
        <w:t>23/06/2018</w:t>
      </w:r>
    </w:p>
    <w:p w14:paraId="4FD8BF76" w14:textId="25E61F77" w:rsidR="00830A90" w:rsidRDefault="00830A90" w:rsidP="00EA60DC"/>
    <w:p w14:paraId="0851F080" w14:textId="6B1A717B" w:rsidR="00830A90" w:rsidRDefault="00830A90" w:rsidP="00EA60DC"/>
    <w:p w14:paraId="70805D16" w14:textId="77777777" w:rsidR="00830A90" w:rsidRDefault="00830A90" w:rsidP="00EA60DC"/>
    <w:p w14:paraId="37CB44E5" w14:textId="6806282E" w:rsidR="00830A90" w:rsidRDefault="00830A90" w:rsidP="00EA60DC"/>
    <w:p w14:paraId="32B330E7" w14:textId="2EC83F42" w:rsidR="008464AA" w:rsidRPr="0027350F" w:rsidRDefault="008464AA" w:rsidP="00830A90">
      <w:pPr>
        <w:ind w:left="0"/>
        <w:sectPr w:rsidR="008464AA" w:rsidRPr="0027350F" w:rsidSect="00610D78">
          <w:headerReference w:type="default" r:id="rId11"/>
          <w:footerReference w:type="default" r:id="rId12"/>
          <w:headerReference w:type="first" r:id="rId13"/>
          <w:footerReference w:type="first" r:id="rId14"/>
          <w:pgSz w:w="11907" w:h="16840" w:code="9"/>
          <w:pgMar w:top="1134" w:right="1440" w:bottom="1560" w:left="1440" w:header="709" w:footer="910" w:gutter="0"/>
          <w:cols w:space="720"/>
          <w:docGrid w:linePitch="360"/>
        </w:sectPr>
      </w:pPr>
    </w:p>
    <w:p w14:paraId="1F67D254" w14:textId="77777777" w:rsidR="008464AA" w:rsidRPr="0027350F" w:rsidRDefault="008464AA" w:rsidP="00EA60DC">
      <w:pPr>
        <w:pStyle w:val="CefasHeading"/>
      </w:pPr>
      <w:r w:rsidRPr="0027350F">
        <w:lastRenderedPageBreak/>
        <w:t xml:space="preserve">Cefas Document Control </w:t>
      </w:r>
    </w:p>
    <w:tbl>
      <w:tblPr>
        <w:tblStyle w:val="TableGrid"/>
        <w:tblW w:w="0" w:type="auto"/>
        <w:tblBorders>
          <w:top w:val="single" w:sz="4" w:space="0" w:color="002554"/>
          <w:left w:val="single" w:sz="4" w:space="0" w:color="002554"/>
          <w:bottom w:val="single" w:sz="4" w:space="0" w:color="002554"/>
          <w:right w:val="single" w:sz="4" w:space="0" w:color="002554"/>
          <w:insideH w:val="single" w:sz="4" w:space="0" w:color="002554"/>
          <w:insideV w:val="single" w:sz="4" w:space="0" w:color="002554"/>
        </w:tblBorders>
        <w:tblLook w:val="04A0" w:firstRow="1" w:lastRow="0" w:firstColumn="1" w:lastColumn="0" w:noHBand="0" w:noVBand="1"/>
      </w:tblPr>
      <w:tblGrid>
        <w:gridCol w:w="2417"/>
        <w:gridCol w:w="6599"/>
      </w:tblGrid>
      <w:tr w:rsidR="008464AA" w:rsidRPr="0027350F" w14:paraId="0DE8B87A" w14:textId="77777777" w:rsidTr="00220709">
        <w:trPr>
          <w:trHeight w:val="794"/>
        </w:trPr>
        <w:tc>
          <w:tcPr>
            <w:tcW w:w="2689" w:type="dxa"/>
            <w:shd w:val="clear" w:color="auto" w:fill="auto"/>
            <w:vAlign w:val="center"/>
          </w:tcPr>
          <w:p w14:paraId="6CFCB422" w14:textId="77777777" w:rsidR="008464AA" w:rsidRPr="00EA60DC" w:rsidRDefault="008464AA" w:rsidP="00F04620">
            <w:pPr>
              <w:pStyle w:val="NoSpacing"/>
            </w:pPr>
            <w:r w:rsidRPr="00EA60DC">
              <w:t xml:space="preserve">Submitted to: </w:t>
            </w:r>
          </w:p>
        </w:tc>
        <w:tc>
          <w:tcPr>
            <w:tcW w:w="7767" w:type="dxa"/>
            <w:vAlign w:val="center"/>
          </w:tcPr>
          <w:p w14:paraId="35977177" w14:textId="22816D77" w:rsidR="008464AA" w:rsidRPr="00C042EF" w:rsidRDefault="0041734C" w:rsidP="00F04620">
            <w:pPr>
              <w:pStyle w:val="NoSpacing"/>
            </w:pPr>
            <w:r>
              <w:t>Chloe North, MSC</w:t>
            </w:r>
          </w:p>
        </w:tc>
      </w:tr>
      <w:tr w:rsidR="008464AA" w:rsidRPr="0027350F" w14:paraId="2B2DEE38" w14:textId="77777777" w:rsidTr="00220709">
        <w:trPr>
          <w:trHeight w:val="794"/>
        </w:trPr>
        <w:tc>
          <w:tcPr>
            <w:tcW w:w="2689" w:type="dxa"/>
            <w:shd w:val="clear" w:color="auto" w:fill="auto"/>
            <w:vAlign w:val="center"/>
          </w:tcPr>
          <w:p w14:paraId="33F9D66B" w14:textId="77777777" w:rsidR="008464AA" w:rsidRPr="00EA60DC" w:rsidRDefault="008464AA" w:rsidP="00F04620">
            <w:pPr>
              <w:pStyle w:val="NoSpacing"/>
            </w:pPr>
            <w:r w:rsidRPr="00EA60DC">
              <w:t xml:space="preserve">Date submitted: </w:t>
            </w:r>
          </w:p>
        </w:tc>
        <w:tc>
          <w:tcPr>
            <w:tcW w:w="7767" w:type="dxa"/>
            <w:vAlign w:val="center"/>
          </w:tcPr>
          <w:p w14:paraId="12A3A642" w14:textId="6D42CD84" w:rsidR="008464AA" w:rsidRPr="0027350F" w:rsidRDefault="00AD18C0" w:rsidP="00F04620">
            <w:pPr>
              <w:pStyle w:val="NoSpacing"/>
            </w:pPr>
            <w:r>
              <w:t>06/07/2018</w:t>
            </w:r>
          </w:p>
        </w:tc>
      </w:tr>
      <w:tr w:rsidR="008464AA" w:rsidRPr="0027350F" w14:paraId="19D1FE98" w14:textId="77777777" w:rsidTr="00220709">
        <w:trPr>
          <w:trHeight w:val="794"/>
        </w:trPr>
        <w:tc>
          <w:tcPr>
            <w:tcW w:w="2689" w:type="dxa"/>
            <w:shd w:val="clear" w:color="auto" w:fill="auto"/>
            <w:vAlign w:val="center"/>
          </w:tcPr>
          <w:p w14:paraId="1C18B5AF" w14:textId="77777777" w:rsidR="008464AA" w:rsidRPr="00EA60DC" w:rsidRDefault="008464AA" w:rsidP="00F04620">
            <w:pPr>
              <w:pStyle w:val="NoSpacing"/>
            </w:pPr>
            <w:r w:rsidRPr="00EA60DC">
              <w:t xml:space="preserve">Project Manager: </w:t>
            </w:r>
          </w:p>
        </w:tc>
        <w:tc>
          <w:tcPr>
            <w:tcW w:w="7767" w:type="dxa"/>
            <w:vAlign w:val="center"/>
          </w:tcPr>
          <w:p w14:paraId="7AFEBE28" w14:textId="76282456" w:rsidR="008464AA" w:rsidRPr="0027350F" w:rsidRDefault="003C4EE5" w:rsidP="00F04620">
            <w:pPr>
              <w:pStyle w:val="NoSpacing"/>
            </w:pPr>
            <w:r>
              <w:t>A</w:t>
            </w:r>
            <w:r w:rsidR="003A722B" w:rsidRPr="003A722B">
              <w:t>nna Sypniewska-Huk</w:t>
            </w:r>
          </w:p>
        </w:tc>
      </w:tr>
      <w:tr w:rsidR="008464AA" w:rsidRPr="0027350F" w14:paraId="01C2EC8A" w14:textId="77777777" w:rsidTr="00220709">
        <w:trPr>
          <w:trHeight w:val="794"/>
        </w:trPr>
        <w:tc>
          <w:tcPr>
            <w:tcW w:w="2689" w:type="dxa"/>
            <w:shd w:val="clear" w:color="auto" w:fill="auto"/>
            <w:vAlign w:val="center"/>
          </w:tcPr>
          <w:p w14:paraId="2820BCA6" w14:textId="77777777" w:rsidR="008464AA" w:rsidRPr="00EA60DC" w:rsidRDefault="008464AA" w:rsidP="00F04620">
            <w:pPr>
              <w:pStyle w:val="NoSpacing"/>
            </w:pPr>
            <w:r w:rsidRPr="00EA60DC">
              <w:t>Report compiled by:</w:t>
            </w:r>
          </w:p>
        </w:tc>
        <w:tc>
          <w:tcPr>
            <w:tcW w:w="7767" w:type="dxa"/>
            <w:vAlign w:val="center"/>
          </w:tcPr>
          <w:p w14:paraId="0AF20553" w14:textId="30CB57EE" w:rsidR="00F04620" w:rsidRPr="0027350F" w:rsidRDefault="003C4EE5" w:rsidP="00F04620">
            <w:pPr>
              <w:pStyle w:val="NoSpacing"/>
            </w:pPr>
            <w:r>
              <w:t>Ana Ribeiro Santos</w:t>
            </w:r>
          </w:p>
        </w:tc>
      </w:tr>
      <w:tr w:rsidR="008464AA" w:rsidRPr="0027350F" w14:paraId="769B0BD9" w14:textId="77777777" w:rsidTr="00220709">
        <w:trPr>
          <w:trHeight w:val="794"/>
        </w:trPr>
        <w:tc>
          <w:tcPr>
            <w:tcW w:w="2689" w:type="dxa"/>
            <w:shd w:val="clear" w:color="auto" w:fill="auto"/>
            <w:vAlign w:val="center"/>
          </w:tcPr>
          <w:p w14:paraId="2DF92421" w14:textId="77777777" w:rsidR="008464AA" w:rsidRPr="00EA60DC" w:rsidRDefault="008464AA" w:rsidP="00F04620">
            <w:pPr>
              <w:pStyle w:val="NoSpacing"/>
            </w:pPr>
            <w:r w:rsidRPr="00EA60DC">
              <w:t>Quality control by:</w:t>
            </w:r>
          </w:p>
        </w:tc>
        <w:tc>
          <w:tcPr>
            <w:tcW w:w="7767" w:type="dxa"/>
            <w:vAlign w:val="center"/>
          </w:tcPr>
          <w:p w14:paraId="49EBD018" w14:textId="3C0588C5" w:rsidR="008464AA" w:rsidRPr="0027350F" w:rsidRDefault="003C4EE5" w:rsidP="00F04620">
            <w:pPr>
              <w:pStyle w:val="NoSpacing"/>
            </w:pPr>
            <w:r>
              <w:t>Tom Catchpole</w:t>
            </w:r>
          </w:p>
        </w:tc>
      </w:tr>
      <w:tr w:rsidR="008464AA" w:rsidRPr="0027350F" w14:paraId="2A0D9947" w14:textId="77777777" w:rsidTr="00220709">
        <w:trPr>
          <w:trHeight w:val="794"/>
        </w:trPr>
        <w:tc>
          <w:tcPr>
            <w:tcW w:w="2689" w:type="dxa"/>
            <w:shd w:val="clear" w:color="auto" w:fill="auto"/>
            <w:vAlign w:val="center"/>
          </w:tcPr>
          <w:p w14:paraId="35226996" w14:textId="77777777" w:rsidR="008464AA" w:rsidRPr="00EA60DC" w:rsidRDefault="008464AA" w:rsidP="00F04620">
            <w:pPr>
              <w:pStyle w:val="NoSpacing"/>
            </w:pPr>
            <w:r w:rsidRPr="00EA60DC">
              <w:t xml:space="preserve">Approved by and date: </w:t>
            </w:r>
          </w:p>
        </w:tc>
        <w:tc>
          <w:tcPr>
            <w:tcW w:w="7767" w:type="dxa"/>
            <w:vAlign w:val="center"/>
          </w:tcPr>
          <w:p w14:paraId="04396CBF" w14:textId="77777777" w:rsidR="008464AA" w:rsidRPr="0027350F" w:rsidRDefault="008464AA" w:rsidP="00F04620">
            <w:pPr>
              <w:pStyle w:val="NoSpacing"/>
            </w:pPr>
          </w:p>
        </w:tc>
      </w:tr>
      <w:tr w:rsidR="008464AA" w:rsidRPr="0027350F" w14:paraId="26A43A1A" w14:textId="77777777" w:rsidTr="00220709">
        <w:trPr>
          <w:trHeight w:val="794"/>
        </w:trPr>
        <w:tc>
          <w:tcPr>
            <w:tcW w:w="2689" w:type="dxa"/>
            <w:shd w:val="clear" w:color="auto" w:fill="auto"/>
            <w:vAlign w:val="center"/>
          </w:tcPr>
          <w:p w14:paraId="66BE13FB" w14:textId="77777777" w:rsidR="008464AA" w:rsidRPr="00EA60DC" w:rsidRDefault="008464AA" w:rsidP="00F04620">
            <w:pPr>
              <w:pStyle w:val="NoSpacing"/>
            </w:pPr>
            <w:r w:rsidRPr="00EA60DC">
              <w:t xml:space="preserve">Version: </w:t>
            </w:r>
          </w:p>
        </w:tc>
        <w:tc>
          <w:tcPr>
            <w:tcW w:w="7767" w:type="dxa"/>
            <w:vAlign w:val="center"/>
          </w:tcPr>
          <w:p w14:paraId="25116033" w14:textId="26791547" w:rsidR="008464AA" w:rsidRPr="0027350F" w:rsidRDefault="00AD18C0" w:rsidP="00F04620">
            <w:pPr>
              <w:pStyle w:val="NoSpacing"/>
            </w:pPr>
            <w:r>
              <w:t>V2.0</w:t>
            </w:r>
          </w:p>
        </w:tc>
      </w:tr>
    </w:tbl>
    <w:p w14:paraId="0555CC6B" w14:textId="77777777" w:rsidR="008464AA" w:rsidRPr="0027350F" w:rsidRDefault="008464AA" w:rsidP="00EA60DC">
      <w:pPr>
        <w:rPr>
          <w:lang w:val="en" w:eastAsia="en-GB"/>
        </w:rPr>
      </w:pPr>
    </w:p>
    <w:p w14:paraId="0E6D786A" w14:textId="77777777" w:rsidR="008464AA" w:rsidRPr="0027350F" w:rsidRDefault="008464AA" w:rsidP="00EA60DC">
      <w:pPr>
        <w:rPr>
          <w:lang w:val="en" w:eastAsia="en-GB"/>
        </w:rPr>
      </w:pPr>
    </w:p>
    <w:tbl>
      <w:tblPr>
        <w:tblW w:w="0" w:type="auto"/>
        <w:tblCellMar>
          <w:left w:w="0" w:type="dxa"/>
          <w:right w:w="0" w:type="dxa"/>
        </w:tblCellMar>
        <w:tblLook w:val="04A0" w:firstRow="1" w:lastRow="0" w:firstColumn="1" w:lastColumn="0" w:noHBand="0" w:noVBand="1"/>
      </w:tblPr>
      <w:tblGrid>
        <w:gridCol w:w="2309"/>
        <w:gridCol w:w="2309"/>
        <w:gridCol w:w="2078"/>
        <w:gridCol w:w="2310"/>
      </w:tblGrid>
      <w:tr w:rsidR="00830A90" w14:paraId="5E4FF23E" w14:textId="77777777" w:rsidTr="00830A90">
        <w:tc>
          <w:tcPr>
            <w:tcW w:w="9016" w:type="dxa"/>
            <w:gridSpan w:val="4"/>
            <w:tcBorders>
              <w:top w:val="single" w:sz="8" w:space="0" w:color="5B9BD5"/>
              <w:left w:val="single" w:sz="8" w:space="0" w:color="5B9BD5"/>
              <w:bottom w:val="single" w:sz="8" w:space="0" w:color="5B9BD5"/>
              <w:right w:val="single" w:sz="8" w:space="0" w:color="5B9BD5"/>
            </w:tcBorders>
            <w:shd w:val="clear" w:color="auto" w:fill="004C6F"/>
            <w:tcMar>
              <w:top w:w="0" w:type="dxa"/>
              <w:left w:w="108" w:type="dxa"/>
              <w:bottom w:w="0" w:type="dxa"/>
              <w:right w:w="108" w:type="dxa"/>
            </w:tcMar>
            <w:vAlign w:val="center"/>
            <w:hideMark/>
          </w:tcPr>
          <w:p w14:paraId="568242F7" w14:textId="77777777" w:rsidR="00830A90" w:rsidRDefault="00830A90" w:rsidP="008C09A8">
            <w:pPr>
              <w:spacing w:after="210"/>
              <w:ind w:left="19" w:hanging="19"/>
              <w:jc w:val="center"/>
              <w:rPr>
                <w:rFonts w:ascii="Arial" w:hAnsi="Arial" w:cs="Arial"/>
                <w:color w:val="FFFFFF"/>
                <w:lang w:val="en" w:eastAsia="en-GB"/>
              </w:rPr>
            </w:pPr>
            <w:r>
              <w:rPr>
                <w:rFonts w:ascii="Arial" w:hAnsi="Arial" w:cs="Arial"/>
                <w:color w:val="FFFFFF"/>
                <w:lang w:val="en" w:eastAsia="en-GB"/>
              </w:rPr>
              <w:t>Version Control History</w:t>
            </w:r>
          </w:p>
        </w:tc>
      </w:tr>
      <w:tr w:rsidR="00830A90" w14:paraId="1506C9DD" w14:textId="77777777" w:rsidTr="007544CF">
        <w:tc>
          <w:tcPr>
            <w:tcW w:w="2312" w:type="dxa"/>
            <w:tcBorders>
              <w:top w:val="nil"/>
              <w:left w:val="single" w:sz="8" w:space="0" w:color="002554"/>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3C0D1FAC" w14:textId="64392639" w:rsidR="00830A90" w:rsidRDefault="00174D67" w:rsidP="00FA4D7A">
            <w:pPr>
              <w:spacing w:after="210"/>
              <w:ind w:left="22"/>
              <w:jc w:val="left"/>
              <w:rPr>
                <w:rFonts w:ascii="Arial" w:hAnsi="Arial" w:cs="Arial"/>
                <w:color w:val="FFFFFF"/>
                <w:lang w:val="en" w:eastAsia="en-GB"/>
              </w:rPr>
            </w:pPr>
            <w:r>
              <w:rPr>
                <w:rFonts w:ascii="Arial" w:hAnsi="Arial" w:cs="Arial"/>
                <w:color w:val="FFFFFF"/>
                <w:lang w:val="en" w:eastAsia="en-GB"/>
              </w:rPr>
              <w:t>Version</w:t>
            </w:r>
          </w:p>
        </w:tc>
        <w:tc>
          <w:tcPr>
            <w:tcW w:w="2312" w:type="dxa"/>
            <w:tcBorders>
              <w:top w:val="nil"/>
              <w:left w:val="nil"/>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5E84D995" w14:textId="1B704A48" w:rsidR="00830A90" w:rsidRDefault="00174D67" w:rsidP="00FA4D7A">
            <w:pPr>
              <w:spacing w:after="210"/>
              <w:ind w:left="22"/>
              <w:jc w:val="left"/>
              <w:rPr>
                <w:rFonts w:ascii="Arial" w:hAnsi="Arial" w:cs="Arial"/>
                <w:color w:val="FFFFFF"/>
                <w:lang w:val="en" w:eastAsia="en-GB"/>
              </w:rPr>
            </w:pPr>
            <w:r>
              <w:rPr>
                <w:rFonts w:ascii="Arial" w:hAnsi="Arial" w:cs="Arial"/>
                <w:color w:val="FFFFFF"/>
                <w:lang w:val="en" w:eastAsia="en-GB"/>
              </w:rPr>
              <w:t xml:space="preserve">Author </w:t>
            </w:r>
          </w:p>
        </w:tc>
        <w:tc>
          <w:tcPr>
            <w:tcW w:w="2080" w:type="dxa"/>
            <w:tcBorders>
              <w:top w:val="nil"/>
              <w:left w:val="nil"/>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299C09A3" w14:textId="3DDE797C" w:rsidR="00830A90" w:rsidRDefault="00174D67" w:rsidP="00FA4D7A">
            <w:pPr>
              <w:spacing w:after="210"/>
              <w:ind w:left="22"/>
              <w:jc w:val="left"/>
              <w:rPr>
                <w:rFonts w:ascii="Arial" w:hAnsi="Arial" w:cs="Arial"/>
                <w:color w:val="FFFFFF"/>
                <w:lang w:val="en" w:eastAsia="en-GB"/>
              </w:rPr>
            </w:pPr>
            <w:r>
              <w:rPr>
                <w:rFonts w:ascii="Arial" w:hAnsi="Arial" w:cs="Arial"/>
                <w:color w:val="FFFFFF"/>
                <w:lang w:val="en" w:eastAsia="en-GB"/>
              </w:rPr>
              <w:t>Date</w:t>
            </w:r>
          </w:p>
        </w:tc>
        <w:tc>
          <w:tcPr>
            <w:tcW w:w="2312" w:type="dxa"/>
            <w:tcBorders>
              <w:top w:val="nil"/>
              <w:left w:val="nil"/>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622A8A41" w14:textId="077D7C3B" w:rsidR="00830A90" w:rsidRDefault="00174D67" w:rsidP="00FA4D7A">
            <w:pPr>
              <w:spacing w:after="210"/>
              <w:ind w:left="22"/>
              <w:jc w:val="left"/>
              <w:rPr>
                <w:rFonts w:ascii="Arial" w:hAnsi="Arial" w:cs="Arial"/>
                <w:color w:val="FFFFFF"/>
                <w:lang w:val="en" w:eastAsia="en-GB"/>
              </w:rPr>
            </w:pPr>
            <w:r>
              <w:rPr>
                <w:rFonts w:ascii="Arial" w:hAnsi="Arial" w:cs="Arial"/>
                <w:color w:val="FFFFFF"/>
                <w:lang w:val="en" w:eastAsia="en-GB"/>
              </w:rPr>
              <w:t>Comment</w:t>
            </w:r>
          </w:p>
        </w:tc>
      </w:tr>
      <w:tr w:rsidR="00830A90" w14:paraId="351A11E8" w14:textId="77777777" w:rsidTr="00174D67">
        <w:trPr>
          <w:trHeight w:val="397"/>
        </w:trPr>
        <w:tc>
          <w:tcPr>
            <w:tcW w:w="2312" w:type="dxa"/>
            <w:tcBorders>
              <w:top w:val="nil"/>
              <w:left w:val="single" w:sz="8" w:space="0" w:color="002554"/>
              <w:bottom w:val="single" w:sz="8" w:space="0" w:color="002554"/>
              <w:right w:val="single" w:sz="8" w:space="0" w:color="002554"/>
            </w:tcBorders>
            <w:shd w:val="clear" w:color="auto" w:fill="D7EDF9"/>
            <w:tcMar>
              <w:top w:w="0" w:type="dxa"/>
              <w:left w:w="108" w:type="dxa"/>
              <w:bottom w:w="0" w:type="dxa"/>
              <w:right w:w="108" w:type="dxa"/>
            </w:tcMar>
            <w:vAlign w:val="center"/>
          </w:tcPr>
          <w:p w14:paraId="407AEC7E" w14:textId="10847E3F" w:rsidR="00830A90" w:rsidRPr="00174D67" w:rsidRDefault="003C4EE5" w:rsidP="00174D67">
            <w:pPr>
              <w:pStyle w:val="NoSpacing"/>
            </w:pPr>
            <w:r>
              <w:t>V1.0</w:t>
            </w:r>
          </w:p>
        </w:tc>
        <w:tc>
          <w:tcPr>
            <w:tcW w:w="2312"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46CF6302" w14:textId="42D9076C" w:rsidR="00830A90" w:rsidRPr="00174D67" w:rsidRDefault="003C4EE5" w:rsidP="00174D67">
            <w:pPr>
              <w:pStyle w:val="NoSpacing"/>
            </w:pPr>
            <w:r>
              <w:t>Ana Ribeiro Santos</w:t>
            </w:r>
          </w:p>
        </w:tc>
        <w:tc>
          <w:tcPr>
            <w:tcW w:w="2080"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1D161746" w14:textId="26EA68E4" w:rsidR="00830A90" w:rsidRPr="00174D67" w:rsidRDefault="003C4EE5" w:rsidP="00174D67">
            <w:pPr>
              <w:pStyle w:val="NoSpacing"/>
            </w:pPr>
            <w:r>
              <w:t>22/06/2018</w:t>
            </w:r>
          </w:p>
        </w:tc>
        <w:tc>
          <w:tcPr>
            <w:tcW w:w="2312"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7387A035" w14:textId="1EC83542" w:rsidR="00830A90" w:rsidRPr="00174D67" w:rsidRDefault="003C4EE5" w:rsidP="00174D67">
            <w:pPr>
              <w:pStyle w:val="NoSpacing"/>
            </w:pPr>
            <w:r>
              <w:t>Report compilation</w:t>
            </w:r>
          </w:p>
        </w:tc>
      </w:tr>
      <w:tr w:rsidR="00830A90" w14:paraId="76DC7320" w14:textId="77777777" w:rsidTr="00174D67">
        <w:trPr>
          <w:trHeight w:val="397"/>
        </w:trPr>
        <w:tc>
          <w:tcPr>
            <w:tcW w:w="2312" w:type="dxa"/>
            <w:tcBorders>
              <w:top w:val="nil"/>
              <w:left w:val="single" w:sz="8" w:space="0" w:color="002554"/>
              <w:bottom w:val="single" w:sz="8" w:space="0" w:color="002554"/>
              <w:right w:val="single" w:sz="8" w:space="0" w:color="002554"/>
            </w:tcBorders>
            <w:shd w:val="clear" w:color="auto" w:fill="FFFFFF"/>
            <w:tcMar>
              <w:top w:w="0" w:type="dxa"/>
              <w:left w:w="108" w:type="dxa"/>
              <w:bottom w:w="0" w:type="dxa"/>
              <w:right w:w="108" w:type="dxa"/>
            </w:tcMar>
            <w:vAlign w:val="center"/>
          </w:tcPr>
          <w:p w14:paraId="442DC67A" w14:textId="030704C8" w:rsidR="00830A90" w:rsidRPr="00174D67" w:rsidRDefault="00E915FC" w:rsidP="00174D67">
            <w:pPr>
              <w:pStyle w:val="NoSpacing"/>
            </w:pPr>
            <w:r>
              <w:t>V1.0</w:t>
            </w: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2B23FDF4" w14:textId="0A826195" w:rsidR="00830A90" w:rsidRPr="00174D67" w:rsidRDefault="00E915FC" w:rsidP="00174D67">
            <w:pPr>
              <w:pStyle w:val="NoSpacing"/>
            </w:pPr>
            <w:r>
              <w:t>Thomas Catchpole</w:t>
            </w:r>
          </w:p>
        </w:tc>
        <w:tc>
          <w:tcPr>
            <w:tcW w:w="2080"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1ED245FF" w14:textId="7E1125AC" w:rsidR="00830A90" w:rsidRPr="00174D67" w:rsidRDefault="00E915FC" w:rsidP="00174D67">
            <w:pPr>
              <w:pStyle w:val="NoSpacing"/>
            </w:pPr>
            <w:r>
              <w:t>28/06/2018</w:t>
            </w: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03D3FEA3" w14:textId="312349B0" w:rsidR="00830A90" w:rsidRPr="00174D67" w:rsidRDefault="00E915FC" w:rsidP="00174D67">
            <w:pPr>
              <w:pStyle w:val="NoSpacing"/>
            </w:pPr>
            <w:r>
              <w:t>QA</w:t>
            </w:r>
          </w:p>
        </w:tc>
      </w:tr>
      <w:tr w:rsidR="00830A90" w14:paraId="75E3BD94" w14:textId="77777777" w:rsidTr="00174D67">
        <w:trPr>
          <w:trHeight w:val="397"/>
        </w:trPr>
        <w:tc>
          <w:tcPr>
            <w:tcW w:w="2312" w:type="dxa"/>
            <w:tcBorders>
              <w:top w:val="nil"/>
              <w:left w:val="single" w:sz="8" w:space="0" w:color="002554"/>
              <w:bottom w:val="single" w:sz="8" w:space="0" w:color="002554"/>
              <w:right w:val="single" w:sz="8" w:space="0" w:color="002554"/>
            </w:tcBorders>
            <w:shd w:val="clear" w:color="auto" w:fill="D7EDF9"/>
            <w:tcMar>
              <w:top w:w="0" w:type="dxa"/>
              <w:left w:w="108" w:type="dxa"/>
              <w:bottom w:w="0" w:type="dxa"/>
              <w:right w:w="108" w:type="dxa"/>
            </w:tcMar>
            <w:vAlign w:val="center"/>
          </w:tcPr>
          <w:p w14:paraId="02399082" w14:textId="479E3295" w:rsidR="00830A90" w:rsidRPr="00174D67" w:rsidRDefault="00AD18C0" w:rsidP="00174D67">
            <w:pPr>
              <w:pStyle w:val="NoSpacing"/>
            </w:pPr>
            <w:r>
              <w:t>V2.0</w:t>
            </w:r>
          </w:p>
        </w:tc>
        <w:tc>
          <w:tcPr>
            <w:tcW w:w="2312"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756984B2" w14:textId="6102324E" w:rsidR="00830A90" w:rsidRPr="00174D67" w:rsidRDefault="00AD18C0" w:rsidP="00174D67">
            <w:pPr>
              <w:pStyle w:val="NoSpacing"/>
            </w:pPr>
            <w:r>
              <w:t>Ana Ribeiro Santos</w:t>
            </w:r>
          </w:p>
        </w:tc>
        <w:tc>
          <w:tcPr>
            <w:tcW w:w="2080"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6C1486B7" w14:textId="702E6A00" w:rsidR="00830A90" w:rsidRPr="00174D67" w:rsidRDefault="00AD18C0" w:rsidP="00174D67">
            <w:pPr>
              <w:pStyle w:val="NoSpacing"/>
            </w:pPr>
            <w:r>
              <w:t>06/07/2018</w:t>
            </w:r>
          </w:p>
        </w:tc>
        <w:tc>
          <w:tcPr>
            <w:tcW w:w="2312"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6A811A88" w14:textId="77777777" w:rsidR="00830A90" w:rsidRPr="00174D67" w:rsidRDefault="00830A90" w:rsidP="00174D67">
            <w:pPr>
              <w:pStyle w:val="NoSpacing"/>
            </w:pPr>
          </w:p>
        </w:tc>
      </w:tr>
      <w:tr w:rsidR="00830A90" w14:paraId="1B4495EF" w14:textId="77777777" w:rsidTr="00174D67">
        <w:trPr>
          <w:trHeight w:val="397"/>
        </w:trPr>
        <w:tc>
          <w:tcPr>
            <w:tcW w:w="2312" w:type="dxa"/>
            <w:tcBorders>
              <w:top w:val="nil"/>
              <w:left w:val="single" w:sz="8" w:space="0" w:color="002554"/>
              <w:bottom w:val="single" w:sz="8" w:space="0" w:color="002554"/>
              <w:right w:val="single" w:sz="8" w:space="0" w:color="002554"/>
            </w:tcBorders>
            <w:shd w:val="clear" w:color="auto" w:fill="FFFFFF"/>
            <w:tcMar>
              <w:top w:w="0" w:type="dxa"/>
              <w:left w:w="108" w:type="dxa"/>
              <w:bottom w:w="0" w:type="dxa"/>
              <w:right w:w="108" w:type="dxa"/>
            </w:tcMar>
            <w:vAlign w:val="center"/>
          </w:tcPr>
          <w:p w14:paraId="3CECBF5E" w14:textId="77777777" w:rsidR="00830A90" w:rsidRPr="00174D67" w:rsidRDefault="00830A90" w:rsidP="00174D67">
            <w:pPr>
              <w:pStyle w:val="NoSpacing"/>
            </w:pP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61764280" w14:textId="77777777" w:rsidR="00830A90" w:rsidRPr="00174D67" w:rsidRDefault="00830A90" w:rsidP="00174D67">
            <w:pPr>
              <w:pStyle w:val="NoSpacing"/>
            </w:pPr>
          </w:p>
        </w:tc>
        <w:tc>
          <w:tcPr>
            <w:tcW w:w="2080"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10E22209" w14:textId="77777777" w:rsidR="00830A90" w:rsidRPr="00174D67" w:rsidRDefault="00830A90" w:rsidP="00174D67">
            <w:pPr>
              <w:pStyle w:val="NoSpacing"/>
            </w:pP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4E407E92" w14:textId="77777777" w:rsidR="00830A90" w:rsidRPr="00174D67" w:rsidRDefault="00830A90" w:rsidP="00174D67">
            <w:pPr>
              <w:pStyle w:val="NoSpacing"/>
            </w:pPr>
          </w:p>
        </w:tc>
      </w:tr>
    </w:tbl>
    <w:p w14:paraId="18B121B3" w14:textId="77777777" w:rsidR="008464AA" w:rsidRDefault="008464AA" w:rsidP="00EA60DC">
      <w:pPr>
        <w:sectPr w:rsidR="008464AA" w:rsidSect="005F4984">
          <w:headerReference w:type="first" r:id="rId15"/>
          <w:footerReference w:type="first" r:id="rId16"/>
          <w:pgSz w:w="11906" w:h="16838" w:code="9"/>
          <w:pgMar w:top="1440" w:right="1440" w:bottom="1440" w:left="1440" w:header="709" w:footer="709" w:gutter="0"/>
          <w:pgNumType w:start="1"/>
          <w:cols w:space="708"/>
          <w:titlePg/>
          <w:docGrid w:linePitch="360"/>
        </w:sectPr>
      </w:pPr>
    </w:p>
    <w:p w14:paraId="2262251A" w14:textId="0FE1E855" w:rsidR="00290C77" w:rsidRDefault="008464AA" w:rsidP="00EA60DC">
      <w:pPr>
        <w:pStyle w:val="CefasHeading"/>
      </w:pPr>
      <w:r>
        <w:lastRenderedPageBreak/>
        <w:t>Executive Summary</w:t>
      </w:r>
    </w:p>
    <w:p w14:paraId="7593C39C" w14:textId="77777777" w:rsidR="00757551" w:rsidRDefault="00756D67" w:rsidP="00757551">
      <w:pPr>
        <w:spacing w:after="0"/>
        <w:ind w:left="0"/>
      </w:pPr>
      <w:r>
        <w:t>In 2017, Cefas was commissioned to contribute to the Seafish Pro</w:t>
      </w:r>
      <w:r w:rsidR="00757551">
        <w:t xml:space="preserve">ject UK Fisheries Improvements </w:t>
      </w:r>
      <w:r>
        <w:t>PUKFI</w:t>
      </w:r>
      <w:r w:rsidR="00757551">
        <w:t xml:space="preserve"> </w:t>
      </w:r>
      <w:r>
        <w:t>project.</w:t>
      </w:r>
      <w:r w:rsidR="00757551">
        <w:t xml:space="preserve"> </w:t>
      </w:r>
      <w:r w:rsidR="00757551">
        <w:rPr>
          <w:rFonts w:cs="Calibri"/>
        </w:rPr>
        <w:t xml:space="preserve">The project is led by Seafish and the MSC and aims to work towards an environmentally sustainable future for UK fisheries. It will do this through determining the environmental performance of key commercial fisheries, demonstrate how sustainability can be enhanced through Fishery Improvement Projects (FIPs) and ultimately achieve MSC certification where possible.  Several fisheries were selected due to their importance for the UK market. One of which is the Western and Channel Monkfish beam trawl, demersal trawl, tangle/trammel and gillnets fisheries, in ICES areas VIIb-k, VIII a,b,d.  </w:t>
      </w:r>
    </w:p>
    <w:p w14:paraId="35643401" w14:textId="2786570D" w:rsidR="003C4EE5" w:rsidRDefault="003C4EE5" w:rsidP="003C4EE5">
      <w:pPr>
        <w:autoSpaceDE w:val="0"/>
        <w:autoSpaceDN w:val="0"/>
        <w:adjustRightInd w:val="0"/>
        <w:spacing w:after="0"/>
        <w:ind w:left="0"/>
        <w:rPr>
          <w:rFonts w:ascii="Calibri" w:hAnsi="Calibri" w:cs="Calibri"/>
        </w:rPr>
      </w:pPr>
      <w:r>
        <w:rPr>
          <w:rFonts w:ascii="Calibri" w:hAnsi="Calibri" w:cs="Calibri"/>
        </w:rPr>
        <w:t xml:space="preserve">The objective of the study was to identify the main secondary species in the </w:t>
      </w:r>
      <w:r w:rsidR="00757551">
        <w:rPr>
          <w:rFonts w:ascii="Calibri" w:hAnsi="Calibri" w:cs="Calibri"/>
        </w:rPr>
        <w:t>UK m</w:t>
      </w:r>
      <w:r>
        <w:rPr>
          <w:rFonts w:ascii="Calibri" w:hAnsi="Calibri" w:cs="Calibri"/>
        </w:rPr>
        <w:t>onkfish fishery in the Celtic Sea and assess the risk this fishery imposes on these species. The PSA and risk analysis indicates the species that are most at risk from fishing pressure, including their recoverability from removal through fishing.</w:t>
      </w:r>
    </w:p>
    <w:p w14:paraId="602BE70C" w14:textId="1008E9EB" w:rsidR="003C4EE5" w:rsidRDefault="003C4EE5" w:rsidP="003C4EE5">
      <w:pPr>
        <w:autoSpaceDE w:val="0"/>
        <w:autoSpaceDN w:val="0"/>
        <w:adjustRightInd w:val="0"/>
        <w:spacing w:after="0"/>
        <w:ind w:left="0"/>
        <w:rPr>
          <w:rFonts w:ascii="Calibri" w:hAnsi="Calibri" w:cs="Calibri"/>
          <w:color w:val="000000"/>
        </w:rPr>
      </w:pPr>
      <w:r>
        <w:rPr>
          <w:rFonts w:ascii="Calibri" w:hAnsi="Calibri" w:cs="Calibri"/>
          <w:color w:val="000000"/>
        </w:rPr>
        <w:t xml:space="preserve">According </w:t>
      </w:r>
      <w:r w:rsidR="00DB2E87">
        <w:rPr>
          <w:rFonts w:ascii="Calibri" w:hAnsi="Calibri" w:cs="Calibri"/>
          <w:color w:val="000000"/>
        </w:rPr>
        <w:t xml:space="preserve">to </w:t>
      </w:r>
      <w:r>
        <w:rPr>
          <w:rFonts w:ascii="Calibri" w:hAnsi="Calibri" w:cs="Calibri"/>
          <w:color w:val="000000"/>
        </w:rPr>
        <w:t>the PSA scores, most of the secondary species have medium risk (between 2 and 3) for all the three gears types. The species with highest of PSA scores (Medium risk) were the skates and rays species – cuckoo ray, blonde ray and undulate ray and teleosts s</w:t>
      </w:r>
      <w:r w:rsidR="0041734C">
        <w:rPr>
          <w:rFonts w:ascii="Calibri" w:hAnsi="Calibri" w:cs="Calibri"/>
          <w:color w:val="000000"/>
        </w:rPr>
        <w:t>pecies: ling and pollack, caugh</w:t>
      </w:r>
      <w:r>
        <w:rPr>
          <w:rFonts w:ascii="Calibri" w:hAnsi="Calibri" w:cs="Calibri"/>
          <w:color w:val="000000"/>
        </w:rPr>
        <w:t xml:space="preserve">t </w:t>
      </w:r>
      <w:r w:rsidR="00DB2E87">
        <w:rPr>
          <w:rFonts w:ascii="Calibri" w:hAnsi="Calibri" w:cs="Calibri"/>
          <w:color w:val="000000"/>
        </w:rPr>
        <w:t>by</w:t>
      </w:r>
      <w:r>
        <w:rPr>
          <w:rFonts w:ascii="Calibri" w:hAnsi="Calibri" w:cs="Calibri"/>
          <w:color w:val="000000"/>
        </w:rPr>
        <w:t xml:space="preserve"> </w:t>
      </w:r>
      <w:r w:rsidR="00DB2E87">
        <w:rPr>
          <w:rFonts w:ascii="Calibri" w:hAnsi="Calibri" w:cs="Calibri"/>
          <w:color w:val="000000"/>
        </w:rPr>
        <w:t xml:space="preserve">gill </w:t>
      </w:r>
      <w:r>
        <w:rPr>
          <w:rFonts w:ascii="Calibri" w:hAnsi="Calibri" w:cs="Calibri"/>
          <w:color w:val="000000"/>
        </w:rPr>
        <w:t>netters.</w:t>
      </w:r>
    </w:p>
    <w:p w14:paraId="2B10A33B" w14:textId="49FDECB3" w:rsidR="0041734C" w:rsidRDefault="0041734C" w:rsidP="003C4EE5">
      <w:pPr>
        <w:autoSpaceDE w:val="0"/>
        <w:autoSpaceDN w:val="0"/>
        <w:adjustRightInd w:val="0"/>
        <w:spacing w:after="0"/>
        <w:ind w:left="0"/>
        <w:rPr>
          <w:rFonts w:ascii="Calibri" w:hAnsi="Calibri" w:cs="Calibri"/>
          <w:color w:val="000000"/>
        </w:rPr>
      </w:pPr>
      <w:r>
        <w:rPr>
          <w:rFonts w:ascii="Calibri" w:hAnsi="Calibri" w:cs="Calibri"/>
          <w:color w:val="000000"/>
        </w:rPr>
        <w:t xml:space="preserve">A review of management measures was carried out and possible alternative measures were discussed for the secondary species identified with the highest risks. </w:t>
      </w:r>
    </w:p>
    <w:p w14:paraId="0F4BABA7" w14:textId="77777777" w:rsidR="003C4EE5" w:rsidRPr="005F35E0" w:rsidRDefault="003C4EE5" w:rsidP="003C4EE5">
      <w:pPr>
        <w:autoSpaceDE w:val="0"/>
        <w:autoSpaceDN w:val="0"/>
        <w:adjustRightInd w:val="0"/>
        <w:spacing w:after="0"/>
        <w:ind w:left="0"/>
        <w:rPr>
          <w:rFonts w:ascii="Calibri" w:hAnsi="Calibri" w:cs="Calibri"/>
          <w:color w:val="000000"/>
        </w:rPr>
      </w:pPr>
    </w:p>
    <w:p w14:paraId="689AB834" w14:textId="1793CE5A" w:rsidR="00290C77" w:rsidRDefault="00290C77" w:rsidP="005273B4"/>
    <w:p w14:paraId="16357B25" w14:textId="78FF7E6C" w:rsidR="007544CF" w:rsidRDefault="007544CF" w:rsidP="005273B4"/>
    <w:p w14:paraId="7CA1FE6D" w14:textId="77777777" w:rsidR="007544CF" w:rsidRDefault="007544CF" w:rsidP="005273B4">
      <w:pPr>
        <w:sectPr w:rsidR="007544CF" w:rsidSect="009F77F0">
          <w:headerReference w:type="default" r:id="rId17"/>
          <w:footerReference w:type="default" r:id="rId18"/>
          <w:pgSz w:w="11906" w:h="16838"/>
          <w:pgMar w:top="1702" w:right="1440" w:bottom="1440" w:left="1440" w:header="708" w:footer="708" w:gutter="0"/>
          <w:pgNumType w:fmt="lowerRoman" w:start="1"/>
          <w:cols w:space="708"/>
          <w:docGrid w:linePitch="360"/>
        </w:sectPr>
      </w:pPr>
    </w:p>
    <w:p w14:paraId="30F144EB" w14:textId="77777777" w:rsidR="008464AA" w:rsidRDefault="008464AA" w:rsidP="00EA60DC">
      <w:pPr>
        <w:pStyle w:val="CefasHeading"/>
      </w:pPr>
      <w:r>
        <w:lastRenderedPageBreak/>
        <w:t>Table of Contents</w:t>
      </w:r>
    </w:p>
    <w:p w14:paraId="3CF1BA2E" w14:textId="655E61F3" w:rsidR="00AD18C0" w:rsidRDefault="00A94E08">
      <w:pPr>
        <w:pStyle w:val="TOC1"/>
        <w:rPr>
          <w:rFonts w:eastAsiaTheme="minorEastAsia"/>
          <w:noProof/>
          <w:lang w:eastAsia="en-GB"/>
        </w:rPr>
      </w:pPr>
      <w:r>
        <w:fldChar w:fldCharType="begin"/>
      </w:r>
      <w:r>
        <w:instrText xml:space="preserve"> TOC \o "2-3" \h \z \t "Heading 1,1" </w:instrText>
      </w:r>
      <w:r>
        <w:fldChar w:fldCharType="separate"/>
      </w:r>
      <w:hyperlink w:anchor="_Toc518658137" w:history="1">
        <w:r w:rsidR="00AD18C0" w:rsidRPr="0090059C">
          <w:rPr>
            <w:rStyle w:val="Hyperlink"/>
            <w:noProof/>
          </w:rPr>
          <w:t>1</w:t>
        </w:r>
        <w:r w:rsidR="00AD18C0">
          <w:rPr>
            <w:rFonts w:eastAsiaTheme="minorEastAsia"/>
            <w:noProof/>
            <w:lang w:eastAsia="en-GB"/>
          </w:rPr>
          <w:tab/>
        </w:r>
        <w:r w:rsidR="00AD18C0" w:rsidRPr="0090059C">
          <w:rPr>
            <w:rStyle w:val="Hyperlink"/>
            <w:noProof/>
          </w:rPr>
          <w:t>Introduction</w:t>
        </w:r>
        <w:r w:rsidR="00AD18C0">
          <w:rPr>
            <w:noProof/>
            <w:webHidden/>
          </w:rPr>
          <w:tab/>
        </w:r>
        <w:r w:rsidR="00AD18C0">
          <w:rPr>
            <w:noProof/>
            <w:webHidden/>
          </w:rPr>
          <w:fldChar w:fldCharType="begin"/>
        </w:r>
        <w:r w:rsidR="00AD18C0">
          <w:rPr>
            <w:noProof/>
            <w:webHidden/>
          </w:rPr>
          <w:instrText xml:space="preserve"> PAGEREF _Toc518658137 \h </w:instrText>
        </w:r>
        <w:r w:rsidR="00AD18C0">
          <w:rPr>
            <w:noProof/>
            <w:webHidden/>
          </w:rPr>
        </w:r>
        <w:r w:rsidR="00AD18C0">
          <w:rPr>
            <w:noProof/>
            <w:webHidden/>
          </w:rPr>
          <w:fldChar w:fldCharType="separate"/>
        </w:r>
        <w:r w:rsidR="00AD18C0">
          <w:rPr>
            <w:noProof/>
            <w:webHidden/>
          </w:rPr>
          <w:t>4</w:t>
        </w:r>
        <w:r w:rsidR="00AD18C0">
          <w:rPr>
            <w:noProof/>
            <w:webHidden/>
          </w:rPr>
          <w:fldChar w:fldCharType="end"/>
        </w:r>
      </w:hyperlink>
    </w:p>
    <w:p w14:paraId="20805D84" w14:textId="7011BB7F" w:rsidR="00AD18C0" w:rsidRDefault="00AD18C0">
      <w:pPr>
        <w:pStyle w:val="TOC2"/>
        <w:tabs>
          <w:tab w:val="left" w:pos="1320"/>
          <w:tab w:val="right" w:leader="dot" w:pos="9016"/>
        </w:tabs>
        <w:rPr>
          <w:rFonts w:eastAsiaTheme="minorEastAsia"/>
          <w:noProof/>
          <w:lang w:eastAsia="en-GB"/>
        </w:rPr>
      </w:pPr>
      <w:hyperlink w:anchor="_Toc518658138" w:history="1">
        <w:r w:rsidRPr="0090059C">
          <w:rPr>
            <w:rStyle w:val="Hyperlink"/>
            <w:noProof/>
          </w:rPr>
          <w:t>1.1</w:t>
        </w:r>
        <w:r>
          <w:rPr>
            <w:rFonts w:eastAsiaTheme="minorEastAsia"/>
            <w:noProof/>
            <w:lang w:eastAsia="en-GB"/>
          </w:rPr>
          <w:tab/>
        </w:r>
        <w:r w:rsidRPr="0090059C">
          <w:rPr>
            <w:rStyle w:val="Hyperlink"/>
            <w:noProof/>
          </w:rPr>
          <w:t>Aims and scope of work</w:t>
        </w:r>
        <w:r>
          <w:rPr>
            <w:noProof/>
            <w:webHidden/>
          </w:rPr>
          <w:tab/>
        </w:r>
        <w:r>
          <w:rPr>
            <w:noProof/>
            <w:webHidden/>
          </w:rPr>
          <w:fldChar w:fldCharType="begin"/>
        </w:r>
        <w:r>
          <w:rPr>
            <w:noProof/>
            <w:webHidden/>
          </w:rPr>
          <w:instrText xml:space="preserve"> PAGEREF _Toc518658138 \h </w:instrText>
        </w:r>
        <w:r>
          <w:rPr>
            <w:noProof/>
            <w:webHidden/>
          </w:rPr>
        </w:r>
        <w:r>
          <w:rPr>
            <w:noProof/>
            <w:webHidden/>
          </w:rPr>
          <w:fldChar w:fldCharType="separate"/>
        </w:r>
        <w:r>
          <w:rPr>
            <w:noProof/>
            <w:webHidden/>
          </w:rPr>
          <w:t>4</w:t>
        </w:r>
        <w:r>
          <w:rPr>
            <w:noProof/>
            <w:webHidden/>
          </w:rPr>
          <w:fldChar w:fldCharType="end"/>
        </w:r>
      </w:hyperlink>
    </w:p>
    <w:p w14:paraId="77904C85" w14:textId="6323E225" w:rsidR="00AD18C0" w:rsidRDefault="00AD18C0">
      <w:pPr>
        <w:pStyle w:val="TOC2"/>
        <w:tabs>
          <w:tab w:val="left" w:pos="1320"/>
          <w:tab w:val="right" w:leader="dot" w:pos="9016"/>
        </w:tabs>
        <w:rPr>
          <w:rFonts w:eastAsiaTheme="minorEastAsia"/>
          <w:noProof/>
          <w:lang w:eastAsia="en-GB"/>
        </w:rPr>
      </w:pPr>
      <w:hyperlink w:anchor="_Toc518658139" w:history="1">
        <w:r w:rsidRPr="0090059C">
          <w:rPr>
            <w:rStyle w:val="Hyperlink"/>
            <w:noProof/>
          </w:rPr>
          <w:t>1.2</w:t>
        </w:r>
        <w:r>
          <w:rPr>
            <w:rFonts w:eastAsiaTheme="minorEastAsia"/>
            <w:noProof/>
            <w:lang w:eastAsia="en-GB"/>
          </w:rPr>
          <w:tab/>
        </w:r>
        <w:r w:rsidRPr="0090059C">
          <w:rPr>
            <w:rStyle w:val="Hyperlink"/>
            <w:noProof/>
          </w:rPr>
          <w:t>Background of fishery</w:t>
        </w:r>
        <w:r>
          <w:rPr>
            <w:noProof/>
            <w:webHidden/>
          </w:rPr>
          <w:tab/>
        </w:r>
        <w:r>
          <w:rPr>
            <w:noProof/>
            <w:webHidden/>
          </w:rPr>
          <w:fldChar w:fldCharType="begin"/>
        </w:r>
        <w:r>
          <w:rPr>
            <w:noProof/>
            <w:webHidden/>
          </w:rPr>
          <w:instrText xml:space="preserve"> PAGEREF _Toc518658139 \h </w:instrText>
        </w:r>
        <w:r>
          <w:rPr>
            <w:noProof/>
            <w:webHidden/>
          </w:rPr>
        </w:r>
        <w:r>
          <w:rPr>
            <w:noProof/>
            <w:webHidden/>
          </w:rPr>
          <w:fldChar w:fldCharType="separate"/>
        </w:r>
        <w:r>
          <w:rPr>
            <w:noProof/>
            <w:webHidden/>
          </w:rPr>
          <w:t>4</w:t>
        </w:r>
        <w:r>
          <w:rPr>
            <w:noProof/>
            <w:webHidden/>
          </w:rPr>
          <w:fldChar w:fldCharType="end"/>
        </w:r>
      </w:hyperlink>
    </w:p>
    <w:p w14:paraId="75D473AA" w14:textId="1C1A6247" w:rsidR="00AD18C0" w:rsidRDefault="00AD18C0">
      <w:pPr>
        <w:pStyle w:val="TOC1"/>
        <w:rPr>
          <w:rFonts w:eastAsiaTheme="minorEastAsia"/>
          <w:noProof/>
          <w:lang w:eastAsia="en-GB"/>
        </w:rPr>
      </w:pPr>
      <w:hyperlink w:anchor="_Toc518658140" w:history="1">
        <w:r w:rsidRPr="0090059C">
          <w:rPr>
            <w:rStyle w:val="Hyperlink"/>
            <w:noProof/>
          </w:rPr>
          <w:t>2</w:t>
        </w:r>
        <w:r>
          <w:rPr>
            <w:rFonts w:eastAsiaTheme="minorEastAsia"/>
            <w:noProof/>
            <w:lang w:eastAsia="en-GB"/>
          </w:rPr>
          <w:tab/>
        </w:r>
        <w:r w:rsidRPr="0090059C">
          <w:rPr>
            <w:rStyle w:val="Hyperlink"/>
            <w:noProof/>
          </w:rPr>
          <w:t>Material and methods</w:t>
        </w:r>
        <w:r>
          <w:rPr>
            <w:noProof/>
            <w:webHidden/>
          </w:rPr>
          <w:tab/>
        </w:r>
        <w:r>
          <w:rPr>
            <w:noProof/>
            <w:webHidden/>
          </w:rPr>
          <w:fldChar w:fldCharType="begin"/>
        </w:r>
        <w:r>
          <w:rPr>
            <w:noProof/>
            <w:webHidden/>
          </w:rPr>
          <w:instrText xml:space="preserve"> PAGEREF _Toc518658140 \h </w:instrText>
        </w:r>
        <w:r>
          <w:rPr>
            <w:noProof/>
            <w:webHidden/>
          </w:rPr>
        </w:r>
        <w:r>
          <w:rPr>
            <w:noProof/>
            <w:webHidden/>
          </w:rPr>
          <w:fldChar w:fldCharType="separate"/>
        </w:r>
        <w:r>
          <w:rPr>
            <w:noProof/>
            <w:webHidden/>
          </w:rPr>
          <w:t>6</w:t>
        </w:r>
        <w:r>
          <w:rPr>
            <w:noProof/>
            <w:webHidden/>
          </w:rPr>
          <w:fldChar w:fldCharType="end"/>
        </w:r>
      </w:hyperlink>
    </w:p>
    <w:p w14:paraId="72662994" w14:textId="4DED0C56" w:rsidR="00AD18C0" w:rsidRDefault="00AD18C0">
      <w:pPr>
        <w:pStyle w:val="TOC2"/>
        <w:tabs>
          <w:tab w:val="left" w:pos="1320"/>
          <w:tab w:val="right" w:leader="dot" w:pos="9016"/>
        </w:tabs>
        <w:rPr>
          <w:rFonts w:eastAsiaTheme="minorEastAsia"/>
          <w:noProof/>
          <w:lang w:eastAsia="en-GB"/>
        </w:rPr>
      </w:pPr>
      <w:hyperlink w:anchor="_Toc518658141" w:history="1">
        <w:r w:rsidRPr="0090059C">
          <w:rPr>
            <w:rStyle w:val="Hyperlink"/>
            <w:noProof/>
          </w:rPr>
          <w:t>2.1</w:t>
        </w:r>
        <w:r>
          <w:rPr>
            <w:rFonts w:eastAsiaTheme="minorEastAsia"/>
            <w:noProof/>
            <w:lang w:eastAsia="en-GB"/>
          </w:rPr>
          <w:tab/>
        </w:r>
        <w:r w:rsidRPr="0090059C">
          <w:rPr>
            <w:rStyle w:val="Hyperlink"/>
            <w:noProof/>
          </w:rPr>
          <w:t>Data sources</w:t>
        </w:r>
        <w:r>
          <w:rPr>
            <w:noProof/>
            <w:webHidden/>
          </w:rPr>
          <w:tab/>
        </w:r>
        <w:r>
          <w:rPr>
            <w:noProof/>
            <w:webHidden/>
          </w:rPr>
          <w:fldChar w:fldCharType="begin"/>
        </w:r>
        <w:r>
          <w:rPr>
            <w:noProof/>
            <w:webHidden/>
          </w:rPr>
          <w:instrText xml:space="preserve"> PAGEREF _Toc518658141 \h </w:instrText>
        </w:r>
        <w:r>
          <w:rPr>
            <w:noProof/>
            <w:webHidden/>
          </w:rPr>
        </w:r>
        <w:r>
          <w:rPr>
            <w:noProof/>
            <w:webHidden/>
          </w:rPr>
          <w:fldChar w:fldCharType="separate"/>
        </w:r>
        <w:r>
          <w:rPr>
            <w:noProof/>
            <w:webHidden/>
          </w:rPr>
          <w:t>6</w:t>
        </w:r>
        <w:r>
          <w:rPr>
            <w:noProof/>
            <w:webHidden/>
          </w:rPr>
          <w:fldChar w:fldCharType="end"/>
        </w:r>
      </w:hyperlink>
    </w:p>
    <w:p w14:paraId="54561776" w14:textId="7EBEF806" w:rsidR="00AD18C0" w:rsidRDefault="00AD18C0">
      <w:pPr>
        <w:pStyle w:val="TOC2"/>
        <w:tabs>
          <w:tab w:val="left" w:pos="1320"/>
          <w:tab w:val="right" w:leader="dot" w:pos="9016"/>
        </w:tabs>
        <w:rPr>
          <w:rFonts w:eastAsiaTheme="minorEastAsia"/>
          <w:noProof/>
          <w:lang w:eastAsia="en-GB"/>
        </w:rPr>
      </w:pPr>
      <w:hyperlink w:anchor="_Toc518658142" w:history="1">
        <w:r w:rsidRPr="0090059C">
          <w:rPr>
            <w:rStyle w:val="Hyperlink"/>
            <w:noProof/>
          </w:rPr>
          <w:t>2.2</w:t>
        </w:r>
        <w:r>
          <w:rPr>
            <w:rFonts w:eastAsiaTheme="minorEastAsia"/>
            <w:noProof/>
            <w:lang w:eastAsia="en-GB"/>
          </w:rPr>
          <w:tab/>
        </w:r>
        <w:r w:rsidRPr="0090059C">
          <w:rPr>
            <w:rStyle w:val="Hyperlink"/>
            <w:noProof/>
          </w:rPr>
          <w:t>Units of Assessment</w:t>
        </w:r>
        <w:r>
          <w:rPr>
            <w:noProof/>
            <w:webHidden/>
          </w:rPr>
          <w:tab/>
        </w:r>
        <w:r>
          <w:rPr>
            <w:noProof/>
            <w:webHidden/>
          </w:rPr>
          <w:fldChar w:fldCharType="begin"/>
        </w:r>
        <w:r>
          <w:rPr>
            <w:noProof/>
            <w:webHidden/>
          </w:rPr>
          <w:instrText xml:space="preserve"> PAGEREF _Toc518658142 \h </w:instrText>
        </w:r>
        <w:r>
          <w:rPr>
            <w:noProof/>
            <w:webHidden/>
          </w:rPr>
        </w:r>
        <w:r>
          <w:rPr>
            <w:noProof/>
            <w:webHidden/>
          </w:rPr>
          <w:fldChar w:fldCharType="separate"/>
        </w:r>
        <w:r>
          <w:rPr>
            <w:noProof/>
            <w:webHidden/>
          </w:rPr>
          <w:t>6</w:t>
        </w:r>
        <w:r>
          <w:rPr>
            <w:noProof/>
            <w:webHidden/>
          </w:rPr>
          <w:fldChar w:fldCharType="end"/>
        </w:r>
      </w:hyperlink>
    </w:p>
    <w:p w14:paraId="05CEFE16" w14:textId="24607252" w:rsidR="00AD18C0" w:rsidRDefault="00AD18C0">
      <w:pPr>
        <w:pStyle w:val="TOC3"/>
        <w:tabs>
          <w:tab w:val="left" w:pos="1540"/>
          <w:tab w:val="right" w:leader="dot" w:pos="9016"/>
        </w:tabs>
        <w:rPr>
          <w:rFonts w:eastAsiaTheme="minorEastAsia"/>
          <w:noProof/>
          <w:lang w:eastAsia="en-GB"/>
        </w:rPr>
      </w:pPr>
      <w:hyperlink w:anchor="_Toc518658143" w:history="1">
        <w:r w:rsidRPr="0090059C">
          <w:rPr>
            <w:rStyle w:val="Hyperlink"/>
            <w:noProof/>
            <w14:scene3d>
              <w14:camera w14:prst="orthographicFront"/>
              <w14:lightRig w14:rig="threePt" w14:dir="t">
                <w14:rot w14:lat="0" w14:lon="0" w14:rev="0"/>
              </w14:lightRig>
            </w14:scene3d>
          </w:rPr>
          <w:t>2.2.1</w:t>
        </w:r>
        <w:r>
          <w:rPr>
            <w:rFonts w:eastAsiaTheme="minorEastAsia"/>
            <w:noProof/>
            <w:lang w:eastAsia="en-GB"/>
          </w:rPr>
          <w:tab/>
        </w:r>
        <w:r w:rsidRPr="0090059C">
          <w:rPr>
            <w:rStyle w:val="Hyperlink"/>
            <w:noProof/>
          </w:rPr>
          <w:t>Landings</w:t>
        </w:r>
        <w:r>
          <w:rPr>
            <w:noProof/>
            <w:webHidden/>
          </w:rPr>
          <w:tab/>
        </w:r>
        <w:r>
          <w:rPr>
            <w:noProof/>
            <w:webHidden/>
          </w:rPr>
          <w:fldChar w:fldCharType="begin"/>
        </w:r>
        <w:r>
          <w:rPr>
            <w:noProof/>
            <w:webHidden/>
          </w:rPr>
          <w:instrText xml:space="preserve"> PAGEREF _Toc518658143 \h </w:instrText>
        </w:r>
        <w:r>
          <w:rPr>
            <w:noProof/>
            <w:webHidden/>
          </w:rPr>
        </w:r>
        <w:r>
          <w:rPr>
            <w:noProof/>
            <w:webHidden/>
          </w:rPr>
          <w:fldChar w:fldCharType="separate"/>
        </w:r>
        <w:r>
          <w:rPr>
            <w:noProof/>
            <w:webHidden/>
          </w:rPr>
          <w:t>7</w:t>
        </w:r>
        <w:r>
          <w:rPr>
            <w:noProof/>
            <w:webHidden/>
          </w:rPr>
          <w:fldChar w:fldCharType="end"/>
        </w:r>
      </w:hyperlink>
    </w:p>
    <w:p w14:paraId="70F63AE6" w14:textId="46E3EA98" w:rsidR="00AD18C0" w:rsidRDefault="00AD18C0">
      <w:pPr>
        <w:pStyle w:val="TOC3"/>
        <w:tabs>
          <w:tab w:val="left" w:pos="1540"/>
          <w:tab w:val="right" w:leader="dot" w:pos="9016"/>
        </w:tabs>
        <w:rPr>
          <w:rFonts w:eastAsiaTheme="minorEastAsia"/>
          <w:noProof/>
          <w:lang w:eastAsia="en-GB"/>
        </w:rPr>
      </w:pPr>
      <w:hyperlink w:anchor="_Toc518658144" w:history="1">
        <w:r w:rsidRPr="0090059C">
          <w:rPr>
            <w:rStyle w:val="Hyperlink"/>
            <w:noProof/>
            <w14:scene3d>
              <w14:camera w14:prst="orthographicFront"/>
              <w14:lightRig w14:rig="threePt" w14:dir="t">
                <w14:rot w14:lat="0" w14:lon="0" w14:rev="0"/>
              </w14:lightRig>
            </w14:scene3d>
          </w:rPr>
          <w:t>2.2.2</w:t>
        </w:r>
        <w:r>
          <w:rPr>
            <w:rFonts w:eastAsiaTheme="minorEastAsia"/>
            <w:noProof/>
            <w:lang w:eastAsia="en-GB"/>
          </w:rPr>
          <w:tab/>
        </w:r>
        <w:r w:rsidRPr="0090059C">
          <w:rPr>
            <w:rStyle w:val="Hyperlink"/>
            <w:noProof/>
          </w:rPr>
          <w:t>Discards estimates</w:t>
        </w:r>
        <w:r>
          <w:rPr>
            <w:noProof/>
            <w:webHidden/>
          </w:rPr>
          <w:tab/>
        </w:r>
        <w:r>
          <w:rPr>
            <w:noProof/>
            <w:webHidden/>
          </w:rPr>
          <w:fldChar w:fldCharType="begin"/>
        </w:r>
        <w:r>
          <w:rPr>
            <w:noProof/>
            <w:webHidden/>
          </w:rPr>
          <w:instrText xml:space="preserve"> PAGEREF _Toc518658144 \h </w:instrText>
        </w:r>
        <w:r>
          <w:rPr>
            <w:noProof/>
            <w:webHidden/>
          </w:rPr>
        </w:r>
        <w:r>
          <w:rPr>
            <w:noProof/>
            <w:webHidden/>
          </w:rPr>
          <w:fldChar w:fldCharType="separate"/>
        </w:r>
        <w:r>
          <w:rPr>
            <w:noProof/>
            <w:webHidden/>
          </w:rPr>
          <w:t>7</w:t>
        </w:r>
        <w:r>
          <w:rPr>
            <w:noProof/>
            <w:webHidden/>
          </w:rPr>
          <w:fldChar w:fldCharType="end"/>
        </w:r>
      </w:hyperlink>
    </w:p>
    <w:p w14:paraId="313E9080" w14:textId="77CA32E1" w:rsidR="00AD18C0" w:rsidRDefault="00AD18C0">
      <w:pPr>
        <w:pStyle w:val="TOC2"/>
        <w:tabs>
          <w:tab w:val="left" w:pos="1320"/>
          <w:tab w:val="right" w:leader="dot" w:pos="9016"/>
        </w:tabs>
        <w:rPr>
          <w:rFonts w:eastAsiaTheme="minorEastAsia"/>
          <w:noProof/>
          <w:lang w:eastAsia="en-GB"/>
        </w:rPr>
      </w:pPr>
      <w:hyperlink w:anchor="_Toc518658145" w:history="1">
        <w:r w:rsidRPr="0090059C">
          <w:rPr>
            <w:rStyle w:val="Hyperlink"/>
            <w:noProof/>
          </w:rPr>
          <w:t>2.3</w:t>
        </w:r>
        <w:r>
          <w:rPr>
            <w:rFonts w:eastAsiaTheme="minorEastAsia"/>
            <w:noProof/>
            <w:lang w:eastAsia="en-GB"/>
          </w:rPr>
          <w:tab/>
        </w:r>
        <w:r w:rsidRPr="0090059C">
          <w:rPr>
            <w:rStyle w:val="Hyperlink"/>
            <w:noProof/>
          </w:rPr>
          <w:t>Catch profile</w:t>
        </w:r>
        <w:r>
          <w:rPr>
            <w:noProof/>
            <w:webHidden/>
          </w:rPr>
          <w:tab/>
        </w:r>
        <w:r>
          <w:rPr>
            <w:noProof/>
            <w:webHidden/>
          </w:rPr>
          <w:fldChar w:fldCharType="begin"/>
        </w:r>
        <w:r>
          <w:rPr>
            <w:noProof/>
            <w:webHidden/>
          </w:rPr>
          <w:instrText xml:space="preserve"> PAGEREF _Toc518658145 \h </w:instrText>
        </w:r>
        <w:r>
          <w:rPr>
            <w:noProof/>
            <w:webHidden/>
          </w:rPr>
        </w:r>
        <w:r>
          <w:rPr>
            <w:noProof/>
            <w:webHidden/>
          </w:rPr>
          <w:fldChar w:fldCharType="separate"/>
        </w:r>
        <w:r>
          <w:rPr>
            <w:noProof/>
            <w:webHidden/>
          </w:rPr>
          <w:t>8</w:t>
        </w:r>
        <w:r>
          <w:rPr>
            <w:noProof/>
            <w:webHidden/>
          </w:rPr>
          <w:fldChar w:fldCharType="end"/>
        </w:r>
      </w:hyperlink>
    </w:p>
    <w:p w14:paraId="483A5D95" w14:textId="70772716" w:rsidR="00AD18C0" w:rsidRDefault="00AD18C0">
      <w:pPr>
        <w:pStyle w:val="TOC2"/>
        <w:tabs>
          <w:tab w:val="left" w:pos="1320"/>
          <w:tab w:val="right" w:leader="dot" w:pos="9016"/>
        </w:tabs>
        <w:rPr>
          <w:rFonts w:eastAsiaTheme="minorEastAsia"/>
          <w:noProof/>
          <w:lang w:eastAsia="en-GB"/>
        </w:rPr>
      </w:pPr>
      <w:hyperlink w:anchor="_Toc518658146" w:history="1">
        <w:r w:rsidRPr="0090059C">
          <w:rPr>
            <w:rStyle w:val="Hyperlink"/>
            <w:noProof/>
          </w:rPr>
          <w:t>2.4</w:t>
        </w:r>
        <w:r>
          <w:rPr>
            <w:rFonts w:eastAsiaTheme="minorEastAsia"/>
            <w:noProof/>
            <w:lang w:eastAsia="en-GB"/>
          </w:rPr>
          <w:tab/>
        </w:r>
        <w:r w:rsidRPr="0090059C">
          <w:rPr>
            <w:rStyle w:val="Hyperlink"/>
            <w:noProof/>
          </w:rPr>
          <w:t>Productivity and susceptibility Analysis - PSA</w:t>
        </w:r>
        <w:r>
          <w:rPr>
            <w:noProof/>
            <w:webHidden/>
          </w:rPr>
          <w:tab/>
        </w:r>
        <w:r>
          <w:rPr>
            <w:noProof/>
            <w:webHidden/>
          </w:rPr>
          <w:fldChar w:fldCharType="begin"/>
        </w:r>
        <w:r>
          <w:rPr>
            <w:noProof/>
            <w:webHidden/>
          </w:rPr>
          <w:instrText xml:space="preserve"> PAGEREF _Toc518658146 \h </w:instrText>
        </w:r>
        <w:r>
          <w:rPr>
            <w:noProof/>
            <w:webHidden/>
          </w:rPr>
        </w:r>
        <w:r>
          <w:rPr>
            <w:noProof/>
            <w:webHidden/>
          </w:rPr>
          <w:fldChar w:fldCharType="separate"/>
        </w:r>
        <w:r>
          <w:rPr>
            <w:noProof/>
            <w:webHidden/>
          </w:rPr>
          <w:t>8</w:t>
        </w:r>
        <w:r>
          <w:rPr>
            <w:noProof/>
            <w:webHidden/>
          </w:rPr>
          <w:fldChar w:fldCharType="end"/>
        </w:r>
      </w:hyperlink>
    </w:p>
    <w:p w14:paraId="02250A3B" w14:textId="4566F70C" w:rsidR="00AD18C0" w:rsidRDefault="00AD18C0">
      <w:pPr>
        <w:pStyle w:val="TOC3"/>
        <w:tabs>
          <w:tab w:val="left" w:pos="1540"/>
          <w:tab w:val="right" w:leader="dot" w:pos="9016"/>
        </w:tabs>
        <w:rPr>
          <w:rFonts w:eastAsiaTheme="minorEastAsia"/>
          <w:noProof/>
          <w:lang w:eastAsia="en-GB"/>
        </w:rPr>
      </w:pPr>
      <w:hyperlink w:anchor="_Toc518658147" w:history="1">
        <w:r w:rsidRPr="0090059C">
          <w:rPr>
            <w:rStyle w:val="Hyperlink"/>
            <w:noProof/>
            <w14:scene3d>
              <w14:camera w14:prst="orthographicFront"/>
              <w14:lightRig w14:rig="threePt" w14:dir="t">
                <w14:rot w14:lat="0" w14:lon="0" w14:rev="0"/>
              </w14:lightRig>
            </w14:scene3d>
          </w:rPr>
          <w:t>2.4.1</w:t>
        </w:r>
        <w:r>
          <w:rPr>
            <w:rFonts w:eastAsiaTheme="minorEastAsia"/>
            <w:noProof/>
            <w:lang w:eastAsia="en-GB"/>
          </w:rPr>
          <w:tab/>
        </w:r>
        <w:r w:rsidRPr="0090059C">
          <w:rPr>
            <w:rStyle w:val="Hyperlink"/>
            <w:noProof/>
          </w:rPr>
          <w:t>Productivity</w:t>
        </w:r>
        <w:r>
          <w:rPr>
            <w:noProof/>
            <w:webHidden/>
          </w:rPr>
          <w:tab/>
        </w:r>
        <w:r>
          <w:rPr>
            <w:noProof/>
            <w:webHidden/>
          </w:rPr>
          <w:fldChar w:fldCharType="begin"/>
        </w:r>
        <w:r>
          <w:rPr>
            <w:noProof/>
            <w:webHidden/>
          </w:rPr>
          <w:instrText xml:space="preserve"> PAGEREF _Toc518658147 \h </w:instrText>
        </w:r>
        <w:r>
          <w:rPr>
            <w:noProof/>
            <w:webHidden/>
          </w:rPr>
        </w:r>
        <w:r>
          <w:rPr>
            <w:noProof/>
            <w:webHidden/>
          </w:rPr>
          <w:fldChar w:fldCharType="separate"/>
        </w:r>
        <w:r>
          <w:rPr>
            <w:noProof/>
            <w:webHidden/>
          </w:rPr>
          <w:t>9</w:t>
        </w:r>
        <w:r>
          <w:rPr>
            <w:noProof/>
            <w:webHidden/>
          </w:rPr>
          <w:fldChar w:fldCharType="end"/>
        </w:r>
      </w:hyperlink>
    </w:p>
    <w:p w14:paraId="62061887" w14:textId="2425C166" w:rsidR="00AD18C0" w:rsidRDefault="00AD18C0">
      <w:pPr>
        <w:pStyle w:val="TOC3"/>
        <w:tabs>
          <w:tab w:val="left" w:pos="1540"/>
          <w:tab w:val="right" w:leader="dot" w:pos="9016"/>
        </w:tabs>
        <w:rPr>
          <w:rFonts w:eastAsiaTheme="minorEastAsia"/>
          <w:noProof/>
          <w:lang w:eastAsia="en-GB"/>
        </w:rPr>
      </w:pPr>
      <w:hyperlink w:anchor="_Toc518658148" w:history="1">
        <w:r w:rsidRPr="0090059C">
          <w:rPr>
            <w:rStyle w:val="Hyperlink"/>
            <w:noProof/>
            <w14:scene3d>
              <w14:camera w14:prst="orthographicFront"/>
              <w14:lightRig w14:rig="threePt" w14:dir="t">
                <w14:rot w14:lat="0" w14:lon="0" w14:rev="0"/>
              </w14:lightRig>
            </w14:scene3d>
          </w:rPr>
          <w:t>2.4.2</w:t>
        </w:r>
        <w:r>
          <w:rPr>
            <w:rFonts w:eastAsiaTheme="minorEastAsia"/>
            <w:noProof/>
            <w:lang w:eastAsia="en-GB"/>
          </w:rPr>
          <w:tab/>
        </w:r>
        <w:r w:rsidRPr="0090059C">
          <w:rPr>
            <w:rStyle w:val="Hyperlink"/>
            <w:noProof/>
          </w:rPr>
          <w:t>Susceptibility</w:t>
        </w:r>
        <w:r>
          <w:rPr>
            <w:noProof/>
            <w:webHidden/>
          </w:rPr>
          <w:tab/>
        </w:r>
        <w:r>
          <w:rPr>
            <w:noProof/>
            <w:webHidden/>
          </w:rPr>
          <w:fldChar w:fldCharType="begin"/>
        </w:r>
        <w:r>
          <w:rPr>
            <w:noProof/>
            <w:webHidden/>
          </w:rPr>
          <w:instrText xml:space="preserve"> PAGEREF _Toc518658148 \h </w:instrText>
        </w:r>
        <w:r>
          <w:rPr>
            <w:noProof/>
            <w:webHidden/>
          </w:rPr>
        </w:r>
        <w:r>
          <w:rPr>
            <w:noProof/>
            <w:webHidden/>
          </w:rPr>
          <w:fldChar w:fldCharType="separate"/>
        </w:r>
        <w:r>
          <w:rPr>
            <w:noProof/>
            <w:webHidden/>
          </w:rPr>
          <w:t>11</w:t>
        </w:r>
        <w:r>
          <w:rPr>
            <w:noProof/>
            <w:webHidden/>
          </w:rPr>
          <w:fldChar w:fldCharType="end"/>
        </w:r>
      </w:hyperlink>
    </w:p>
    <w:p w14:paraId="1EE7DB7F" w14:textId="541538B5" w:rsidR="00AD18C0" w:rsidRDefault="00AD18C0">
      <w:pPr>
        <w:pStyle w:val="TOC3"/>
        <w:tabs>
          <w:tab w:val="left" w:pos="1540"/>
          <w:tab w:val="right" w:leader="dot" w:pos="9016"/>
        </w:tabs>
        <w:rPr>
          <w:rFonts w:eastAsiaTheme="minorEastAsia"/>
          <w:noProof/>
          <w:lang w:eastAsia="en-GB"/>
        </w:rPr>
      </w:pPr>
      <w:hyperlink w:anchor="_Toc518658149" w:history="1">
        <w:r w:rsidRPr="0090059C">
          <w:rPr>
            <w:rStyle w:val="Hyperlink"/>
            <w:noProof/>
            <w14:scene3d>
              <w14:camera w14:prst="orthographicFront"/>
              <w14:lightRig w14:rig="threePt" w14:dir="t">
                <w14:rot w14:lat="0" w14:lon="0" w14:rev="0"/>
              </w14:lightRig>
            </w14:scene3d>
          </w:rPr>
          <w:t>2.4.3</w:t>
        </w:r>
        <w:r>
          <w:rPr>
            <w:rFonts w:eastAsiaTheme="minorEastAsia"/>
            <w:noProof/>
            <w:lang w:eastAsia="en-GB"/>
          </w:rPr>
          <w:tab/>
        </w:r>
        <w:r w:rsidRPr="0090059C">
          <w:rPr>
            <w:rStyle w:val="Hyperlink"/>
            <w:noProof/>
          </w:rPr>
          <w:t>Information sources</w:t>
        </w:r>
        <w:r>
          <w:rPr>
            <w:noProof/>
            <w:webHidden/>
          </w:rPr>
          <w:tab/>
        </w:r>
        <w:r>
          <w:rPr>
            <w:noProof/>
            <w:webHidden/>
          </w:rPr>
          <w:fldChar w:fldCharType="begin"/>
        </w:r>
        <w:r>
          <w:rPr>
            <w:noProof/>
            <w:webHidden/>
          </w:rPr>
          <w:instrText xml:space="preserve"> PAGEREF _Toc518658149 \h </w:instrText>
        </w:r>
        <w:r>
          <w:rPr>
            <w:noProof/>
            <w:webHidden/>
          </w:rPr>
        </w:r>
        <w:r>
          <w:rPr>
            <w:noProof/>
            <w:webHidden/>
          </w:rPr>
          <w:fldChar w:fldCharType="separate"/>
        </w:r>
        <w:r>
          <w:rPr>
            <w:noProof/>
            <w:webHidden/>
          </w:rPr>
          <w:t>13</w:t>
        </w:r>
        <w:r>
          <w:rPr>
            <w:noProof/>
            <w:webHidden/>
          </w:rPr>
          <w:fldChar w:fldCharType="end"/>
        </w:r>
      </w:hyperlink>
    </w:p>
    <w:p w14:paraId="3FDC698F" w14:textId="312E8EEB" w:rsidR="00AD18C0" w:rsidRDefault="00AD18C0">
      <w:pPr>
        <w:pStyle w:val="TOC1"/>
        <w:rPr>
          <w:rFonts w:eastAsiaTheme="minorEastAsia"/>
          <w:noProof/>
          <w:lang w:eastAsia="en-GB"/>
        </w:rPr>
      </w:pPr>
      <w:hyperlink w:anchor="_Toc518658150" w:history="1">
        <w:r w:rsidRPr="0090059C">
          <w:rPr>
            <w:rStyle w:val="Hyperlink"/>
            <w:noProof/>
          </w:rPr>
          <w:t>3</w:t>
        </w:r>
        <w:r>
          <w:rPr>
            <w:rFonts w:eastAsiaTheme="minorEastAsia"/>
            <w:noProof/>
            <w:lang w:eastAsia="en-GB"/>
          </w:rPr>
          <w:tab/>
        </w:r>
        <w:r w:rsidRPr="0090059C">
          <w:rPr>
            <w:rStyle w:val="Hyperlink"/>
            <w:noProof/>
          </w:rPr>
          <w:t>Results</w:t>
        </w:r>
        <w:r>
          <w:rPr>
            <w:noProof/>
            <w:webHidden/>
          </w:rPr>
          <w:tab/>
        </w:r>
        <w:r>
          <w:rPr>
            <w:noProof/>
            <w:webHidden/>
          </w:rPr>
          <w:fldChar w:fldCharType="begin"/>
        </w:r>
        <w:r>
          <w:rPr>
            <w:noProof/>
            <w:webHidden/>
          </w:rPr>
          <w:instrText xml:space="preserve"> PAGEREF _Toc518658150 \h </w:instrText>
        </w:r>
        <w:r>
          <w:rPr>
            <w:noProof/>
            <w:webHidden/>
          </w:rPr>
        </w:r>
        <w:r>
          <w:rPr>
            <w:noProof/>
            <w:webHidden/>
          </w:rPr>
          <w:fldChar w:fldCharType="separate"/>
        </w:r>
        <w:r>
          <w:rPr>
            <w:noProof/>
            <w:webHidden/>
          </w:rPr>
          <w:t>13</w:t>
        </w:r>
        <w:r>
          <w:rPr>
            <w:noProof/>
            <w:webHidden/>
          </w:rPr>
          <w:fldChar w:fldCharType="end"/>
        </w:r>
      </w:hyperlink>
    </w:p>
    <w:p w14:paraId="05CA654D" w14:textId="051AA03A" w:rsidR="00AD18C0" w:rsidRDefault="00AD18C0">
      <w:pPr>
        <w:pStyle w:val="TOC2"/>
        <w:tabs>
          <w:tab w:val="left" w:pos="1320"/>
          <w:tab w:val="right" w:leader="dot" w:pos="9016"/>
        </w:tabs>
        <w:rPr>
          <w:rFonts w:eastAsiaTheme="minorEastAsia"/>
          <w:noProof/>
          <w:lang w:eastAsia="en-GB"/>
        </w:rPr>
      </w:pPr>
      <w:hyperlink w:anchor="_Toc518658151" w:history="1">
        <w:r w:rsidRPr="0090059C">
          <w:rPr>
            <w:rStyle w:val="Hyperlink"/>
            <w:noProof/>
          </w:rPr>
          <w:t>3.1</w:t>
        </w:r>
        <w:r>
          <w:rPr>
            <w:rFonts w:eastAsiaTheme="minorEastAsia"/>
            <w:noProof/>
            <w:lang w:eastAsia="en-GB"/>
          </w:rPr>
          <w:tab/>
        </w:r>
        <w:r w:rsidRPr="0090059C">
          <w:rPr>
            <w:rStyle w:val="Hyperlink"/>
            <w:noProof/>
          </w:rPr>
          <w:t>Catch profile</w:t>
        </w:r>
        <w:r>
          <w:rPr>
            <w:noProof/>
            <w:webHidden/>
          </w:rPr>
          <w:tab/>
        </w:r>
        <w:r>
          <w:rPr>
            <w:noProof/>
            <w:webHidden/>
          </w:rPr>
          <w:fldChar w:fldCharType="begin"/>
        </w:r>
        <w:r>
          <w:rPr>
            <w:noProof/>
            <w:webHidden/>
          </w:rPr>
          <w:instrText xml:space="preserve"> PAGEREF _Toc518658151 \h </w:instrText>
        </w:r>
        <w:r>
          <w:rPr>
            <w:noProof/>
            <w:webHidden/>
          </w:rPr>
        </w:r>
        <w:r>
          <w:rPr>
            <w:noProof/>
            <w:webHidden/>
          </w:rPr>
          <w:fldChar w:fldCharType="separate"/>
        </w:r>
        <w:r>
          <w:rPr>
            <w:noProof/>
            <w:webHidden/>
          </w:rPr>
          <w:t>13</w:t>
        </w:r>
        <w:r>
          <w:rPr>
            <w:noProof/>
            <w:webHidden/>
          </w:rPr>
          <w:fldChar w:fldCharType="end"/>
        </w:r>
      </w:hyperlink>
    </w:p>
    <w:p w14:paraId="409CDFFD" w14:textId="2F20CCC8" w:rsidR="00AD18C0" w:rsidRDefault="00AD18C0">
      <w:pPr>
        <w:pStyle w:val="TOC2"/>
        <w:tabs>
          <w:tab w:val="left" w:pos="1320"/>
          <w:tab w:val="right" w:leader="dot" w:pos="9016"/>
        </w:tabs>
        <w:rPr>
          <w:rFonts w:eastAsiaTheme="minorEastAsia"/>
          <w:noProof/>
          <w:lang w:eastAsia="en-GB"/>
        </w:rPr>
      </w:pPr>
      <w:hyperlink w:anchor="_Toc518658152" w:history="1">
        <w:r w:rsidRPr="0090059C">
          <w:rPr>
            <w:rStyle w:val="Hyperlink"/>
            <w:noProof/>
          </w:rPr>
          <w:t>3.2</w:t>
        </w:r>
        <w:r>
          <w:rPr>
            <w:rFonts w:eastAsiaTheme="minorEastAsia"/>
            <w:noProof/>
            <w:lang w:eastAsia="en-GB"/>
          </w:rPr>
          <w:tab/>
        </w:r>
        <w:r w:rsidRPr="0090059C">
          <w:rPr>
            <w:rStyle w:val="Hyperlink"/>
            <w:noProof/>
          </w:rPr>
          <w:t>Productivity scoring</w:t>
        </w:r>
        <w:r>
          <w:rPr>
            <w:noProof/>
            <w:webHidden/>
          </w:rPr>
          <w:tab/>
        </w:r>
        <w:r>
          <w:rPr>
            <w:noProof/>
            <w:webHidden/>
          </w:rPr>
          <w:fldChar w:fldCharType="begin"/>
        </w:r>
        <w:r>
          <w:rPr>
            <w:noProof/>
            <w:webHidden/>
          </w:rPr>
          <w:instrText xml:space="preserve"> PAGEREF _Toc518658152 \h </w:instrText>
        </w:r>
        <w:r>
          <w:rPr>
            <w:noProof/>
            <w:webHidden/>
          </w:rPr>
        </w:r>
        <w:r>
          <w:rPr>
            <w:noProof/>
            <w:webHidden/>
          </w:rPr>
          <w:fldChar w:fldCharType="separate"/>
        </w:r>
        <w:r>
          <w:rPr>
            <w:noProof/>
            <w:webHidden/>
          </w:rPr>
          <w:t>17</w:t>
        </w:r>
        <w:r>
          <w:rPr>
            <w:noProof/>
            <w:webHidden/>
          </w:rPr>
          <w:fldChar w:fldCharType="end"/>
        </w:r>
      </w:hyperlink>
    </w:p>
    <w:p w14:paraId="5D49BC68" w14:textId="08EC6230" w:rsidR="00AD18C0" w:rsidRDefault="00AD18C0">
      <w:pPr>
        <w:pStyle w:val="TOC2"/>
        <w:tabs>
          <w:tab w:val="left" w:pos="1320"/>
          <w:tab w:val="right" w:leader="dot" w:pos="9016"/>
        </w:tabs>
        <w:rPr>
          <w:rFonts w:eastAsiaTheme="minorEastAsia"/>
          <w:noProof/>
          <w:lang w:eastAsia="en-GB"/>
        </w:rPr>
      </w:pPr>
      <w:hyperlink w:anchor="_Toc518658153" w:history="1">
        <w:r w:rsidRPr="0090059C">
          <w:rPr>
            <w:rStyle w:val="Hyperlink"/>
            <w:noProof/>
          </w:rPr>
          <w:t>3.3</w:t>
        </w:r>
        <w:r>
          <w:rPr>
            <w:rFonts w:eastAsiaTheme="minorEastAsia"/>
            <w:noProof/>
            <w:lang w:eastAsia="en-GB"/>
          </w:rPr>
          <w:tab/>
        </w:r>
        <w:r w:rsidRPr="0090059C">
          <w:rPr>
            <w:rStyle w:val="Hyperlink"/>
            <w:noProof/>
          </w:rPr>
          <w:t>Susceptibility score</w:t>
        </w:r>
        <w:r>
          <w:rPr>
            <w:noProof/>
            <w:webHidden/>
          </w:rPr>
          <w:tab/>
        </w:r>
        <w:r>
          <w:rPr>
            <w:noProof/>
            <w:webHidden/>
          </w:rPr>
          <w:fldChar w:fldCharType="begin"/>
        </w:r>
        <w:r>
          <w:rPr>
            <w:noProof/>
            <w:webHidden/>
          </w:rPr>
          <w:instrText xml:space="preserve"> PAGEREF _Toc518658153 \h </w:instrText>
        </w:r>
        <w:r>
          <w:rPr>
            <w:noProof/>
            <w:webHidden/>
          </w:rPr>
        </w:r>
        <w:r>
          <w:rPr>
            <w:noProof/>
            <w:webHidden/>
          </w:rPr>
          <w:fldChar w:fldCharType="separate"/>
        </w:r>
        <w:r>
          <w:rPr>
            <w:noProof/>
            <w:webHidden/>
          </w:rPr>
          <w:t>19</w:t>
        </w:r>
        <w:r>
          <w:rPr>
            <w:noProof/>
            <w:webHidden/>
          </w:rPr>
          <w:fldChar w:fldCharType="end"/>
        </w:r>
      </w:hyperlink>
    </w:p>
    <w:p w14:paraId="70CDD744" w14:textId="11664EB8" w:rsidR="00AD18C0" w:rsidRDefault="00AD18C0">
      <w:pPr>
        <w:pStyle w:val="TOC2"/>
        <w:tabs>
          <w:tab w:val="left" w:pos="1320"/>
          <w:tab w:val="right" w:leader="dot" w:pos="9016"/>
        </w:tabs>
        <w:rPr>
          <w:rFonts w:eastAsiaTheme="minorEastAsia"/>
          <w:noProof/>
          <w:lang w:eastAsia="en-GB"/>
        </w:rPr>
      </w:pPr>
      <w:hyperlink w:anchor="_Toc518658154" w:history="1">
        <w:r w:rsidRPr="0090059C">
          <w:rPr>
            <w:rStyle w:val="Hyperlink"/>
            <w:noProof/>
          </w:rPr>
          <w:t>3.4</w:t>
        </w:r>
        <w:r>
          <w:rPr>
            <w:rFonts w:eastAsiaTheme="minorEastAsia"/>
            <w:noProof/>
            <w:lang w:eastAsia="en-GB"/>
          </w:rPr>
          <w:tab/>
        </w:r>
        <w:r w:rsidRPr="0090059C">
          <w:rPr>
            <w:rStyle w:val="Hyperlink"/>
            <w:noProof/>
          </w:rPr>
          <w:t>PSA Risk Assessment</w:t>
        </w:r>
        <w:r>
          <w:rPr>
            <w:noProof/>
            <w:webHidden/>
          </w:rPr>
          <w:tab/>
        </w:r>
        <w:r>
          <w:rPr>
            <w:noProof/>
            <w:webHidden/>
          </w:rPr>
          <w:fldChar w:fldCharType="begin"/>
        </w:r>
        <w:r>
          <w:rPr>
            <w:noProof/>
            <w:webHidden/>
          </w:rPr>
          <w:instrText xml:space="preserve"> PAGEREF _Toc518658154 \h </w:instrText>
        </w:r>
        <w:r>
          <w:rPr>
            <w:noProof/>
            <w:webHidden/>
          </w:rPr>
        </w:r>
        <w:r>
          <w:rPr>
            <w:noProof/>
            <w:webHidden/>
          </w:rPr>
          <w:fldChar w:fldCharType="separate"/>
        </w:r>
        <w:r>
          <w:rPr>
            <w:noProof/>
            <w:webHidden/>
          </w:rPr>
          <w:t>22</w:t>
        </w:r>
        <w:r>
          <w:rPr>
            <w:noProof/>
            <w:webHidden/>
          </w:rPr>
          <w:fldChar w:fldCharType="end"/>
        </w:r>
      </w:hyperlink>
    </w:p>
    <w:p w14:paraId="23C844B7" w14:textId="66CEEFA1" w:rsidR="00AD18C0" w:rsidRDefault="00AD18C0">
      <w:pPr>
        <w:pStyle w:val="TOC1"/>
        <w:rPr>
          <w:rFonts w:eastAsiaTheme="minorEastAsia"/>
          <w:noProof/>
          <w:lang w:eastAsia="en-GB"/>
        </w:rPr>
      </w:pPr>
      <w:hyperlink w:anchor="_Toc518658155" w:history="1">
        <w:r w:rsidRPr="0090059C">
          <w:rPr>
            <w:rStyle w:val="Hyperlink"/>
            <w:noProof/>
          </w:rPr>
          <w:t>4</w:t>
        </w:r>
        <w:r>
          <w:rPr>
            <w:rFonts w:eastAsiaTheme="minorEastAsia"/>
            <w:noProof/>
            <w:lang w:eastAsia="en-GB"/>
          </w:rPr>
          <w:tab/>
        </w:r>
        <w:r w:rsidRPr="0090059C">
          <w:rPr>
            <w:rStyle w:val="Hyperlink"/>
            <w:noProof/>
          </w:rPr>
          <w:t>Review of management measures</w:t>
        </w:r>
        <w:r>
          <w:rPr>
            <w:noProof/>
            <w:webHidden/>
          </w:rPr>
          <w:tab/>
        </w:r>
        <w:r>
          <w:rPr>
            <w:noProof/>
            <w:webHidden/>
          </w:rPr>
          <w:fldChar w:fldCharType="begin"/>
        </w:r>
        <w:r>
          <w:rPr>
            <w:noProof/>
            <w:webHidden/>
          </w:rPr>
          <w:instrText xml:space="preserve"> PAGEREF _Toc518658155 \h </w:instrText>
        </w:r>
        <w:r>
          <w:rPr>
            <w:noProof/>
            <w:webHidden/>
          </w:rPr>
        </w:r>
        <w:r>
          <w:rPr>
            <w:noProof/>
            <w:webHidden/>
          </w:rPr>
          <w:fldChar w:fldCharType="separate"/>
        </w:r>
        <w:r>
          <w:rPr>
            <w:noProof/>
            <w:webHidden/>
          </w:rPr>
          <w:t>25</w:t>
        </w:r>
        <w:r>
          <w:rPr>
            <w:noProof/>
            <w:webHidden/>
          </w:rPr>
          <w:fldChar w:fldCharType="end"/>
        </w:r>
      </w:hyperlink>
    </w:p>
    <w:p w14:paraId="5500E171" w14:textId="39C359EF" w:rsidR="00AD18C0" w:rsidRDefault="00AD18C0">
      <w:pPr>
        <w:pStyle w:val="TOC1"/>
        <w:rPr>
          <w:rFonts w:eastAsiaTheme="minorEastAsia"/>
          <w:noProof/>
          <w:lang w:eastAsia="en-GB"/>
        </w:rPr>
      </w:pPr>
      <w:hyperlink w:anchor="_Toc518658156" w:history="1">
        <w:r w:rsidRPr="0090059C">
          <w:rPr>
            <w:rStyle w:val="Hyperlink"/>
            <w:noProof/>
          </w:rPr>
          <w:t>5</w:t>
        </w:r>
        <w:r>
          <w:rPr>
            <w:rFonts w:eastAsiaTheme="minorEastAsia"/>
            <w:noProof/>
            <w:lang w:eastAsia="en-GB"/>
          </w:rPr>
          <w:tab/>
        </w:r>
        <w:r w:rsidRPr="0090059C">
          <w:rPr>
            <w:rStyle w:val="Hyperlink"/>
            <w:noProof/>
          </w:rPr>
          <w:t>Data limitations for bycatch and rare species</w:t>
        </w:r>
        <w:r>
          <w:rPr>
            <w:noProof/>
            <w:webHidden/>
          </w:rPr>
          <w:tab/>
        </w:r>
        <w:r>
          <w:rPr>
            <w:noProof/>
            <w:webHidden/>
          </w:rPr>
          <w:fldChar w:fldCharType="begin"/>
        </w:r>
        <w:r>
          <w:rPr>
            <w:noProof/>
            <w:webHidden/>
          </w:rPr>
          <w:instrText xml:space="preserve"> PAGEREF _Toc518658156 \h </w:instrText>
        </w:r>
        <w:r>
          <w:rPr>
            <w:noProof/>
            <w:webHidden/>
          </w:rPr>
        </w:r>
        <w:r>
          <w:rPr>
            <w:noProof/>
            <w:webHidden/>
          </w:rPr>
          <w:fldChar w:fldCharType="separate"/>
        </w:r>
        <w:r>
          <w:rPr>
            <w:noProof/>
            <w:webHidden/>
          </w:rPr>
          <w:t>28</w:t>
        </w:r>
        <w:r>
          <w:rPr>
            <w:noProof/>
            <w:webHidden/>
          </w:rPr>
          <w:fldChar w:fldCharType="end"/>
        </w:r>
      </w:hyperlink>
    </w:p>
    <w:p w14:paraId="1DD59866" w14:textId="52781800" w:rsidR="00AD18C0" w:rsidRDefault="00AD18C0">
      <w:pPr>
        <w:pStyle w:val="TOC1"/>
        <w:rPr>
          <w:rFonts w:eastAsiaTheme="minorEastAsia"/>
          <w:noProof/>
          <w:lang w:eastAsia="en-GB"/>
        </w:rPr>
      </w:pPr>
      <w:hyperlink w:anchor="_Toc518658157" w:history="1">
        <w:r w:rsidRPr="0090059C">
          <w:rPr>
            <w:rStyle w:val="Hyperlink"/>
            <w:noProof/>
          </w:rPr>
          <w:t>6</w:t>
        </w:r>
        <w:r>
          <w:rPr>
            <w:rFonts w:eastAsiaTheme="minorEastAsia"/>
            <w:noProof/>
            <w:lang w:eastAsia="en-GB"/>
          </w:rPr>
          <w:tab/>
        </w:r>
        <w:r w:rsidRPr="0090059C">
          <w:rPr>
            <w:rStyle w:val="Hyperlink"/>
            <w:noProof/>
          </w:rPr>
          <w:t>Conclusions</w:t>
        </w:r>
        <w:r>
          <w:rPr>
            <w:noProof/>
            <w:webHidden/>
          </w:rPr>
          <w:tab/>
        </w:r>
        <w:r>
          <w:rPr>
            <w:noProof/>
            <w:webHidden/>
          </w:rPr>
          <w:fldChar w:fldCharType="begin"/>
        </w:r>
        <w:r>
          <w:rPr>
            <w:noProof/>
            <w:webHidden/>
          </w:rPr>
          <w:instrText xml:space="preserve"> PAGEREF _Toc518658157 \h </w:instrText>
        </w:r>
        <w:r>
          <w:rPr>
            <w:noProof/>
            <w:webHidden/>
          </w:rPr>
        </w:r>
        <w:r>
          <w:rPr>
            <w:noProof/>
            <w:webHidden/>
          </w:rPr>
          <w:fldChar w:fldCharType="separate"/>
        </w:r>
        <w:r>
          <w:rPr>
            <w:noProof/>
            <w:webHidden/>
          </w:rPr>
          <w:t>28</w:t>
        </w:r>
        <w:r>
          <w:rPr>
            <w:noProof/>
            <w:webHidden/>
          </w:rPr>
          <w:fldChar w:fldCharType="end"/>
        </w:r>
      </w:hyperlink>
    </w:p>
    <w:p w14:paraId="26444D8F" w14:textId="513246EA" w:rsidR="00AD18C0" w:rsidRDefault="00AD18C0">
      <w:pPr>
        <w:pStyle w:val="TOC1"/>
        <w:rPr>
          <w:rFonts w:eastAsiaTheme="minorEastAsia"/>
          <w:noProof/>
          <w:lang w:eastAsia="en-GB"/>
        </w:rPr>
      </w:pPr>
      <w:hyperlink w:anchor="_Toc518658158" w:history="1">
        <w:r w:rsidRPr="0090059C">
          <w:rPr>
            <w:rStyle w:val="Hyperlink"/>
            <w:noProof/>
          </w:rPr>
          <w:t>7</w:t>
        </w:r>
        <w:r>
          <w:rPr>
            <w:rFonts w:eastAsiaTheme="minorEastAsia"/>
            <w:noProof/>
            <w:lang w:eastAsia="en-GB"/>
          </w:rPr>
          <w:tab/>
        </w:r>
        <w:r w:rsidRPr="0090059C">
          <w:rPr>
            <w:rStyle w:val="Hyperlink"/>
            <w:noProof/>
          </w:rPr>
          <w:t>References</w:t>
        </w:r>
        <w:r>
          <w:rPr>
            <w:noProof/>
            <w:webHidden/>
          </w:rPr>
          <w:tab/>
        </w:r>
        <w:r>
          <w:rPr>
            <w:noProof/>
            <w:webHidden/>
          </w:rPr>
          <w:fldChar w:fldCharType="begin"/>
        </w:r>
        <w:r>
          <w:rPr>
            <w:noProof/>
            <w:webHidden/>
          </w:rPr>
          <w:instrText xml:space="preserve"> PAGEREF _Toc518658158 \h </w:instrText>
        </w:r>
        <w:r>
          <w:rPr>
            <w:noProof/>
            <w:webHidden/>
          </w:rPr>
        </w:r>
        <w:r>
          <w:rPr>
            <w:noProof/>
            <w:webHidden/>
          </w:rPr>
          <w:fldChar w:fldCharType="separate"/>
        </w:r>
        <w:r>
          <w:rPr>
            <w:noProof/>
            <w:webHidden/>
          </w:rPr>
          <w:t>29</w:t>
        </w:r>
        <w:r>
          <w:rPr>
            <w:noProof/>
            <w:webHidden/>
          </w:rPr>
          <w:fldChar w:fldCharType="end"/>
        </w:r>
      </w:hyperlink>
    </w:p>
    <w:p w14:paraId="519EEFB0" w14:textId="23603583" w:rsidR="008464AA" w:rsidRDefault="00A94E08" w:rsidP="00EA60DC">
      <w:r>
        <w:fldChar w:fldCharType="end"/>
      </w:r>
    </w:p>
    <w:p w14:paraId="595E1910" w14:textId="77777777" w:rsidR="008464AA" w:rsidRDefault="008464AA" w:rsidP="00EA60DC">
      <w:pPr>
        <w:pStyle w:val="CefasHeading"/>
      </w:pPr>
      <w:r>
        <w:t>Tables</w:t>
      </w:r>
    </w:p>
    <w:p w14:paraId="4A3B2F93" w14:textId="590A231C" w:rsidR="00AD18C0" w:rsidRDefault="00944708">
      <w:pPr>
        <w:pStyle w:val="TableofFigures"/>
        <w:tabs>
          <w:tab w:val="right" w:leader="dot" w:pos="9016"/>
        </w:tabs>
        <w:rPr>
          <w:rFonts w:eastAsiaTheme="minorEastAsia"/>
          <w:noProof/>
          <w:lang w:eastAsia="en-GB"/>
        </w:rPr>
      </w:pPr>
      <w:r>
        <w:rPr>
          <w:b/>
        </w:rPr>
        <w:fldChar w:fldCharType="begin"/>
      </w:r>
      <w:r>
        <w:rPr>
          <w:b/>
        </w:rPr>
        <w:instrText xml:space="preserve"> TOC \h \z \c "Table" </w:instrText>
      </w:r>
      <w:r>
        <w:rPr>
          <w:b/>
        </w:rPr>
        <w:fldChar w:fldCharType="separate"/>
      </w:r>
      <w:hyperlink w:anchor="_Toc518658159" w:history="1">
        <w:r w:rsidR="00AD18C0" w:rsidRPr="008075C2">
          <w:rPr>
            <w:rStyle w:val="Hyperlink"/>
            <w:noProof/>
          </w:rPr>
          <w:t>Table 1 Unit of Assessments</w:t>
        </w:r>
        <w:r w:rsidR="00AD18C0">
          <w:rPr>
            <w:noProof/>
            <w:webHidden/>
          </w:rPr>
          <w:tab/>
        </w:r>
        <w:r w:rsidR="00AD18C0">
          <w:rPr>
            <w:noProof/>
            <w:webHidden/>
          </w:rPr>
          <w:fldChar w:fldCharType="begin"/>
        </w:r>
        <w:r w:rsidR="00AD18C0">
          <w:rPr>
            <w:noProof/>
            <w:webHidden/>
          </w:rPr>
          <w:instrText xml:space="preserve"> PAGEREF _Toc518658159 \h </w:instrText>
        </w:r>
        <w:r w:rsidR="00AD18C0">
          <w:rPr>
            <w:noProof/>
            <w:webHidden/>
          </w:rPr>
        </w:r>
        <w:r w:rsidR="00AD18C0">
          <w:rPr>
            <w:noProof/>
            <w:webHidden/>
          </w:rPr>
          <w:fldChar w:fldCharType="separate"/>
        </w:r>
        <w:r w:rsidR="00AD18C0">
          <w:rPr>
            <w:noProof/>
            <w:webHidden/>
          </w:rPr>
          <w:t>7</w:t>
        </w:r>
        <w:r w:rsidR="00AD18C0">
          <w:rPr>
            <w:noProof/>
            <w:webHidden/>
          </w:rPr>
          <w:fldChar w:fldCharType="end"/>
        </w:r>
      </w:hyperlink>
    </w:p>
    <w:p w14:paraId="5B9CF60A" w14:textId="47A6C622" w:rsidR="00AD18C0" w:rsidRDefault="00AD18C0">
      <w:pPr>
        <w:pStyle w:val="TableofFigures"/>
        <w:tabs>
          <w:tab w:val="right" w:leader="dot" w:pos="9016"/>
        </w:tabs>
        <w:rPr>
          <w:rFonts w:eastAsiaTheme="minorEastAsia"/>
          <w:noProof/>
          <w:lang w:eastAsia="en-GB"/>
        </w:rPr>
      </w:pPr>
      <w:hyperlink w:anchor="_Toc518658160" w:history="1">
        <w:r w:rsidRPr="008075C2">
          <w:rPr>
            <w:rStyle w:val="Hyperlink"/>
            <w:noProof/>
          </w:rPr>
          <w:t>Table 2 Number of trips sampled for each gear type, between 2014 and 2017, in ICES areas VIIb-k.</w:t>
        </w:r>
        <w:r>
          <w:rPr>
            <w:noProof/>
            <w:webHidden/>
          </w:rPr>
          <w:tab/>
        </w:r>
        <w:r>
          <w:rPr>
            <w:noProof/>
            <w:webHidden/>
          </w:rPr>
          <w:fldChar w:fldCharType="begin"/>
        </w:r>
        <w:r>
          <w:rPr>
            <w:noProof/>
            <w:webHidden/>
          </w:rPr>
          <w:instrText xml:space="preserve"> PAGEREF _Toc518658160 \h </w:instrText>
        </w:r>
        <w:r>
          <w:rPr>
            <w:noProof/>
            <w:webHidden/>
          </w:rPr>
        </w:r>
        <w:r>
          <w:rPr>
            <w:noProof/>
            <w:webHidden/>
          </w:rPr>
          <w:fldChar w:fldCharType="separate"/>
        </w:r>
        <w:r>
          <w:rPr>
            <w:noProof/>
            <w:webHidden/>
          </w:rPr>
          <w:t>8</w:t>
        </w:r>
        <w:r>
          <w:rPr>
            <w:noProof/>
            <w:webHidden/>
          </w:rPr>
          <w:fldChar w:fldCharType="end"/>
        </w:r>
      </w:hyperlink>
    </w:p>
    <w:p w14:paraId="2F97BD18" w14:textId="766CBFB0" w:rsidR="00AD18C0" w:rsidRDefault="00AD18C0">
      <w:pPr>
        <w:pStyle w:val="TableofFigures"/>
        <w:tabs>
          <w:tab w:val="right" w:leader="dot" w:pos="9016"/>
        </w:tabs>
        <w:rPr>
          <w:rFonts w:eastAsiaTheme="minorEastAsia"/>
          <w:noProof/>
          <w:lang w:eastAsia="en-GB"/>
        </w:rPr>
      </w:pPr>
      <w:hyperlink w:anchor="_Toc518658161" w:history="1">
        <w:r w:rsidRPr="008075C2">
          <w:rPr>
            <w:rStyle w:val="Hyperlink"/>
            <w:noProof/>
          </w:rPr>
          <w:t>Table 3. Life history attributes for productivity assessment and cut off scores for risk levels.</w:t>
        </w:r>
        <w:r>
          <w:rPr>
            <w:noProof/>
            <w:webHidden/>
          </w:rPr>
          <w:tab/>
        </w:r>
        <w:r>
          <w:rPr>
            <w:noProof/>
            <w:webHidden/>
          </w:rPr>
          <w:fldChar w:fldCharType="begin"/>
        </w:r>
        <w:r>
          <w:rPr>
            <w:noProof/>
            <w:webHidden/>
          </w:rPr>
          <w:instrText xml:space="preserve"> PAGEREF _Toc518658161 \h </w:instrText>
        </w:r>
        <w:r>
          <w:rPr>
            <w:noProof/>
            <w:webHidden/>
          </w:rPr>
        </w:r>
        <w:r>
          <w:rPr>
            <w:noProof/>
            <w:webHidden/>
          </w:rPr>
          <w:fldChar w:fldCharType="separate"/>
        </w:r>
        <w:r>
          <w:rPr>
            <w:noProof/>
            <w:webHidden/>
          </w:rPr>
          <w:t>9</w:t>
        </w:r>
        <w:r>
          <w:rPr>
            <w:noProof/>
            <w:webHidden/>
          </w:rPr>
          <w:fldChar w:fldCharType="end"/>
        </w:r>
      </w:hyperlink>
    </w:p>
    <w:p w14:paraId="6B3E04ED" w14:textId="73F1823C" w:rsidR="00AD18C0" w:rsidRDefault="00AD18C0">
      <w:pPr>
        <w:pStyle w:val="TableofFigures"/>
        <w:tabs>
          <w:tab w:val="right" w:leader="dot" w:pos="9016"/>
        </w:tabs>
        <w:rPr>
          <w:rFonts w:eastAsiaTheme="minorEastAsia"/>
          <w:noProof/>
          <w:lang w:eastAsia="en-GB"/>
        </w:rPr>
      </w:pPr>
      <w:hyperlink w:anchor="_Toc518658162" w:history="1">
        <w:r w:rsidRPr="008075C2">
          <w:rPr>
            <w:rStyle w:val="Hyperlink"/>
            <w:noProof/>
          </w:rPr>
          <w:t>Table 4. Vulnerability attributes for scoring risk levels to the fisheries.</w:t>
        </w:r>
        <w:r>
          <w:rPr>
            <w:noProof/>
            <w:webHidden/>
          </w:rPr>
          <w:tab/>
        </w:r>
        <w:r>
          <w:rPr>
            <w:noProof/>
            <w:webHidden/>
          </w:rPr>
          <w:fldChar w:fldCharType="begin"/>
        </w:r>
        <w:r>
          <w:rPr>
            <w:noProof/>
            <w:webHidden/>
          </w:rPr>
          <w:instrText xml:space="preserve"> PAGEREF _Toc518658162 \h </w:instrText>
        </w:r>
        <w:r>
          <w:rPr>
            <w:noProof/>
            <w:webHidden/>
          </w:rPr>
        </w:r>
        <w:r>
          <w:rPr>
            <w:noProof/>
            <w:webHidden/>
          </w:rPr>
          <w:fldChar w:fldCharType="separate"/>
        </w:r>
        <w:r>
          <w:rPr>
            <w:noProof/>
            <w:webHidden/>
          </w:rPr>
          <w:t>12</w:t>
        </w:r>
        <w:r>
          <w:rPr>
            <w:noProof/>
            <w:webHidden/>
          </w:rPr>
          <w:fldChar w:fldCharType="end"/>
        </w:r>
      </w:hyperlink>
    </w:p>
    <w:p w14:paraId="454FF5AD" w14:textId="1D4BDD42" w:rsidR="00AD18C0" w:rsidRDefault="00AD18C0">
      <w:pPr>
        <w:pStyle w:val="TableofFigures"/>
        <w:tabs>
          <w:tab w:val="right" w:leader="dot" w:pos="9016"/>
        </w:tabs>
        <w:rPr>
          <w:rFonts w:eastAsiaTheme="minorEastAsia"/>
          <w:noProof/>
          <w:lang w:eastAsia="en-GB"/>
        </w:rPr>
      </w:pPr>
      <w:hyperlink w:anchor="_Toc518658163" w:history="1">
        <w:r w:rsidRPr="008075C2">
          <w:rPr>
            <w:rStyle w:val="Hyperlink"/>
            <w:noProof/>
          </w:rPr>
          <w:t>Table 5. Catch profile – Mean annual Landings and discards, between 2015 and 2017 (Data sources: Official landings database and Cefas Observer programme for discards estimates).</w:t>
        </w:r>
        <w:r>
          <w:rPr>
            <w:noProof/>
            <w:webHidden/>
          </w:rPr>
          <w:tab/>
        </w:r>
        <w:r>
          <w:rPr>
            <w:noProof/>
            <w:webHidden/>
          </w:rPr>
          <w:fldChar w:fldCharType="begin"/>
        </w:r>
        <w:r>
          <w:rPr>
            <w:noProof/>
            <w:webHidden/>
          </w:rPr>
          <w:instrText xml:space="preserve"> PAGEREF _Toc518658163 \h </w:instrText>
        </w:r>
        <w:r>
          <w:rPr>
            <w:noProof/>
            <w:webHidden/>
          </w:rPr>
        </w:r>
        <w:r>
          <w:rPr>
            <w:noProof/>
            <w:webHidden/>
          </w:rPr>
          <w:fldChar w:fldCharType="separate"/>
        </w:r>
        <w:r>
          <w:rPr>
            <w:noProof/>
            <w:webHidden/>
          </w:rPr>
          <w:t>14</w:t>
        </w:r>
        <w:r>
          <w:rPr>
            <w:noProof/>
            <w:webHidden/>
          </w:rPr>
          <w:fldChar w:fldCharType="end"/>
        </w:r>
      </w:hyperlink>
    </w:p>
    <w:p w14:paraId="2790D82C" w14:textId="3799C226" w:rsidR="00AD18C0" w:rsidRDefault="00AD18C0">
      <w:pPr>
        <w:pStyle w:val="TableofFigures"/>
        <w:tabs>
          <w:tab w:val="right" w:leader="dot" w:pos="9016"/>
        </w:tabs>
        <w:rPr>
          <w:rFonts w:eastAsiaTheme="minorEastAsia"/>
          <w:noProof/>
          <w:lang w:eastAsia="en-GB"/>
        </w:rPr>
      </w:pPr>
      <w:hyperlink w:anchor="_Toc518658164" w:history="1">
        <w:r w:rsidRPr="008075C2">
          <w:rPr>
            <w:rStyle w:val="Hyperlink"/>
            <w:noProof/>
          </w:rPr>
          <w:t>Table 6. Productivity score for each Secondary species identified for the monkfish species, demersal trawl, beam trawl and netters.</w:t>
        </w:r>
        <w:r>
          <w:rPr>
            <w:noProof/>
            <w:webHidden/>
          </w:rPr>
          <w:tab/>
        </w:r>
        <w:r>
          <w:rPr>
            <w:noProof/>
            <w:webHidden/>
          </w:rPr>
          <w:fldChar w:fldCharType="begin"/>
        </w:r>
        <w:r>
          <w:rPr>
            <w:noProof/>
            <w:webHidden/>
          </w:rPr>
          <w:instrText xml:space="preserve"> PAGEREF _Toc518658164 \h </w:instrText>
        </w:r>
        <w:r>
          <w:rPr>
            <w:noProof/>
            <w:webHidden/>
          </w:rPr>
        </w:r>
        <w:r>
          <w:rPr>
            <w:noProof/>
            <w:webHidden/>
          </w:rPr>
          <w:fldChar w:fldCharType="separate"/>
        </w:r>
        <w:r>
          <w:rPr>
            <w:noProof/>
            <w:webHidden/>
          </w:rPr>
          <w:t>17</w:t>
        </w:r>
        <w:r>
          <w:rPr>
            <w:noProof/>
            <w:webHidden/>
          </w:rPr>
          <w:fldChar w:fldCharType="end"/>
        </w:r>
      </w:hyperlink>
    </w:p>
    <w:p w14:paraId="7AC1E028" w14:textId="18C42C82" w:rsidR="00AD18C0" w:rsidRDefault="00AD18C0">
      <w:pPr>
        <w:pStyle w:val="TableofFigures"/>
        <w:tabs>
          <w:tab w:val="right" w:leader="dot" w:pos="9016"/>
        </w:tabs>
        <w:rPr>
          <w:rFonts w:eastAsiaTheme="minorEastAsia"/>
          <w:noProof/>
          <w:lang w:eastAsia="en-GB"/>
        </w:rPr>
      </w:pPr>
      <w:hyperlink w:anchor="_Toc518658165" w:history="1">
        <w:r w:rsidRPr="008075C2">
          <w:rPr>
            <w:rStyle w:val="Hyperlink"/>
            <w:noProof/>
          </w:rPr>
          <w:t>Table 7. Susceptibility score for secondary species from tangle/trammel and gill nets.</w:t>
        </w:r>
        <w:r>
          <w:rPr>
            <w:noProof/>
            <w:webHidden/>
          </w:rPr>
          <w:tab/>
        </w:r>
        <w:r>
          <w:rPr>
            <w:noProof/>
            <w:webHidden/>
          </w:rPr>
          <w:fldChar w:fldCharType="begin"/>
        </w:r>
        <w:r>
          <w:rPr>
            <w:noProof/>
            <w:webHidden/>
          </w:rPr>
          <w:instrText xml:space="preserve"> PAGEREF _Toc518658165 \h </w:instrText>
        </w:r>
        <w:r>
          <w:rPr>
            <w:noProof/>
            <w:webHidden/>
          </w:rPr>
        </w:r>
        <w:r>
          <w:rPr>
            <w:noProof/>
            <w:webHidden/>
          </w:rPr>
          <w:fldChar w:fldCharType="separate"/>
        </w:r>
        <w:r>
          <w:rPr>
            <w:noProof/>
            <w:webHidden/>
          </w:rPr>
          <w:t>19</w:t>
        </w:r>
        <w:r>
          <w:rPr>
            <w:noProof/>
            <w:webHidden/>
          </w:rPr>
          <w:fldChar w:fldCharType="end"/>
        </w:r>
      </w:hyperlink>
    </w:p>
    <w:p w14:paraId="7AC14601" w14:textId="51482EB3" w:rsidR="00AD18C0" w:rsidRDefault="00AD18C0">
      <w:pPr>
        <w:pStyle w:val="TableofFigures"/>
        <w:tabs>
          <w:tab w:val="right" w:leader="dot" w:pos="9016"/>
        </w:tabs>
        <w:rPr>
          <w:rFonts w:eastAsiaTheme="minorEastAsia"/>
          <w:noProof/>
          <w:lang w:eastAsia="en-GB"/>
        </w:rPr>
      </w:pPr>
      <w:hyperlink w:anchor="_Toc518658166" w:history="1">
        <w:r w:rsidRPr="008075C2">
          <w:rPr>
            <w:rStyle w:val="Hyperlink"/>
            <w:noProof/>
          </w:rPr>
          <w:t>Table 8. Susceptibility score for secondary species from demersal trawls, targeting monkfish.</w:t>
        </w:r>
        <w:r>
          <w:rPr>
            <w:noProof/>
            <w:webHidden/>
          </w:rPr>
          <w:tab/>
        </w:r>
        <w:r>
          <w:rPr>
            <w:noProof/>
            <w:webHidden/>
          </w:rPr>
          <w:fldChar w:fldCharType="begin"/>
        </w:r>
        <w:r>
          <w:rPr>
            <w:noProof/>
            <w:webHidden/>
          </w:rPr>
          <w:instrText xml:space="preserve"> PAGEREF _Toc518658166 \h </w:instrText>
        </w:r>
        <w:r>
          <w:rPr>
            <w:noProof/>
            <w:webHidden/>
          </w:rPr>
        </w:r>
        <w:r>
          <w:rPr>
            <w:noProof/>
            <w:webHidden/>
          </w:rPr>
          <w:fldChar w:fldCharType="separate"/>
        </w:r>
        <w:r>
          <w:rPr>
            <w:noProof/>
            <w:webHidden/>
          </w:rPr>
          <w:t>20</w:t>
        </w:r>
        <w:r>
          <w:rPr>
            <w:noProof/>
            <w:webHidden/>
          </w:rPr>
          <w:fldChar w:fldCharType="end"/>
        </w:r>
      </w:hyperlink>
    </w:p>
    <w:p w14:paraId="63A78EB8" w14:textId="363607AA" w:rsidR="00AD18C0" w:rsidRDefault="00AD18C0">
      <w:pPr>
        <w:pStyle w:val="TableofFigures"/>
        <w:tabs>
          <w:tab w:val="right" w:leader="dot" w:pos="9016"/>
        </w:tabs>
        <w:rPr>
          <w:rFonts w:eastAsiaTheme="minorEastAsia"/>
          <w:noProof/>
          <w:lang w:eastAsia="en-GB"/>
        </w:rPr>
      </w:pPr>
      <w:hyperlink w:anchor="_Toc518658167" w:history="1">
        <w:r w:rsidRPr="008075C2">
          <w:rPr>
            <w:rStyle w:val="Hyperlink"/>
            <w:noProof/>
          </w:rPr>
          <w:t>Table 9. Susceptibility score for secondary species from beam trawls.</w:t>
        </w:r>
        <w:r>
          <w:rPr>
            <w:noProof/>
            <w:webHidden/>
          </w:rPr>
          <w:tab/>
        </w:r>
        <w:r>
          <w:rPr>
            <w:noProof/>
            <w:webHidden/>
          </w:rPr>
          <w:fldChar w:fldCharType="begin"/>
        </w:r>
        <w:r>
          <w:rPr>
            <w:noProof/>
            <w:webHidden/>
          </w:rPr>
          <w:instrText xml:space="preserve"> PAGEREF _Toc518658167 \h </w:instrText>
        </w:r>
        <w:r>
          <w:rPr>
            <w:noProof/>
            <w:webHidden/>
          </w:rPr>
        </w:r>
        <w:r>
          <w:rPr>
            <w:noProof/>
            <w:webHidden/>
          </w:rPr>
          <w:fldChar w:fldCharType="separate"/>
        </w:r>
        <w:r>
          <w:rPr>
            <w:noProof/>
            <w:webHidden/>
          </w:rPr>
          <w:t>21</w:t>
        </w:r>
        <w:r>
          <w:rPr>
            <w:noProof/>
            <w:webHidden/>
          </w:rPr>
          <w:fldChar w:fldCharType="end"/>
        </w:r>
      </w:hyperlink>
    </w:p>
    <w:p w14:paraId="2E1B1A83" w14:textId="3F854BD4" w:rsidR="00AD18C0" w:rsidRDefault="00AD18C0">
      <w:pPr>
        <w:pStyle w:val="TableofFigures"/>
        <w:tabs>
          <w:tab w:val="right" w:leader="dot" w:pos="9016"/>
        </w:tabs>
        <w:rPr>
          <w:rFonts w:eastAsiaTheme="minorEastAsia"/>
          <w:noProof/>
          <w:lang w:eastAsia="en-GB"/>
        </w:rPr>
      </w:pPr>
      <w:hyperlink w:anchor="_Toc518658168" w:history="1">
        <w:r w:rsidRPr="008075C2">
          <w:rPr>
            <w:rStyle w:val="Hyperlink"/>
            <w:noProof/>
          </w:rPr>
          <w:t>Table 10. Productivity and susceptibility scores and final PSA score for the monkfish fisheries main secondary species.</w:t>
        </w:r>
        <w:r>
          <w:rPr>
            <w:noProof/>
            <w:webHidden/>
          </w:rPr>
          <w:tab/>
        </w:r>
        <w:r>
          <w:rPr>
            <w:noProof/>
            <w:webHidden/>
          </w:rPr>
          <w:fldChar w:fldCharType="begin"/>
        </w:r>
        <w:r>
          <w:rPr>
            <w:noProof/>
            <w:webHidden/>
          </w:rPr>
          <w:instrText xml:space="preserve"> PAGEREF _Toc518658168 \h </w:instrText>
        </w:r>
        <w:r>
          <w:rPr>
            <w:noProof/>
            <w:webHidden/>
          </w:rPr>
        </w:r>
        <w:r>
          <w:rPr>
            <w:noProof/>
            <w:webHidden/>
          </w:rPr>
          <w:fldChar w:fldCharType="separate"/>
        </w:r>
        <w:r>
          <w:rPr>
            <w:noProof/>
            <w:webHidden/>
          </w:rPr>
          <w:t>23</w:t>
        </w:r>
        <w:r>
          <w:rPr>
            <w:noProof/>
            <w:webHidden/>
          </w:rPr>
          <w:fldChar w:fldCharType="end"/>
        </w:r>
      </w:hyperlink>
    </w:p>
    <w:p w14:paraId="00B05631" w14:textId="740DA335" w:rsidR="006744DB" w:rsidRDefault="00944708" w:rsidP="00EA60DC">
      <w:r>
        <w:rPr>
          <w:b/>
        </w:rPr>
        <w:fldChar w:fldCharType="end"/>
      </w:r>
    </w:p>
    <w:p w14:paraId="07E754BF" w14:textId="77777777" w:rsidR="008464AA" w:rsidRDefault="006744DB" w:rsidP="00EA60DC">
      <w:pPr>
        <w:pStyle w:val="CefasHeading"/>
      </w:pPr>
      <w:r>
        <w:rPr>
          <w:rFonts w:eastAsiaTheme="minorHAnsi"/>
        </w:rPr>
        <w:t>Figures</w:t>
      </w:r>
    </w:p>
    <w:p w14:paraId="6FA9A818" w14:textId="34637957" w:rsidR="00AD18C0" w:rsidRDefault="006744DB">
      <w:pPr>
        <w:pStyle w:val="TableofFigures"/>
        <w:tabs>
          <w:tab w:val="right" w:leader="dot" w:pos="9016"/>
        </w:tabs>
        <w:rPr>
          <w:rFonts w:eastAsiaTheme="minorEastAsia"/>
          <w:noProof/>
          <w:lang w:eastAsia="en-GB"/>
        </w:rPr>
      </w:pPr>
      <w:r>
        <w:rPr>
          <w:b/>
        </w:rPr>
        <w:fldChar w:fldCharType="begin"/>
      </w:r>
      <w:r>
        <w:rPr>
          <w:b/>
        </w:rPr>
        <w:instrText xml:space="preserve"> TOC \h \z \t "Caption,Figure" \c </w:instrText>
      </w:r>
      <w:r>
        <w:rPr>
          <w:b/>
        </w:rPr>
        <w:fldChar w:fldCharType="separate"/>
      </w:r>
      <w:hyperlink w:anchor="_Toc518658169" w:history="1">
        <w:r w:rsidR="00AD18C0" w:rsidRPr="008103EA">
          <w:rPr>
            <w:rStyle w:val="Hyperlink"/>
            <w:noProof/>
          </w:rPr>
          <w:t>Figure 1. Maps with the stock area for monkfish ICES Divisions 7.b-k and 8.a,b,d (Source: Lambert et al, 2018).</w:t>
        </w:r>
        <w:r w:rsidR="00AD18C0">
          <w:rPr>
            <w:noProof/>
            <w:webHidden/>
          </w:rPr>
          <w:tab/>
        </w:r>
        <w:r w:rsidR="00AD18C0">
          <w:rPr>
            <w:noProof/>
            <w:webHidden/>
          </w:rPr>
          <w:fldChar w:fldCharType="begin"/>
        </w:r>
        <w:r w:rsidR="00AD18C0">
          <w:rPr>
            <w:noProof/>
            <w:webHidden/>
          </w:rPr>
          <w:instrText xml:space="preserve"> PAGEREF _Toc518658169 \h </w:instrText>
        </w:r>
        <w:r w:rsidR="00AD18C0">
          <w:rPr>
            <w:noProof/>
            <w:webHidden/>
          </w:rPr>
        </w:r>
        <w:r w:rsidR="00AD18C0">
          <w:rPr>
            <w:noProof/>
            <w:webHidden/>
          </w:rPr>
          <w:fldChar w:fldCharType="separate"/>
        </w:r>
        <w:r w:rsidR="00AD18C0">
          <w:rPr>
            <w:noProof/>
            <w:webHidden/>
          </w:rPr>
          <w:t>6</w:t>
        </w:r>
        <w:r w:rsidR="00AD18C0">
          <w:rPr>
            <w:noProof/>
            <w:webHidden/>
          </w:rPr>
          <w:fldChar w:fldCharType="end"/>
        </w:r>
      </w:hyperlink>
    </w:p>
    <w:p w14:paraId="5AA2899E" w14:textId="05720DE6" w:rsidR="00AD18C0" w:rsidRDefault="00AD18C0">
      <w:pPr>
        <w:pStyle w:val="TableofFigures"/>
        <w:tabs>
          <w:tab w:val="right" w:leader="dot" w:pos="9016"/>
        </w:tabs>
        <w:rPr>
          <w:rFonts w:eastAsiaTheme="minorEastAsia"/>
          <w:noProof/>
          <w:lang w:eastAsia="en-GB"/>
        </w:rPr>
      </w:pPr>
      <w:hyperlink w:anchor="_Toc518658170" w:history="1">
        <w:r w:rsidRPr="008103EA">
          <w:rPr>
            <w:rStyle w:val="Hyperlink"/>
            <w:noProof/>
          </w:rPr>
          <w:t>Figure 2. Number of trips of netters, otter and beam trawls, targeting monkfish in ICES area VII, between 2014 and 2017 (Data source: UK Offcial landings).</w:t>
        </w:r>
        <w:r>
          <w:rPr>
            <w:noProof/>
            <w:webHidden/>
          </w:rPr>
          <w:tab/>
        </w:r>
        <w:r>
          <w:rPr>
            <w:noProof/>
            <w:webHidden/>
          </w:rPr>
          <w:fldChar w:fldCharType="begin"/>
        </w:r>
        <w:r>
          <w:rPr>
            <w:noProof/>
            <w:webHidden/>
          </w:rPr>
          <w:instrText xml:space="preserve"> PAGEREF _Toc518658170 \h </w:instrText>
        </w:r>
        <w:r>
          <w:rPr>
            <w:noProof/>
            <w:webHidden/>
          </w:rPr>
        </w:r>
        <w:r>
          <w:rPr>
            <w:noProof/>
            <w:webHidden/>
          </w:rPr>
          <w:fldChar w:fldCharType="separate"/>
        </w:r>
        <w:r>
          <w:rPr>
            <w:noProof/>
            <w:webHidden/>
          </w:rPr>
          <w:t>7</w:t>
        </w:r>
        <w:r>
          <w:rPr>
            <w:noProof/>
            <w:webHidden/>
          </w:rPr>
          <w:fldChar w:fldCharType="end"/>
        </w:r>
      </w:hyperlink>
    </w:p>
    <w:p w14:paraId="288657A1" w14:textId="5A21EE4C" w:rsidR="00AD18C0" w:rsidRDefault="00AD18C0">
      <w:pPr>
        <w:pStyle w:val="TableofFigures"/>
        <w:tabs>
          <w:tab w:val="right" w:leader="dot" w:pos="9016"/>
        </w:tabs>
        <w:rPr>
          <w:rFonts w:eastAsiaTheme="minorEastAsia"/>
          <w:noProof/>
          <w:lang w:eastAsia="en-GB"/>
        </w:rPr>
      </w:pPr>
      <w:hyperlink w:anchor="_Toc518658171" w:history="1">
        <w:r w:rsidRPr="008103EA">
          <w:rPr>
            <w:rStyle w:val="Hyperlink"/>
            <w:noProof/>
          </w:rPr>
          <w:t>Table 1 Unit of Assessments</w:t>
        </w:r>
        <w:r>
          <w:rPr>
            <w:noProof/>
            <w:webHidden/>
          </w:rPr>
          <w:tab/>
        </w:r>
        <w:r>
          <w:rPr>
            <w:noProof/>
            <w:webHidden/>
          </w:rPr>
          <w:fldChar w:fldCharType="begin"/>
        </w:r>
        <w:r>
          <w:rPr>
            <w:noProof/>
            <w:webHidden/>
          </w:rPr>
          <w:instrText xml:space="preserve"> PAGEREF _Toc518658171 \h </w:instrText>
        </w:r>
        <w:r>
          <w:rPr>
            <w:noProof/>
            <w:webHidden/>
          </w:rPr>
        </w:r>
        <w:r>
          <w:rPr>
            <w:noProof/>
            <w:webHidden/>
          </w:rPr>
          <w:fldChar w:fldCharType="separate"/>
        </w:r>
        <w:r>
          <w:rPr>
            <w:noProof/>
            <w:webHidden/>
          </w:rPr>
          <w:t>8</w:t>
        </w:r>
        <w:r>
          <w:rPr>
            <w:noProof/>
            <w:webHidden/>
          </w:rPr>
          <w:fldChar w:fldCharType="end"/>
        </w:r>
      </w:hyperlink>
    </w:p>
    <w:p w14:paraId="44DC7E2D" w14:textId="46F12296" w:rsidR="00AD18C0" w:rsidRDefault="00AD18C0">
      <w:pPr>
        <w:pStyle w:val="TableofFigures"/>
        <w:tabs>
          <w:tab w:val="right" w:leader="dot" w:pos="9016"/>
        </w:tabs>
        <w:rPr>
          <w:rFonts w:eastAsiaTheme="minorEastAsia"/>
          <w:noProof/>
          <w:lang w:eastAsia="en-GB"/>
        </w:rPr>
      </w:pPr>
      <w:hyperlink w:anchor="_Toc518658172" w:history="1">
        <w:r w:rsidRPr="008103EA">
          <w:rPr>
            <w:rStyle w:val="Hyperlink"/>
            <w:noProof/>
          </w:rPr>
          <w:t>Table 2 Number of trips sampled for each gear type, between 2014 and 2017, in ICES areas VIIb-k.</w:t>
        </w:r>
        <w:r>
          <w:rPr>
            <w:noProof/>
            <w:webHidden/>
          </w:rPr>
          <w:tab/>
        </w:r>
        <w:r>
          <w:rPr>
            <w:noProof/>
            <w:webHidden/>
          </w:rPr>
          <w:fldChar w:fldCharType="begin"/>
        </w:r>
        <w:r>
          <w:rPr>
            <w:noProof/>
            <w:webHidden/>
          </w:rPr>
          <w:instrText xml:space="preserve"> PAGEREF _Toc518658172 \h </w:instrText>
        </w:r>
        <w:r>
          <w:rPr>
            <w:noProof/>
            <w:webHidden/>
          </w:rPr>
        </w:r>
        <w:r>
          <w:rPr>
            <w:noProof/>
            <w:webHidden/>
          </w:rPr>
          <w:fldChar w:fldCharType="separate"/>
        </w:r>
        <w:r>
          <w:rPr>
            <w:noProof/>
            <w:webHidden/>
          </w:rPr>
          <w:t>9</w:t>
        </w:r>
        <w:r>
          <w:rPr>
            <w:noProof/>
            <w:webHidden/>
          </w:rPr>
          <w:fldChar w:fldCharType="end"/>
        </w:r>
      </w:hyperlink>
    </w:p>
    <w:p w14:paraId="59E15126" w14:textId="43959806" w:rsidR="00AD18C0" w:rsidRDefault="00AD18C0">
      <w:pPr>
        <w:pStyle w:val="TableofFigures"/>
        <w:tabs>
          <w:tab w:val="right" w:leader="dot" w:pos="9016"/>
        </w:tabs>
        <w:rPr>
          <w:rFonts w:eastAsiaTheme="minorEastAsia"/>
          <w:noProof/>
          <w:lang w:eastAsia="en-GB"/>
        </w:rPr>
      </w:pPr>
      <w:hyperlink w:anchor="_Toc518658173" w:history="1">
        <w:r w:rsidRPr="008103EA">
          <w:rPr>
            <w:rStyle w:val="Hyperlink"/>
            <w:noProof/>
          </w:rPr>
          <w:t>Table 3. Life history attributes for productivity assessment and cut off scores for risk levels.</w:t>
        </w:r>
        <w:r>
          <w:rPr>
            <w:noProof/>
            <w:webHidden/>
          </w:rPr>
          <w:tab/>
        </w:r>
        <w:r>
          <w:rPr>
            <w:noProof/>
            <w:webHidden/>
          </w:rPr>
          <w:fldChar w:fldCharType="begin"/>
        </w:r>
        <w:r>
          <w:rPr>
            <w:noProof/>
            <w:webHidden/>
          </w:rPr>
          <w:instrText xml:space="preserve"> PAGEREF _Toc518658173 \h </w:instrText>
        </w:r>
        <w:r>
          <w:rPr>
            <w:noProof/>
            <w:webHidden/>
          </w:rPr>
        </w:r>
        <w:r>
          <w:rPr>
            <w:noProof/>
            <w:webHidden/>
          </w:rPr>
          <w:fldChar w:fldCharType="separate"/>
        </w:r>
        <w:r>
          <w:rPr>
            <w:noProof/>
            <w:webHidden/>
          </w:rPr>
          <w:t>10</w:t>
        </w:r>
        <w:r>
          <w:rPr>
            <w:noProof/>
            <w:webHidden/>
          </w:rPr>
          <w:fldChar w:fldCharType="end"/>
        </w:r>
      </w:hyperlink>
    </w:p>
    <w:p w14:paraId="33F2FF9D" w14:textId="2D42F5EB" w:rsidR="00AD18C0" w:rsidRDefault="00AD18C0">
      <w:pPr>
        <w:pStyle w:val="TableofFigures"/>
        <w:tabs>
          <w:tab w:val="right" w:leader="dot" w:pos="9016"/>
        </w:tabs>
        <w:rPr>
          <w:rFonts w:eastAsiaTheme="minorEastAsia"/>
          <w:noProof/>
          <w:lang w:eastAsia="en-GB"/>
        </w:rPr>
      </w:pPr>
      <w:hyperlink w:anchor="_Toc518658174" w:history="1">
        <w:r w:rsidRPr="008103EA">
          <w:rPr>
            <w:rStyle w:val="Hyperlink"/>
            <w:noProof/>
          </w:rPr>
          <w:t>Table 4. Vulnerability attributes for scoring risk levels to the fisheries.</w:t>
        </w:r>
        <w:r>
          <w:rPr>
            <w:noProof/>
            <w:webHidden/>
          </w:rPr>
          <w:tab/>
        </w:r>
        <w:r>
          <w:rPr>
            <w:noProof/>
            <w:webHidden/>
          </w:rPr>
          <w:fldChar w:fldCharType="begin"/>
        </w:r>
        <w:r>
          <w:rPr>
            <w:noProof/>
            <w:webHidden/>
          </w:rPr>
          <w:instrText xml:space="preserve"> PAGEREF _Toc518658174 \h </w:instrText>
        </w:r>
        <w:r>
          <w:rPr>
            <w:noProof/>
            <w:webHidden/>
          </w:rPr>
        </w:r>
        <w:r>
          <w:rPr>
            <w:noProof/>
            <w:webHidden/>
          </w:rPr>
          <w:fldChar w:fldCharType="separate"/>
        </w:r>
        <w:r>
          <w:rPr>
            <w:noProof/>
            <w:webHidden/>
          </w:rPr>
          <w:t>13</w:t>
        </w:r>
        <w:r>
          <w:rPr>
            <w:noProof/>
            <w:webHidden/>
          </w:rPr>
          <w:fldChar w:fldCharType="end"/>
        </w:r>
      </w:hyperlink>
    </w:p>
    <w:p w14:paraId="0C44F797" w14:textId="78F4CAAB" w:rsidR="00AD18C0" w:rsidRDefault="00AD18C0">
      <w:pPr>
        <w:pStyle w:val="TableofFigures"/>
        <w:tabs>
          <w:tab w:val="right" w:leader="dot" w:pos="9016"/>
        </w:tabs>
        <w:rPr>
          <w:rFonts w:eastAsiaTheme="minorEastAsia"/>
          <w:noProof/>
          <w:lang w:eastAsia="en-GB"/>
        </w:rPr>
      </w:pPr>
      <w:hyperlink w:anchor="_Toc518658175" w:history="1">
        <w:r w:rsidRPr="008103EA">
          <w:rPr>
            <w:rStyle w:val="Hyperlink"/>
            <w:noProof/>
          </w:rPr>
          <w:t>Table 5. Catch profile – Mean annual Landings and discards, between 2015 and 2017 (Data sources: Official landings database and Cefas Observer programme for discards estimates).</w:t>
        </w:r>
        <w:r>
          <w:rPr>
            <w:noProof/>
            <w:webHidden/>
          </w:rPr>
          <w:tab/>
        </w:r>
        <w:r>
          <w:rPr>
            <w:noProof/>
            <w:webHidden/>
          </w:rPr>
          <w:fldChar w:fldCharType="begin"/>
        </w:r>
        <w:r>
          <w:rPr>
            <w:noProof/>
            <w:webHidden/>
          </w:rPr>
          <w:instrText xml:space="preserve"> PAGEREF _Toc518658175 \h </w:instrText>
        </w:r>
        <w:r>
          <w:rPr>
            <w:noProof/>
            <w:webHidden/>
          </w:rPr>
        </w:r>
        <w:r>
          <w:rPr>
            <w:noProof/>
            <w:webHidden/>
          </w:rPr>
          <w:fldChar w:fldCharType="separate"/>
        </w:r>
        <w:r>
          <w:rPr>
            <w:noProof/>
            <w:webHidden/>
          </w:rPr>
          <w:t>15</w:t>
        </w:r>
        <w:r>
          <w:rPr>
            <w:noProof/>
            <w:webHidden/>
          </w:rPr>
          <w:fldChar w:fldCharType="end"/>
        </w:r>
      </w:hyperlink>
    </w:p>
    <w:p w14:paraId="4CDB0F41" w14:textId="49EA14FA" w:rsidR="00AD18C0" w:rsidRDefault="00AD18C0">
      <w:pPr>
        <w:pStyle w:val="TableofFigures"/>
        <w:tabs>
          <w:tab w:val="right" w:leader="dot" w:pos="9016"/>
        </w:tabs>
        <w:rPr>
          <w:rFonts w:eastAsiaTheme="minorEastAsia"/>
          <w:noProof/>
          <w:lang w:eastAsia="en-GB"/>
        </w:rPr>
      </w:pPr>
      <w:hyperlink w:anchor="_Toc518658176" w:history="1">
        <w:r w:rsidRPr="008103EA">
          <w:rPr>
            <w:rStyle w:val="Hyperlink"/>
            <w:noProof/>
          </w:rPr>
          <w:t>Table 6. Productivity score for each Secondary species identified for the monkfish species, demersal trawl, beam trawl and netters.</w:t>
        </w:r>
        <w:r>
          <w:rPr>
            <w:noProof/>
            <w:webHidden/>
          </w:rPr>
          <w:tab/>
        </w:r>
        <w:r>
          <w:rPr>
            <w:noProof/>
            <w:webHidden/>
          </w:rPr>
          <w:fldChar w:fldCharType="begin"/>
        </w:r>
        <w:r>
          <w:rPr>
            <w:noProof/>
            <w:webHidden/>
          </w:rPr>
          <w:instrText xml:space="preserve"> PAGEREF _Toc518658176 \h </w:instrText>
        </w:r>
        <w:r>
          <w:rPr>
            <w:noProof/>
            <w:webHidden/>
          </w:rPr>
        </w:r>
        <w:r>
          <w:rPr>
            <w:noProof/>
            <w:webHidden/>
          </w:rPr>
          <w:fldChar w:fldCharType="separate"/>
        </w:r>
        <w:r>
          <w:rPr>
            <w:noProof/>
            <w:webHidden/>
          </w:rPr>
          <w:t>18</w:t>
        </w:r>
        <w:r>
          <w:rPr>
            <w:noProof/>
            <w:webHidden/>
          </w:rPr>
          <w:fldChar w:fldCharType="end"/>
        </w:r>
      </w:hyperlink>
    </w:p>
    <w:p w14:paraId="0AE521AF" w14:textId="3C4FD84B" w:rsidR="00AD18C0" w:rsidRDefault="00AD18C0">
      <w:pPr>
        <w:pStyle w:val="TableofFigures"/>
        <w:tabs>
          <w:tab w:val="right" w:leader="dot" w:pos="9016"/>
        </w:tabs>
        <w:rPr>
          <w:rFonts w:eastAsiaTheme="minorEastAsia"/>
          <w:noProof/>
          <w:lang w:eastAsia="en-GB"/>
        </w:rPr>
      </w:pPr>
      <w:hyperlink w:anchor="_Toc518658177" w:history="1">
        <w:r w:rsidRPr="008103EA">
          <w:rPr>
            <w:rStyle w:val="Hyperlink"/>
            <w:noProof/>
          </w:rPr>
          <w:t>Table 7. Susceptibility score for secondary species from tangle/trammel and gill nets.</w:t>
        </w:r>
        <w:r>
          <w:rPr>
            <w:noProof/>
            <w:webHidden/>
          </w:rPr>
          <w:tab/>
        </w:r>
        <w:r>
          <w:rPr>
            <w:noProof/>
            <w:webHidden/>
          </w:rPr>
          <w:fldChar w:fldCharType="begin"/>
        </w:r>
        <w:r>
          <w:rPr>
            <w:noProof/>
            <w:webHidden/>
          </w:rPr>
          <w:instrText xml:space="preserve"> PAGEREF _Toc518658177 \h </w:instrText>
        </w:r>
        <w:r>
          <w:rPr>
            <w:noProof/>
            <w:webHidden/>
          </w:rPr>
        </w:r>
        <w:r>
          <w:rPr>
            <w:noProof/>
            <w:webHidden/>
          </w:rPr>
          <w:fldChar w:fldCharType="separate"/>
        </w:r>
        <w:r>
          <w:rPr>
            <w:noProof/>
            <w:webHidden/>
          </w:rPr>
          <w:t>20</w:t>
        </w:r>
        <w:r>
          <w:rPr>
            <w:noProof/>
            <w:webHidden/>
          </w:rPr>
          <w:fldChar w:fldCharType="end"/>
        </w:r>
      </w:hyperlink>
    </w:p>
    <w:p w14:paraId="1349EDB9" w14:textId="778CE116" w:rsidR="00AD18C0" w:rsidRDefault="00AD18C0">
      <w:pPr>
        <w:pStyle w:val="TableofFigures"/>
        <w:tabs>
          <w:tab w:val="right" w:leader="dot" w:pos="9016"/>
        </w:tabs>
        <w:rPr>
          <w:rFonts w:eastAsiaTheme="minorEastAsia"/>
          <w:noProof/>
          <w:lang w:eastAsia="en-GB"/>
        </w:rPr>
      </w:pPr>
      <w:hyperlink w:anchor="_Toc518658178" w:history="1">
        <w:r w:rsidRPr="008103EA">
          <w:rPr>
            <w:rStyle w:val="Hyperlink"/>
            <w:noProof/>
          </w:rPr>
          <w:t>Table 8. Susceptibility score for secondary species from demersal trawls, targeting monkfish.</w:t>
        </w:r>
        <w:r>
          <w:rPr>
            <w:noProof/>
            <w:webHidden/>
          </w:rPr>
          <w:tab/>
        </w:r>
        <w:r>
          <w:rPr>
            <w:noProof/>
            <w:webHidden/>
          </w:rPr>
          <w:fldChar w:fldCharType="begin"/>
        </w:r>
        <w:r>
          <w:rPr>
            <w:noProof/>
            <w:webHidden/>
          </w:rPr>
          <w:instrText xml:space="preserve"> PAGEREF _Toc518658178 \h </w:instrText>
        </w:r>
        <w:r>
          <w:rPr>
            <w:noProof/>
            <w:webHidden/>
          </w:rPr>
        </w:r>
        <w:r>
          <w:rPr>
            <w:noProof/>
            <w:webHidden/>
          </w:rPr>
          <w:fldChar w:fldCharType="separate"/>
        </w:r>
        <w:r>
          <w:rPr>
            <w:noProof/>
            <w:webHidden/>
          </w:rPr>
          <w:t>21</w:t>
        </w:r>
        <w:r>
          <w:rPr>
            <w:noProof/>
            <w:webHidden/>
          </w:rPr>
          <w:fldChar w:fldCharType="end"/>
        </w:r>
      </w:hyperlink>
    </w:p>
    <w:p w14:paraId="1631A00F" w14:textId="74AFD8F9" w:rsidR="00AD18C0" w:rsidRDefault="00AD18C0">
      <w:pPr>
        <w:pStyle w:val="TableofFigures"/>
        <w:tabs>
          <w:tab w:val="right" w:leader="dot" w:pos="9016"/>
        </w:tabs>
        <w:rPr>
          <w:rFonts w:eastAsiaTheme="minorEastAsia"/>
          <w:noProof/>
          <w:lang w:eastAsia="en-GB"/>
        </w:rPr>
      </w:pPr>
      <w:hyperlink w:anchor="_Toc518658179" w:history="1">
        <w:r w:rsidRPr="008103EA">
          <w:rPr>
            <w:rStyle w:val="Hyperlink"/>
            <w:noProof/>
          </w:rPr>
          <w:t>Table 9. Susceptibility score for secondary species from beam trawls.</w:t>
        </w:r>
        <w:r>
          <w:rPr>
            <w:noProof/>
            <w:webHidden/>
          </w:rPr>
          <w:tab/>
        </w:r>
        <w:r>
          <w:rPr>
            <w:noProof/>
            <w:webHidden/>
          </w:rPr>
          <w:fldChar w:fldCharType="begin"/>
        </w:r>
        <w:r>
          <w:rPr>
            <w:noProof/>
            <w:webHidden/>
          </w:rPr>
          <w:instrText xml:space="preserve"> PAGEREF _Toc518658179 \h </w:instrText>
        </w:r>
        <w:r>
          <w:rPr>
            <w:noProof/>
            <w:webHidden/>
          </w:rPr>
        </w:r>
        <w:r>
          <w:rPr>
            <w:noProof/>
            <w:webHidden/>
          </w:rPr>
          <w:fldChar w:fldCharType="separate"/>
        </w:r>
        <w:r>
          <w:rPr>
            <w:noProof/>
            <w:webHidden/>
          </w:rPr>
          <w:t>22</w:t>
        </w:r>
        <w:r>
          <w:rPr>
            <w:noProof/>
            <w:webHidden/>
          </w:rPr>
          <w:fldChar w:fldCharType="end"/>
        </w:r>
      </w:hyperlink>
    </w:p>
    <w:p w14:paraId="08D62EBA" w14:textId="1AC43CBA" w:rsidR="00AD18C0" w:rsidRDefault="00AD18C0">
      <w:pPr>
        <w:pStyle w:val="TableofFigures"/>
        <w:tabs>
          <w:tab w:val="right" w:leader="dot" w:pos="9016"/>
        </w:tabs>
        <w:rPr>
          <w:rFonts w:eastAsiaTheme="minorEastAsia"/>
          <w:noProof/>
          <w:lang w:eastAsia="en-GB"/>
        </w:rPr>
      </w:pPr>
      <w:hyperlink w:anchor="_Toc518658180" w:history="1">
        <w:r w:rsidRPr="008103EA">
          <w:rPr>
            <w:rStyle w:val="Hyperlink"/>
            <w:noProof/>
          </w:rPr>
          <w:t>Table 10. Productivity and susceptibility scores and final PSA score for the monkfish fisheries main secondary species.</w:t>
        </w:r>
        <w:r>
          <w:rPr>
            <w:noProof/>
            <w:webHidden/>
          </w:rPr>
          <w:tab/>
        </w:r>
        <w:r>
          <w:rPr>
            <w:noProof/>
            <w:webHidden/>
          </w:rPr>
          <w:fldChar w:fldCharType="begin"/>
        </w:r>
        <w:r>
          <w:rPr>
            <w:noProof/>
            <w:webHidden/>
          </w:rPr>
          <w:instrText xml:space="preserve"> PAGEREF _Toc518658180 \h </w:instrText>
        </w:r>
        <w:r>
          <w:rPr>
            <w:noProof/>
            <w:webHidden/>
          </w:rPr>
        </w:r>
        <w:r>
          <w:rPr>
            <w:noProof/>
            <w:webHidden/>
          </w:rPr>
          <w:fldChar w:fldCharType="separate"/>
        </w:r>
        <w:r>
          <w:rPr>
            <w:noProof/>
            <w:webHidden/>
          </w:rPr>
          <w:t>24</w:t>
        </w:r>
        <w:r>
          <w:rPr>
            <w:noProof/>
            <w:webHidden/>
          </w:rPr>
          <w:fldChar w:fldCharType="end"/>
        </w:r>
      </w:hyperlink>
    </w:p>
    <w:p w14:paraId="1BCB4FCB" w14:textId="4BAD1A5C" w:rsidR="00AD18C0" w:rsidRDefault="00AD18C0">
      <w:pPr>
        <w:pStyle w:val="TableofFigures"/>
        <w:tabs>
          <w:tab w:val="right" w:leader="dot" w:pos="9016"/>
        </w:tabs>
        <w:rPr>
          <w:rFonts w:eastAsiaTheme="minorEastAsia"/>
          <w:noProof/>
          <w:lang w:eastAsia="en-GB"/>
        </w:rPr>
      </w:pPr>
      <w:hyperlink w:anchor="_Toc518658181" w:history="1">
        <w:r w:rsidRPr="008103EA">
          <w:rPr>
            <w:rStyle w:val="Hyperlink"/>
            <w:noProof/>
          </w:rPr>
          <w:t>Figure 3. Overall risk of netters to secondary species.</w:t>
        </w:r>
        <w:r>
          <w:rPr>
            <w:noProof/>
            <w:webHidden/>
          </w:rPr>
          <w:tab/>
        </w:r>
        <w:r>
          <w:rPr>
            <w:noProof/>
            <w:webHidden/>
          </w:rPr>
          <w:fldChar w:fldCharType="begin"/>
        </w:r>
        <w:r>
          <w:rPr>
            <w:noProof/>
            <w:webHidden/>
          </w:rPr>
          <w:instrText xml:space="preserve"> PAGEREF _Toc518658181 \h </w:instrText>
        </w:r>
        <w:r>
          <w:rPr>
            <w:noProof/>
            <w:webHidden/>
          </w:rPr>
        </w:r>
        <w:r>
          <w:rPr>
            <w:noProof/>
            <w:webHidden/>
          </w:rPr>
          <w:fldChar w:fldCharType="separate"/>
        </w:r>
        <w:r>
          <w:rPr>
            <w:noProof/>
            <w:webHidden/>
          </w:rPr>
          <w:t>25</w:t>
        </w:r>
        <w:r>
          <w:rPr>
            <w:noProof/>
            <w:webHidden/>
          </w:rPr>
          <w:fldChar w:fldCharType="end"/>
        </w:r>
      </w:hyperlink>
    </w:p>
    <w:p w14:paraId="61C0D764" w14:textId="0ABCB29F" w:rsidR="00AD18C0" w:rsidRDefault="00AD18C0">
      <w:pPr>
        <w:pStyle w:val="TableofFigures"/>
        <w:tabs>
          <w:tab w:val="right" w:leader="dot" w:pos="9016"/>
        </w:tabs>
        <w:rPr>
          <w:rFonts w:eastAsiaTheme="minorEastAsia"/>
          <w:noProof/>
          <w:lang w:eastAsia="en-GB"/>
        </w:rPr>
      </w:pPr>
      <w:hyperlink w:anchor="_Toc518658182" w:history="1">
        <w:r w:rsidRPr="008103EA">
          <w:rPr>
            <w:rStyle w:val="Hyperlink"/>
            <w:noProof/>
          </w:rPr>
          <w:t>Figure 4. Overall risk of demersal trawls to secondary species.</w:t>
        </w:r>
        <w:r>
          <w:rPr>
            <w:noProof/>
            <w:webHidden/>
          </w:rPr>
          <w:tab/>
        </w:r>
        <w:r>
          <w:rPr>
            <w:noProof/>
            <w:webHidden/>
          </w:rPr>
          <w:fldChar w:fldCharType="begin"/>
        </w:r>
        <w:r>
          <w:rPr>
            <w:noProof/>
            <w:webHidden/>
          </w:rPr>
          <w:instrText xml:space="preserve"> PAGEREF _Toc518658182 \h </w:instrText>
        </w:r>
        <w:r>
          <w:rPr>
            <w:noProof/>
            <w:webHidden/>
          </w:rPr>
        </w:r>
        <w:r>
          <w:rPr>
            <w:noProof/>
            <w:webHidden/>
          </w:rPr>
          <w:fldChar w:fldCharType="separate"/>
        </w:r>
        <w:r>
          <w:rPr>
            <w:noProof/>
            <w:webHidden/>
          </w:rPr>
          <w:t>25</w:t>
        </w:r>
        <w:r>
          <w:rPr>
            <w:noProof/>
            <w:webHidden/>
          </w:rPr>
          <w:fldChar w:fldCharType="end"/>
        </w:r>
      </w:hyperlink>
    </w:p>
    <w:p w14:paraId="3E13FD75" w14:textId="75316A38" w:rsidR="00AD18C0" w:rsidRDefault="00AD18C0">
      <w:pPr>
        <w:pStyle w:val="TableofFigures"/>
        <w:tabs>
          <w:tab w:val="right" w:leader="dot" w:pos="9016"/>
        </w:tabs>
        <w:rPr>
          <w:rFonts w:eastAsiaTheme="minorEastAsia"/>
          <w:noProof/>
          <w:lang w:eastAsia="en-GB"/>
        </w:rPr>
      </w:pPr>
      <w:hyperlink w:anchor="_Toc518658183" w:history="1">
        <w:r w:rsidRPr="008103EA">
          <w:rPr>
            <w:rStyle w:val="Hyperlink"/>
            <w:noProof/>
          </w:rPr>
          <w:t>Figure 5. Overall risk of beam trawls to secondary species.</w:t>
        </w:r>
        <w:r>
          <w:rPr>
            <w:noProof/>
            <w:webHidden/>
          </w:rPr>
          <w:tab/>
        </w:r>
        <w:r>
          <w:rPr>
            <w:noProof/>
            <w:webHidden/>
          </w:rPr>
          <w:fldChar w:fldCharType="begin"/>
        </w:r>
        <w:r>
          <w:rPr>
            <w:noProof/>
            <w:webHidden/>
          </w:rPr>
          <w:instrText xml:space="preserve"> PAGEREF _Toc518658183 \h </w:instrText>
        </w:r>
        <w:r>
          <w:rPr>
            <w:noProof/>
            <w:webHidden/>
          </w:rPr>
        </w:r>
        <w:r>
          <w:rPr>
            <w:noProof/>
            <w:webHidden/>
          </w:rPr>
          <w:fldChar w:fldCharType="separate"/>
        </w:r>
        <w:r>
          <w:rPr>
            <w:noProof/>
            <w:webHidden/>
          </w:rPr>
          <w:t>26</w:t>
        </w:r>
        <w:r>
          <w:rPr>
            <w:noProof/>
            <w:webHidden/>
          </w:rPr>
          <w:fldChar w:fldCharType="end"/>
        </w:r>
      </w:hyperlink>
    </w:p>
    <w:p w14:paraId="25C9CE9A" w14:textId="3D0CFBCC" w:rsidR="008464AA" w:rsidRDefault="006744DB" w:rsidP="00AD18C0">
      <w:pPr>
        <w:pStyle w:val="Heading1"/>
      </w:pPr>
      <w:r>
        <w:lastRenderedPageBreak/>
        <w:fldChar w:fldCharType="end"/>
      </w:r>
      <w:bookmarkStart w:id="0" w:name="_Toc455137043"/>
      <w:bookmarkStart w:id="1" w:name="_Toc518658137"/>
      <w:r w:rsidR="00EA60DC">
        <w:t>I</w:t>
      </w:r>
      <w:r w:rsidR="008464AA">
        <w:t>ntroduction</w:t>
      </w:r>
      <w:bookmarkEnd w:id="0"/>
      <w:bookmarkEnd w:id="1"/>
    </w:p>
    <w:p w14:paraId="3D2DF055" w14:textId="71ED54EB" w:rsidR="003C4EE5" w:rsidRDefault="003C4EE5" w:rsidP="003C4EE5">
      <w:pPr>
        <w:spacing w:after="0"/>
        <w:ind w:left="0"/>
      </w:pPr>
      <w:r>
        <w:t>In 2017, Cefas was commissioned to contribute to the Seafish Project UK Fisheries Improvements (PUKFI</w:t>
      </w:r>
      <w:r>
        <w:rPr>
          <w:rStyle w:val="FootnoteReference"/>
        </w:rPr>
        <w:footnoteReference w:id="1"/>
      </w:r>
      <w:r>
        <w:t xml:space="preserve">) project. </w:t>
      </w:r>
      <w:r>
        <w:rPr>
          <w:rFonts w:cs="Calibri"/>
        </w:rPr>
        <w:t xml:space="preserve">This initiative is a multi-stakeholder engagement process working towards achieving an environmentally sustainable future for UK fisheries by engaging </w:t>
      </w:r>
      <w:r w:rsidR="00DB2E87">
        <w:rPr>
          <w:rFonts w:cs="Calibri"/>
        </w:rPr>
        <w:t xml:space="preserve">with </w:t>
      </w:r>
      <w:r>
        <w:rPr>
          <w:rFonts w:cs="Calibri"/>
        </w:rPr>
        <w:t xml:space="preserve">six fisheries selected for their importance to the UK market (in particular UK supermarket chains).  The project is led by Seafish and the </w:t>
      </w:r>
      <w:r w:rsidR="00757551">
        <w:rPr>
          <w:rFonts w:cs="Calibri"/>
        </w:rPr>
        <w:t>MSC a</w:t>
      </w:r>
      <w:r>
        <w:rPr>
          <w:rFonts w:cs="Calibri"/>
        </w:rPr>
        <w:t xml:space="preserve">nd aims to work towards an environmentally sustainable future for UK fisheries. It will do this through determining the environmental performance of key commercial fisheries, demonstrate how </w:t>
      </w:r>
      <w:r w:rsidR="00DB2E87">
        <w:rPr>
          <w:rFonts w:cs="Calibri"/>
        </w:rPr>
        <w:t xml:space="preserve">sustainability can be enhanced </w:t>
      </w:r>
      <w:r>
        <w:rPr>
          <w:rFonts w:cs="Calibri"/>
        </w:rPr>
        <w:t xml:space="preserve">through Fishery Improvement Projects (FIPs) and ultimately achieve MSC certification where possible.  Several fisheries were selected due to their importance for the UK market. One of which is the Western and Channel Monkfish beam trawl, demersal trawl, tangle/trammel and gillnets fisheries, in ICES areas VIIb-k, VIII a,b,d.  </w:t>
      </w:r>
    </w:p>
    <w:p w14:paraId="2669CAEB" w14:textId="77777777" w:rsidR="003C4EE5" w:rsidRDefault="003C4EE5" w:rsidP="003C4EE5">
      <w:pPr>
        <w:autoSpaceDE w:val="0"/>
        <w:autoSpaceDN w:val="0"/>
        <w:adjustRightInd w:val="0"/>
        <w:spacing w:after="0"/>
        <w:ind w:left="0"/>
        <w:rPr>
          <w:rFonts w:ascii="Calibri" w:hAnsi="Calibri" w:cs="Calibri"/>
        </w:rPr>
      </w:pPr>
    </w:p>
    <w:p w14:paraId="439A6247" w14:textId="77777777" w:rsidR="003C4EE5" w:rsidRDefault="003C4EE5" w:rsidP="003C4EE5">
      <w:pPr>
        <w:pStyle w:val="Heading2"/>
      </w:pPr>
      <w:bookmarkStart w:id="2" w:name="_Toc516750532"/>
      <w:bookmarkStart w:id="3" w:name="_Toc518658138"/>
      <w:r>
        <w:t>Aims and scope of work</w:t>
      </w:r>
      <w:bookmarkEnd w:id="2"/>
      <w:bookmarkEnd w:id="3"/>
    </w:p>
    <w:p w14:paraId="14B90D85" w14:textId="02FA5A6D" w:rsidR="003C4EE5" w:rsidRPr="00101CCB" w:rsidRDefault="003C4EE5" w:rsidP="003C4EE5">
      <w:pPr>
        <w:spacing w:after="0"/>
        <w:ind w:left="0"/>
      </w:pPr>
      <w:r>
        <w:rPr>
          <w:rFonts w:cs="Calibri"/>
        </w:rPr>
        <w:t xml:space="preserve">Under the MSC certification process Principle 1 covers the sustainability and management of the target stocks, while Principle 2 requires that fishing activity must be managed carefully so that other species </w:t>
      </w:r>
      <w:r w:rsidR="00DB2E87">
        <w:rPr>
          <w:rFonts w:cs="Calibri"/>
        </w:rPr>
        <w:t xml:space="preserve">and </w:t>
      </w:r>
      <w:r>
        <w:rPr>
          <w:rFonts w:cs="Calibri"/>
        </w:rPr>
        <w:t>other habitats within the ecosystem remain healthy. Other species are defined as primary; secondary; and endangered, threatened or protected (ETP) species. Primary species are species where management tools and measures are in place, intended to achieve stock management objectives reflected in either limit or target reference points, while secondary species are those lacking such management tools and are not classified a</w:t>
      </w:r>
      <w:r w:rsidR="00DB2E87">
        <w:rPr>
          <w:rFonts w:cs="Calibri"/>
        </w:rPr>
        <w:t>s</w:t>
      </w:r>
      <w:r>
        <w:rPr>
          <w:rFonts w:cs="Calibri"/>
        </w:rPr>
        <w:t xml:space="preserve"> ETP. </w:t>
      </w:r>
    </w:p>
    <w:p w14:paraId="1A4864FC" w14:textId="7A2A9600" w:rsidR="003C4EE5" w:rsidRPr="00101CCB" w:rsidRDefault="003C4EE5" w:rsidP="003C4EE5">
      <w:pPr>
        <w:spacing w:after="0"/>
        <w:ind w:left="0"/>
      </w:pPr>
      <w:r>
        <w:rPr>
          <w:rFonts w:cs="Calibri"/>
        </w:rPr>
        <w:t xml:space="preserve">Due to </w:t>
      </w:r>
      <w:r w:rsidR="00757551">
        <w:rPr>
          <w:rFonts w:cs="Calibri"/>
        </w:rPr>
        <w:t>the limited d</w:t>
      </w:r>
      <w:r>
        <w:rPr>
          <w:rFonts w:cs="Calibri"/>
        </w:rPr>
        <w:t>ata for secondary species it is not possible to perform an assessment using the default methods, therefore a Productivity Susceptibility Analysis (PSA) is used to assesses how like</w:t>
      </w:r>
      <w:r w:rsidR="00AD18C0">
        <w:rPr>
          <w:rFonts w:cs="Calibri"/>
        </w:rPr>
        <w:t xml:space="preserve">ly a </w:t>
      </w:r>
      <w:r>
        <w:rPr>
          <w:rFonts w:cs="Calibri"/>
        </w:rPr>
        <w:t>main secondary species are likely to recover when depleted.</w:t>
      </w:r>
    </w:p>
    <w:p w14:paraId="6656DDD4" w14:textId="2535F438" w:rsidR="003C4EE5" w:rsidRPr="00101CCB" w:rsidRDefault="003C4EE5" w:rsidP="003C4EE5">
      <w:pPr>
        <w:spacing w:after="0"/>
        <w:ind w:left="0"/>
      </w:pPr>
      <w:r>
        <w:rPr>
          <w:rFonts w:cs="Calibri"/>
        </w:rPr>
        <w:t xml:space="preserve">A species is defined as </w:t>
      </w:r>
      <w:r w:rsidR="00093958">
        <w:rPr>
          <w:rFonts w:cs="Calibri"/>
        </w:rPr>
        <w:t>‘</w:t>
      </w:r>
      <w:r>
        <w:rPr>
          <w:rFonts w:cs="Calibri"/>
        </w:rPr>
        <w:t>main</w:t>
      </w:r>
      <w:r w:rsidR="00093958">
        <w:rPr>
          <w:rFonts w:cs="Calibri"/>
        </w:rPr>
        <w:t>’</w:t>
      </w:r>
      <w:r>
        <w:rPr>
          <w:rFonts w:cs="Calibri"/>
        </w:rPr>
        <w:t xml:space="preserve"> where it represents ≥5% by weight of the total catch or ≥2% by weight of the total catch for species with intrinsically low resilience</w:t>
      </w:r>
      <w:r w:rsidR="00093958">
        <w:rPr>
          <w:rFonts w:cs="Calibri"/>
        </w:rPr>
        <w:t>.</w:t>
      </w:r>
    </w:p>
    <w:p w14:paraId="2D88F664" w14:textId="77777777" w:rsidR="003C4EE5" w:rsidRDefault="003C4EE5" w:rsidP="003C4EE5">
      <w:pPr>
        <w:autoSpaceDE w:val="0"/>
        <w:autoSpaceDN w:val="0"/>
        <w:adjustRightInd w:val="0"/>
        <w:spacing w:after="0"/>
        <w:ind w:left="0"/>
        <w:rPr>
          <w:rFonts w:ascii="Calibri" w:hAnsi="Calibri" w:cs="Calibri"/>
        </w:rPr>
      </w:pPr>
    </w:p>
    <w:p w14:paraId="7A613523" w14:textId="77777777" w:rsidR="003C4EE5" w:rsidRDefault="003C4EE5" w:rsidP="003C4EE5">
      <w:pPr>
        <w:spacing w:after="0"/>
        <w:ind w:left="0"/>
      </w:pPr>
      <w:r>
        <w:rPr>
          <w:rFonts w:cs="Calibri"/>
        </w:rPr>
        <w:t>The main aims and the scope of this study are to:</w:t>
      </w:r>
    </w:p>
    <w:p w14:paraId="7E40859C" w14:textId="38013B90" w:rsidR="003C4EE5" w:rsidRPr="00101CCB" w:rsidRDefault="003C4EE5" w:rsidP="003C4EE5">
      <w:pPr>
        <w:pStyle w:val="ListParagraph"/>
        <w:numPr>
          <w:ilvl w:val="0"/>
          <w:numId w:val="15"/>
        </w:numPr>
        <w:spacing w:after="0"/>
      </w:pPr>
      <w:r>
        <w:rPr>
          <w:rFonts w:cs="Calibri"/>
        </w:rPr>
        <w:t xml:space="preserve">Identify the main secondary species for demersal trawls, beam trawls, tangle/trammel and gillnets fisheries targeting monkfish in in the Celtic Sea, using English landings and discards data; </w:t>
      </w:r>
    </w:p>
    <w:p w14:paraId="0C52A24B" w14:textId="77777777" w:rsidR="003C4EE5" w:rsidRPr="00101CCB" w:rsidRDefault="003C4EE5" w:rsidP="003C4EE5">
      <w:pPr>
        <w:pStyle w:val="ListParagraph"/>
        <w:numPr>
          <w:ilvl w:val="0"/>
          <w:numId w:val="15"/>
        </w:numPr>
        <w:spacing w:after="0"/>
      </w:pPr>
      <w:r w:rsidRPr="00101CCB">
        <w:rPr>
          <w:rFonts w:cs="Calibri"/>
          <w:sz w:val="21"/>
          <w:szCs w:val="21"/>
        </w:rPr>
        <w:t>Undertake a Productivity-Susceptibility Analysis (PSA) for all main secondary species, by gear type.</w:t>
      </w:r>
    </w:p>
    <w:p w14:paraId="5928CB05" w14:textId="77777777" w:rsidR="003C4EE5" w:rsidRPr="0048553B" w:rsidRDefault="003C4EE5" w:rsidP="003C4EE5">
      <w:pPr>
        <w:pStyle w:val="ListParagraph"/>
        <w:spacing w:after="0"/>
      </w:pPr>
    </w:p>
    <w:p w14:paraId="0D016C5D" w14:textId="77777777" w:rsidR="003C4EE5" w:rsidRPr="00F30290" w:rsidRDefault="003C4EE5" w:rsidP="003C4EE5">
      <w:pPr>
        <w:pStyle w:val="Heading2"/>
      </w:pPr>
      <w:bookmarkStart w:id="4" w:name="_Toc516750533"/>
      <w:bookmarkStart w:id="5" w:name="_Toc518658139"/>
      <w:r>
        <w:t>Background of fishery</w:t>
      </w:r>
      <w:bookmarkEnd w:id="4"/>
      <w:bookmarkEnd w:id="5"/>
    </w:p>
    <w:p w14:paraId="0AA6F4B2" w14:textId="208E7B44" w:rsidR="003C4EE5" w:rsidRDefault="003C4EE5" w:rsidP="003C4EE5">
      <w:r>
        <w:rPr>
          <w:rFonts w:cs="Arial"/>
          <w:bCs/>
        </w:rPr>
        <w:t>Two species of monkfish can be encountered in UK waters; the</w:t>
      </w:r>
      <w:r>
        <w:rPr>
          <w:rFonts w:cs="Arial"/>
          <w:bCs/>
          <w:i/>
          <w:iCs/>
        </w:rPr>
        <w:t xml:space="preserve"> </w:t>
      </w:r>
      <w:r>
        <w:rPr>
          <w:rFonts w:cs="Arial"/>
          <w:bCs/>
        </w:rPr>
        <w:t xml:space="preserve">white-bellied anglerfish </w:t>
      </w:r>
      <w:r>
        <w:rPr>
          <w:rFonts w:cs="Arial"/>
          <w:bCs/>
          <w:i/>
          <w:iCs/>
        </w:rPr>
        <w:t xml:space="preserve">Lophius piscatorius </w:t>
      </w:r>
      <w:r>
        <w:rPr>
          <w:rFonts w:cs="Arial"/>
          <w:bCs/>
        </w:rPr>
        <w:t xml:space="preserve">and black-bellied anglerfish </w:t>
      </w:r>
      <w:r>
        <w:rPr>
          <w:rFonts w:cs="Arial"/>
          <w:bCs/>
          <w:i/>
          <w:iCs/>
        </w:rPr>
        <w:t xml:space="preserve">L. budegassa. </w:t>
      </w:r>
      <w:r>
        <w:rPr>
          <w:rFonts w:cs="Arial"/>
        </w:rPr>
        <w:t>They are caught together in the same fisheries, and their landings are reported under the same species code</w:t>
      </w:r>
      <w:r>
        <w:t xml:space="preserve">. Overall, catches are usually about 80% </w:t>
      </w:r>
      <w:r>
        <w:rPr>
          <w:rFonts w:cs="Arial"/>
          <w:bCs/>
          <w:i/>
          <w:iCs/>
        </w:rPr>
        <w:t>L. piscatorius</w:t>
      </w:r>
      <w:r>
        <w:t xml:space="preserve"> and 20% </w:t>
      </w:r>
      <w:r>
        <w:rPr>
          <w:rFonts w:cs="Arial"/>
          <w:bCs/>
          <w:i/>
          <w:iCs/>
        </w:rPr>
        <w:t>L. budegassa</w:t>
      </w:r>
      <w:r>
        <w:t xml:space="preserve">. The species are assessed by ICES, separately and both species are considered to be category 3 stocks (i.e </w:t>
      </w:r>
      <w:r>
        <w:rPr>
          <w:i/>
          <w:iCs/>
        </w:rPr>
        <w:t xml:space="preserve">stocks for which survey-based assessments indicate </w:t>
      </w:r>
      <w:r w:rsidRPr="00093958">
        <w:rPr>
          <w:i/>
          <w:iCs/>
        </w:rPr>
        <w:t>trends</w:t>
      </w:r>
      <w:r w:rsidR="00093958" w:rsidRPr="00093958">
        <w:rPr>
          <w:i/>
          <w:iCs/>
        </w:rPr>
        <w:t>:</w:t>
      </w:r>
      <w:r w:rsidRPr="00093958">
        <w:rPr>
          <w:i/>
          <w:iCs/>
        </w:rPr>
        <w:t xml:space="preserve"> </w:t>
      </w:r>
      <w:r w:rsidRPr="00A74BBA">
        <w:rPr>
          <w:i/>
        </w:rPr>
        <w:t xml:space="preserve">Includes stocks for which survey or other indices are </w:t>
      </w:r>
      <w:r w:rsidRPr="00A74BBA">
        <w:rPr>
          <w:i/>
        </w:rPr>
        <w:lastRenderedPageBreak/>
        <w:t>available that provide reliable indications of trends in stock metrics, such as total mortality, recruitment, and biomass</w:t>
      </w:r>
      <w:r>
        <w:t xml:space="preserve">). For category 3 stocks the available knowledge is insufficient to apply the ICES MSY approach and the advice rule is therefore based on the precautionary approach. The management of the two-anglerfish species </w:t>
      </w:r>
      <w:r w:rsidR="00093958">
        <w:t xml:space="preserve">is </w:t>
      </w:r>
      <w:r>
        <w:t>under a combined TAC</w:t>
      </w:r>
      <w:r w:rsidR="00093958">
        <w:t xml:space="preserve">, and because of this, there is a risk of </w:t>
      </w:r>
      <w:r>
        <w:t xml:space="preserve">overexploitation of </w:t>
      </w:r>
      <w:r w:rsidR="00093958">
        <w:t xml:space="preserve">one of the two </w:t>
      </w:r>
      <w:r>
        <w:t xml:space="preserve">species. </w:t>
      </w:r>
      <w:r>
        <w:fldChar w:fldCharType="begin"/>
      </w:r>
      <w:r>
        <w:instrText xml:space="preserve"> REF _Ref517278825 \h </w:instrText>
      </w:r>
      <w:r>
        <w:fldChar w:fldCharType="separate"/>
      </w:r>
      <w:r>
        <w:t xml:space="preserve">Figure </w:t>
      </w:r>
      <w:r>
        <w:rPr>
          <w:noProof/>
        </w:rPr>
        <w:t>1</w:t>
      </w:r>
      <w:r>
        <w:fldChar w:fldCharType="end"/>
      </w:r>
      <w:r>
        <w:t xml:space="preserve"> shows the stock area for monkfish stock ICES Divisions 7.b-k and 8.a,</w:t>
      </w:r>
      <w:r w:rsidR="00AD18C0">
        <w:t xml:space="preserve"> </w:t>
      </w:r>
      <w:r>
        <w:t>b,</w:t>
      </w:r>
      <w:r w:rsidR="00AD18C0">
        <w:t xml:space="preserve"> </w:t>
      </w:r>
      <w:r>
        <w:t>d.</w:t>
      </w:r>
    </w:p>
    <w:p w14:paraId="4205FA06" w14:textId="67473946" w:rsidR="003C4EE5" w:rsidRDefault="003C4EE5" w:rsidP="003C4EE5">
      <w:r>
        <w:rPr>
          <w:rFonts w:cs="Arial"/>
          <w:bCs/>
        </w:rPr>
        <w:t xml:space="preserve">The TAC </w:t>
      </w:r>
      <w:r>
        <w:rPr>
          <w:rFonts w:cs="Calibri"/>
        </w:rPr>
        <w:t>for anglerfish in ICES area 7 for 2018 was 33,516t, with all being allocated to EU, and UK receiving 18% of the quota (6,027t).</w:t>
      </w:r>
      <w:r>
        <w:rPr>
          <w:rFonts w:cs="Arial"/>
          <w:bCs/>
        </w:rPr>
        <w:t xml:space="preserve"> </w:t>
      </w:r>
    </w:p>
    <w:p w14:paraId="7A559C35" w14:textId="77777777" w:rsidR="003C4EE5" w:rsidRDefault="003C4EE5" w:rsidP="003C4EE5">
      <w:pPr>
        <w:jc w:val="center"/>
        <w:rPr>
          <w:rFonts w:cs="Arial"/>
          <w:bCs/>
        </w:rPr>
      </w:pPr>
      <w:bookmarkStart w:id="6" w:name="_Toc514829307"/>
      <w:bookmarkStart w:id="7" w:name="_Toc516159967"/>
      <w:bookmarkStart w:id="8" w:name="_Toc516216312"/>
      <w:r>
        <w:rPr>
          <w:noProof/>
        </w:rPr>
        <w:drawing>
          <wp:inline distT="0" distB="0" distL="0" distR="0" wp14:anchorId="5B62F0BE" wp14:editId="7DBA98BD">
            <wp:extent cx="4305300" cy="2954525"/>
            <wp:effectExtent l="0" t="0" r="0" b="0"/>
            <wp:docPr id="18" name="Picture 18" descr="C:\Roi\projects\msc\map_outputs\uoa\anf_u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oi\projects\msc\map_outputs\uoa\anf_uo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3992" cy="2960490"/>
                    </a:xfrm>
                    <a:prstGeom prst="rect">
                      <a:avLst/>
                    </a:prstGeom>
                    <a:noFill/>
                    <a:ln>
                      <a:noFill/>
                    </a:ln>
                  </pic:spPr>
                </pic:pic>
              </a:graphicData>
            </a:graphic>
          </wp:inline>
        </w:drawing>
      </w:r>
      <w:bookmarkEnd w:id="6"/>
      <w:bookmarkEnd w:id="7"/>
      <w:bookmarkEnd w:id="8"/>
    </w:p>
    <w:p w14:paraId="415689E6" w14:textId="77777777" w:rsidR="003C4EE5" w:rsidRDefault="003C4EE5" w:rsidP="003C4EE5">
      <w:pPr>
        <w:pStyle w:val="Caption"/>
        <w:rPr>
          <w:rFonts w:cs="Arial"/>
          <w:bCs/>
        </w:rPr>
      </w:pPr>
      <w:bookmarkStart w:id="9" w:name="_Ref517278825"/>
      <w:bookmarkStart w:id="10" w:name="_Toc518658169"/>
      <w:r>
        <w:t xml:space="preserve">Figure </w:t>
      </w:r>
      <w:r w:rsidR="00DB2E87">
        <w:rPr>
          <w:noProof/>
        </w:rPr>
        <w:fldChar w:fldCharType="begin"/>
      </w:r>
      <w:r w:rsidR="00DB2E87">
        <w:rPr>
          <w:noProof/>
        </w:rPr>
        <w:instrText xml:space="preserve"> SEQ Figure \* ARABIC </w:instrText>
      </w:r>
      <w:r w:rsidR="00DB2E87">
        <w:rPr>
          <w:noProof/>
        </w:rPr>
        <w:fldChar w:fldCharType="separate"/>
      </w:r>
      <w:r>
        <w:rPr>
          <w:noProof/>
        </w:rPr>
        <w:t>1</w:t>
      </w:r>
      <w:r w:rsidR="00DB2E87">
        <w:rPr>
          <w:noProof/>
        </w:rPr>
        <w:fldChar w:fldCharType="end"/>
      </w:r>
      <w:bookmarkEnd w:id="9"/>
      <w:r>
        <w:t xml:space="preserve">. </w:t>
      </w:r>
      <w:r w:rsidRPr="000D71B6">
        <w:t xml:space="preserve">Maps </w:t>
      </w:r>
      <w:r>
        <w:t>with the stock area for monkfish ICES Divisions 7.b-k and 8.a,b,d (Source: Lambert et al, 2018).</w:t>
      </w:r>
      <w:bookmarkEnd w:id="10"/>
    </w:p>
    <w:p w14:paraId="2FF52515" w14:textId="1328E091" w:rsidR="003C4EE5" w:rsidRDefault="003C4EE5" w:rsidP="003C4EE5">
      <w:pPr>
        <w:rPr>
          <w:rFonts w:cs="Arial"/>
          <w:bCs/>
        </w:rPr>
      </w:pPr>
      <w:r>
        <w:rPr>
          <w:rFonts w:cs="Arial"/>
          <w:bCs/>
        </w:rPr>
        <w:t>The main gear</w:t>
      </w:r>
      <w:r w:rsidR="00093958">
        <w:rPr>
          <w:rFonts w:cs="Arial"/>
          <w:bCs/>
        </w:rPr>
        <w:t>s</w:t>
      </w:r>
      <w:r>
        <w:rPr>
          <w:rFonts w:cs="Arial"/>
          <w:bCs/>
        </w:rPr>
        <w:t xml:space="preserve"> targeting monkfish are the beam and demersal trawls and </w:t>
      </w:r>
      <w:r w:rsidR="00093958">
        <w:rPr>
          <w:rFonts w:cs="Arial"/>
          <w:bCs/>
        </w:rPr>
        <w:t xml:space="preserve">gill </w:t>
      </w:r>
      <w:r>
        <w:rPr>
          <w:rFonts w:cs="Arial"/>
          <w:bCs/>
        </w:rPr>
        <w:t xml:space="preserve">netters. Figure shows the number of trips per rectangle, by gear, for the trips </w:t>
      </w:r>
      <w:r w:rsidR="00093958">
        <w:rPr>
          <w:rFonts w:cs="Arial"/>
          <w:bCs/>
        </w:rPr>
        <w:t xml:space="preserve">by UK vessels </w:t>
      </w:r>
      <w:r>
        <w:rPr>
          <w:rFonts w:cs="Arial"/>
          <w:bCs/>
        </w:rPr>
        <w:t xml:space="preserve">that were identified to be targeting monkfish (&gt;=5% of the total landings was anglerfish). The </w:t>
      </w:r>
      <w:r w:rsidR="00C61884">
        <w:rPr>
          <w:rFonts w:cs="Arial"/>
          <w:bCs/>
        </w:rPr>
        <w:t>gill</w:t>
      </w:r>
      <w:r>
        <w:rPr>
          <w:rFonts w:cs="Arial"/>
          <w:bCs/>
        </w:rPr>
        <w:t>net</w:t>
      </w:r>
      <w:r w:rsidR="00C61884">
        <w:rPr>
          <w:rFonts w:cs="Arial"/>
          <w:bCs/>
        </w:rPr>
        <w:t xml:space="preserve"> (netters)</w:t>
      </w:r>
      <w:r>
        <w:rPr>
          <w:rFonts w:cs="Arial"/>
          <w:bCs/>
        </w:rPr>
        <w:t xml:space="preserve"> trips are widely spread in area VII, while the otter trawls have a more confined fishing area, closer to the shore, with most of the trips west of Lyme Bay, in ICES rectangles 29E5, 28E5 and 29E6. Beam trawls fish across the whole ICES VII.</w:t>
      </w:r>
    </w:p>
    <w:p w14:paraId="6A9C5903" w14:textId="77777777" w:rsidR="003C4EE5" w:rsidRDefault="003C4EE5" w:rsidP="003C4EE5">
      <w:pPr>
        <w:rPr>
          <w:rFonts w:cs="Arial"/>
          <w:bCs/>
        </w:rPr>
      </w:pPr>
    </w:p>
    <w:p w14:paraId="0B0FC5C0" w14:textId="77777777" w:rsidR="003C4EE5" w:rsidRDefault="003C4EE5" w:rsidP="003C4EE5">
      <w:pPr>
        <w:jc w:val="center"/>
        <w:rPr>
          <w:rFonts w:cs="Arial"/>
          <w:bCs/>
        </w:rPr>
      </w:pPr>
    </w:p>
    <w:p w14:paraId="7721FB50" w14:textId="77777777" w:rsidR="003C4EE5" w:rsidRDefault="003C4EE5" w:rsidP="003C4EE5"/>
    <w:p w14:paraId="6DB31E7A" w14:textId="77777777" w:rsidR="003C4EE5" w:rsidRPr="003B2CA9" w:rsidRDefault="003C4EE5" w:rsidP="003C4EE5"/>
    <w:p w14:paraId="0BA51640" w14:textId="77777777" w:rsidR="003C4EE5" w:rsidRPr="003B2CA9" w:rsidRDefault="003C4EE5" w:rsidP="003C4EE5">
      <w:pPr>
        <w:rPr>
          <w:rFonts w:cs="Arial"/>
          <w:bCs/>
        </w:rPr>
      </w:pPr>
    </w:p>
    <w:p w14:paraId="57534654" w14:textId="77777777" w:rsidR="003C4EE5" w:rsidRPr="00BE7811" w:rsidRDefault="003C4EE5" w:rsidP="003C4EE5">
      <w:pPr>
        <w:ind w:left="0"/>
      </w:pPr>
    </w:p>
    <w:p w14:paraId="30BDDD62" w14:textId="77777777" w:rsidR="003C4EE5" w:rsidRDefault="003C4EE5" w:rsidP="003C4EE5">
      <w:pPr>
        <w:jc w:val="center"/>
      </w:pPr>
      <w:r>
        <w:rPr>
          <w:noProof/>
        </w:rPr>
        <w:lastRenderedPageBreak/>
        <w:drawing>
          <wp:inline distT="0" distB="0" distL="0" distR="0" wp14:anchorId="7A828431" wp14:editId="7C163D9D">
            <wp:extent cx="4000744" cy="52158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plot.jpeg"/>
                    <pic:cNvPicPr/>
                  </pic:nvPicPr>
                  <pic:blipFill>
                    <a:blip r:embed="rId20">
                      <a:extLst>
                        <a:ext uri="{28A0092B-C50C-407E-A947-70E740481C1C}">
                          <a14:useLocalDpi xmlns:a14="http://schemas.microsoft.com/office/drawing/2010/main" val="0"/>
                        </a:ext>
                      </a:extLst>
                    </a:blip>
                    <a:stretch>
                      <a:fillRect/>
                    </a:stretch>
                  </pic:blipFill>
                  <pic:spPr>
                    <a:xfrm>
                      <a:off x="0" y="0"/>
                      <a:ext cx="4005348" cy="5221893"/>
                    </a:xfrm>
                    <a:prstGeom prst="rect">
                      <a:avLst/>
                    </a:prstGeom>
                  </pic:spPr>
                </pic:pic>
              </a:graphicData>
            </a:graphic>
          </wp:inline>
        </w:drawing>
      </w:r>
    </w:p>
    <w:p w14:paraId="7EE2BC68" w14:textId="69F6F22A" w:rsidR="003C4EE5" w:rsidRPr="00110EAB" w:rsidRDefault="003C4EE5" w:rsidP="003C4EE5">
      <w:pPr>
        <w:pStyle w:val="Caption"/>
      </w:pPr>
      <w:bookmarkStart w:id="11" w:name="_Toc518658170"/>
      <w:r>
        <w:t xml:space="preserve">Figure </w:t>
      </w:r>
      <w:r w:rsidR="00DB2E87">
        <w:rPr>
          <w:noProof/>
        </w:rPr>
        <w:fldChar w:fldCharType="begin"/>
      </w:r>
      <w:r w:rsidR="00DB2E87">
        <w:rPr>
          <w:noProof/>
        </w:rPr>
        <w:instrText xml:space="preserve"> SEQ Figure \* ARABIC </w:instrText>
      </w:r>
      <w:r w:rsidR="00DB2E87">
        <w:rPr>
          <w:noProof/>
        </w:rPr>
        <w:fldChar w:fldCharType="separate"/>
      </w:r>
      <w:r>
        <w:rPr>
          <w:noProof/>
        </w:rPr>
        <w:t>2</w:t>
      </w:r>
      <w:r w:rsidR="00DB2E87">
        <w:rPr>
          <w:noProof/>
        </w:rPr>
        <w:fldChar w:fldCharType="end"/>
      </w:r>
      <w:r>
        <w:t>. Number of trips of netters, otter and beam trawls, targeting monkfish in ICES area VII, between 2014 and 2017</w:t>
      </w:r>
      <w:r w:rsidR="0041734C">
        <w:t xml:space="preserve"> (Data source: UK </w:t>
      </w:r>
      <w:r w:rsidR="00C61884">
        <w:t>Official</w:t>
      </w:r>
      <w:r w:rsidR="0041734C">
        <w:t xml:space="preserve"> landings)</w:t>
      </w:r>
      <w:r>
        <w:t>.</w:t>
      </w:r>
      <w:bookmarkEnd w:id="11"/>
    </w:p>
    <w:p w14:paraId="37047438" w14:textId="33481B63" w:rsidR="003C4EE5" w:rsidRDefault="003C4EE5" w:rsidP="00EA60DC">
      <w:pPr>
        <w:pStyle w:val="Heading1"/>
      </w:pPr>
      <w:bookmarkStart w:id="12" w:name="_Toc518658140"/>
      <w:r>
        <w:t>Material and methods</w:t>
      </w:r>
      <w:bookmarkEnd w:id="12"/>
    </w:p>
    <w:p w14:paraId="50425C0C" w14:textId="77777777" w:rsidR="003C4EE5" w:rsidRPr="009A221C" w:rsidRDefault="003C4EE5" w:rsidP="003C4EE5">
      <w:pPr>
        <w:pStyle w:val="Heading2"/>
      </w:pPr>
      <w:bookmarkStart w:id="13" w:name="_Toc516750535"/>
      <w:bookmarkStart w:id="14" w:name="_Toc518658141"/>
      <w:r w:rsidRPr="009A221C">
        <w:t>Data sources</w:t>
      </w:r>
      <w:bookmarkEnd w:id="13"/>
      <w:bookmarkEnd w:id="14"/>
    </w:p>
    <w:p w14:paraId="1CD214C0" w14:textId="77777777" w:rsidR="003C4EE5" w:rsidRPr="009A221C" w:rsidRDefault="003C4EE5" w:rsidP="003C4EE5">
      <w:r w:rsidRPr="009A221C">
        <w:t>A catch profile was developed using the official landings database</w:t>
      </w:r>
      <w:r>
        <w:t xml:space="preserve"> (MMO landings database)</w:t>
      </w:r>
      <w:r w:rsidRPr="009A221C">
        <w:t xml:space="preserve"> and discards data collected by Cefas Observer programme, between 2014 and 2017, on beam trawls, otter trawls (demersal trawls) and gillnets/trammel nets, in ICES areas VII b-k and VIIIa,b,d. </w:t>
      </w:r>
    </w:p>
    <w:p w14:paraId="4272BBCD" w14:textId="77777777" w:rsidR="003C4EE5" w:rsidRPr="009A221C" w:rsidRDefault="003C4EE5" w:rsidP="003C4EE5">
      <w:pPr>
        <w:pStyle w:val="Heading2"/>
      </w:pPr>
      <w:bookmarkStart w:id="15" w:name="_Toc516750536"/>
      <w:bookmarkStart w:id="16" w:name="_Toc518658142"/>
      <w:r w:rsidRPr="009A221C">
        <w:t>Units of Assessment</w:t>
      </w:r>
      <w:bookmarkEnd w:id="15"/>
      <w:bookmarkEnd w:id="16"/>
    </w:p>
    <w:p w14:paraId="469B8E33" w14:textId="77777777" w:rsidR="003C4EE5" w:rsidRDefault="003C4EE5" w:rsidP="003C4EE5">
      <w:r>
        <w:t xml:space="preserve">The Unit of Assessment (UoA), based upon the stocks, area, people involved and class of boats, for this updated pre-assessment is defined in Table 1 </w:t>
      </w:r>
    </w:p>
    <w:p w14:paraId="58AB157D" w14:textId="77777777" w:rsidR="003C4EE5" w:rsidRDefault="003C4EE5" w:rsidP="003C4EE5"/>
    <w:p w14:paraId="366449E2" w14:textId="77777777" w:rsidR="003C4EE5" w:rsidRPr="009A221C" w:rsidRDefault="003C4EE5" w:rsidP="003C4EE5"/>
    <w:p w14:paraId="4073250A" w14:textId="77777777" w:rsidR="003C4EE5" w:rsidRPr="009A221C" w:rsidRDefault="003C4EE5" w:rsidP="003C4EE5">
      <w:pPr>
        <w:pStyle w:val="Caption"/>
      </w:pPr>
      <w:bookmarkStart w:id="17" w:name="_Toc516668624"/>
      <w:bookmarkStart w:id="18" w:name="_Toc516669263"/>
      <w:bookmarkStart w:id="19" w:name="_Toc518658159"/>
      <w:bookmarkStart w:id="20" w:name="_Toc518658171"/>
      <w:r>
        <w:t xml:space="preserve">Table </w:t>
      </w:r>
      <w:r w:rsidR="00DB2E87">
        <w:rPr>
          <w:noProof/>
        </w:rPr>
        <w:fldChar w:fldCharType="begin"/>
      </w:r>
      <w:r w:rsidR="00DB2E87">
        <w:rPr>
          <w:noProof/>
        </w:rPr>
        <w:instrText xml:space="preserve"> SEQ Table \* ARABIC </w:instrText>
      </w:r>
      <w:r w:rsidR="00DB2E87">
        <w:rPr>
          <w:noProof/>
        </w:rPr>
        <w:fldChar w:fldCharType="separate"/>
      </w:r>
      <w:r>
        <w:rPr>
          <w:noProof/>
        </w:rPr>
        <w:t>1</w:t>
      </w:r>
      <w:r w:rsidR="00DB2E87">
        <w:rPr>
          <w:noProof/>
        </w:rPr>
        <w:fldChar w:fldCharType="end"/>
      </w:r>
      <w:r w:rsidRPr="009A221C">
        <w:t xml:space="preserve"> Unit of Assessments</w:t>
      </w:r>
      <w:bookmarkEnd w:id="17"/>
      <w:bookmarkEnd w:id="18"/>
      <w:bookmarkEnd w:id="19"/>
      <w:bookmarkEnd w:id="20"/>
    </w:p>
    <w:tbl>
      <w:tblPr>
        <w:tblStyle w:val="TableGrid"/>
        <w:tblW w:w="0" w:type="auto"/>
        <w:jc w:val="center"/>
        <w:tblLook w:val="04A0" w:firstRow="1" w:lastRow="0" w:firstColumn="1" w:lastColumn="0" w:noHBand="0" w:noVBand="1"/>
      </w:tblPr>
      <w:tblGrid>
        <w:gridCol w:w="3793"/>
        <w:gridCol w:w="4636"/>
      </w:tblGrid>
      <w:tr w:rsidR="003C4EE5" w:rsidRPr="009A221C" w14:paraId="0A94C3A1" w14:textId="77777777" w:rsidTr="003C4EE5">
        <w:trPr>
          <w:jc w:val="center"/>
        </w:trPr>
        <w:tc>
          <w:tcPr>
            <w:tcW w:w="3793" w:type="dxa"/>
            <w:tcBorders>
              <w:top w:val="single" w:sz="4" w:space="0" w:color="auto"/>
              <w:left w:val="single" w:sz="4" w:space="0" w:color="auto"/>
              <w:bottom w:val="single" w:sz="4" w:space="0" w:color="auto"/>
              <w:right w:val="single" w:sz="4" w:space="0" w:color="auto"/>
            </w:tcBorders>
            <w:shd w:val="clear" w:color="auto" w:fill="8DB3E2"/>
            <w:hideMark/>
          </w:tcPr>
          <w:p w14:paraId="1C60C47B" w14:textId="77777777" w:rsidR="003C4EE5" w:rsidRPr="009A221C" w:rsidRDefault="003C4EE5" w:rsidP="003C4EE5">
            <w:pPr>
              <w:pStyle w:val="Tableheader"/>
            </w:pPr>
            <w:r w:rsidRPr="009A221C">
              <w:t>Target Stock:</w:t>
            </w:r>
          </w:p>
        </w:tc>
        <w:tc>
          <w:tcPr>
            <w:tcW w:w="4636" w:type="dxa"/>
            <w:tcBorders>
              <w:top w:val="single" w:sz="4" w:space="0" w:color="auto"/>
              <w:left w:val="single" w:sz="4" w:space="0" w:color="auto"/>
              <w:bottom w:val="single" w:sz="4" w:space="0" w:color="auto"/>
              <w:right w:val="single" w:sz="4" w:space="0" w:color="auto"/>
            </w:tcBorders>
            <w:hideMark/>
          </w:tcPr>
          <w:p w14:paraId="475E5FFA" w14:textId="77777777" w:rsidR="003C4EE5" w:rsidRPr="009A221C" w:rsidRDefault="003C4EE5" w:rsidP="003C4EE5">
            <w:pPr>
              <w:pStyle w:val="Tabletext"/>
            </w:pPr>
            <w:r w:rsidRPr="009A221C">
              <w:t>White anglerfish (</w:t>
            </w:r>
            <w:r w:rsidRPr="009A221C">
              <w:rPr>
                <w:i/>
              </w:rPr>
              <w:t>Lophius piscatorius</w:t>
            </w:r>
            <w:r w:rsidRPr="009A221C">
              <w:t>) and black-bellied anglerfish (</w:t>
            </w:r>
            <w:r w:rsidRPr="009A221C">
              <w:rPr>
                <w:i/>
              </w:rPr>
              <w:t>L. bodegassa</w:t>
            </w:r>
            <w:r w:rsidRPr="009A221C">
              <w:t>) in divisions 7.b–k, 8a–b, and 8d (southern Celtic Seas, Bay of Biscay)</w:t>
            </w:r>
          </w:p>
        </w:tc>
      </w:tr>
      <w:tr w:rsidR="003C4EE5" w:rsidRPr="009A221C" w14:paraId="34F6168F" w14:textId="77777777" w:rsidTr="003C4EE5">
        <w:trPr>
          <w:jc w:val="center"/>
        </w:trPr>
        <w:tc>
          <w:tcPr>
            <w:tcW w:w="3793" w:type="dxa"/>
            <w:tcBorders>
              <w:top w:val="single" w:sz="4" w:space="0" w:color="auto"/>
              <w:left w:val="single" w:sz="4" w:space="0" w:color="auto"/>
              <w:bottom w:val="single" w:sz="4" w:space="0" w:color="auto"/>
              <w:right w:val="single" w:sz="4" w:space="0" w:color="auto"/>
            </w:tcBorders>
            <w:shd w:val="clear" w:color="auto" w:fill="8DB3E2"/>
            <w:hideMark/>
          </w:tcPr>
          <w:p w14:paraId="0821A7BF" w14:textId="77777777" w:rsidR="003C4EE5" w:rsidRPr="009A221C" w:rsidRDefault="003C4EE5" w:rsidP="003C4EE5">
            <w:pPr>
              <w:pStyle w:val="Tableheader"/>
            </w:pPr>
            <w:r w:rsidRPr="009A221C">
              <w:t xml:space="preserve">Fishing Method / gear type: </w:t>
            </w:r>
          </w:p>
        </w:tc>
        <w:tc>
          <w:tcPr>
            <w:tcW w:w="4636" w:type="dxa"/>
            <w:tcBorders>
              <w:top w:val="single" w:sz="4" w:space="0" w:color="auto"/>
              <w:left w:val="single" w:sz="4" w:space="0" w:color="auto"/>
              <w:bottom w:val="single" w:sz="4" w:space="0" w:color="auto"/>
              <w:right w:val="single" w:sz="4" w:space="0" w:color="auto"/>
            </w:tcBorders>
            <w:hideMark/>
          </w:tcPr>
          <w:p w14:paraId="0E2CFCF7" w14:textId="77777777" w:rsidR="003C4EE5" w:rsidRPr="009A221C" w:rsidRDefault="003C4EE5" w:rsidP="003C4EE5">
            <w:pPr>
              <w:pStyle w:val="Tabletext"/>
            </w:pPr>
            <w:r w:rsidRPr="009A221C">
              <w:t>UoA 1: Trammel nets and entangling / gillnets - Netters</w:t>
            </w:r>
          </w:p>
          <w:p w14:paraId="6EF15A82" w14:textId="77777777" w:rsidR="003C4EE5" w:rsidRPr="009A221C" w:rsidRDefault="003C4EE5" w:rsidP="003C4EE5">
            <w:pPr>
              <w:pStyle w:val="Tabletext"/>
            </w:pPr>
            <w:r w:rsidRPr="009A221C">
              <w:t>UoA 2: Demersal Trawl - OTB</w:t>
            </w:r>
          </w:p>
          <w:p w14:paraId="3C2A11B5" w14:textId="7F86DA2F" w:rsidR="003C4EE5" w:rsidRPr="009A221C" w:rsidRDefault="003C4EE5" w:rsidP="003C4EE5">
            <w:pPr>
              <w:pStyle w:val="Tabletext"/>
            </w:pPr>
            <w:r w:rsidRPr="009A221C">
              <w:t xml:space="preserve">UoA 3: Beam Trawl </w:t>
            </w:r>
            <w:r w:rsidR="002E17C1">
              <w:t>–</w:t>
            </w:r>
            <w:r w:rsidRPr="009A221C">
              <w:t xml:space="preserve"> TBB</w:t>
            </w:r>
          </w:p>
        </w:tc>
      </w:tr>
      <w:tr w:rsidR="003C4EE5" w:rsidRPr="009A221C" w14:paraId="5A9FB12D" w14:textId="77777777" w:rsidTr="003C4EE5">
        <w:trPr>
          <w:jc w:val="center"/>
        </w:trPr>
        <w:tc>
          <w:tcPr>
            <w:tcW w:w="3793" w:type="dxa"/>
            <w:tcBorders>
              <w:top w:val="single" w:sz="4" w:space="0" w:color="auto"/>
              <w:left w:val="single" w:sz="4" w:space="0" w:color="auto"/>
              <w:bottom w:val="single" w:sz="4" w:space="0" w:color="auto"/>
              <w:right w:val="single" w:sz="4" w:space="0" w:color="auto"/>
            </w:tcBorders>
            <w:shd w:val="clear" w:color="auto" w:fill="8DB3E2"/>
            <w:hideMark/>
          </w:tcPr>
          <w:p w14:paraId="5FCC4291" w14:textId="77777777" w:rsidR="003C4EE5" w:rsidRPr="009A221C" w:rsidRDefault="003C4EE5" w:rsidP="003C4EE5">
            <w:pPr>
              <w:pStyle w:val="Tableheader"/>
            </w:pPr>
            <w:r w:rsidRPr="009A221C">
              <w:t>Fishing Fleet</w:t>
            </w:r>
          </w:p>
        </w:tc>
        <w:tc>
          <w:tcPr>
            <w:tcW w:w="4636" w:type="dxa"/>
            <w:tcBorders>
              <w:top w:val="single" w:sz="4" w:space="0" w:color="auto"/>
              <w:left w:val="single" w:sz="4" w:space="0" w:color="auto"/>
              <w:bottom w:val="single" w:sz="4" w:space="0" w:color="auto"/>
              <w:right w:val="single" w:sz="4" w:space="0" w:color="auto"/>
            </w:tcBorders>
            <w:hideMark/>
          </w:tcPr>
          <w:p w14:paraId="3A228D9E" w14:textId="77777777" w:rsidR="003C4EE5" w:rsidRPr="009A221C" w:rsidRDefault="003C4EE5" w:rsidP="003C4EE5">
            <w:pPr>
              <w:pStyle w:val="Tabletext"/>
            </w:pPr>
            <w:r w:rsidRPr="009A221C">
              <w:t>UK Registered vessels</w:t>
            </w:r>
          </w:p>
        </w:tc>
      </w:tr>
      <w:tr w:rsidR="003C4EE5" w:rsidRPr="009A221C" w14:paraId="20D7AC0A" w14:textId="77777777" w:rsidTr="003C4EE5">
        <w:trPr>
          <w:jc w:val="center"/>
        </w:trPr>
        <w:tc>
          <w:tcPr>
            <w:tcW w:w="3793" w:type="dxa"/>
            <w:tcBorders>
              <w:top w:val="single" w:sz="4" w:space="0" w:color="auto"/>
              <w:left w:val="single" w:sz="4" w:space="0" w:color="auto"/>
              <w:bottom w:val="single" w:sz="4" w:space="0" w:color="auto"/>
              <w:right w:val="single" w:sz="4" w:space="0" w:color="auto"/>
            </w:tcBorders>
            <w:shd w:val="clear" w:color="auto" w:fill="8DB3E2"/>
            <w:hideMark/>
          </w:tcPr>
          <w:p w14:paraId="3B5CEFD4" w14:textId="77777777" w:rsidR="003C4EE5" w:rsidRPr="009A221C" w:rsidRDefault="003C4EE5" w:rsidP="003C4EE5">
            <w:pPr>
              <w:pStyle w:val="Tableheader"/>
            </w:pPr>
            <w:r w:rsidRPr="009A221C">
              <w:t xml:space="preserve">Area: </w:t>
            </w:r>
          </w:p>
        </w:tc>
        <w:tc>
          <w:tcPr>
            <w:tcW w:w="4636" w:type="dxa"/>
            <w:tcBorders>
              <w:top w:val="single" w:sz="4" w:space="0" w:color="auto"/>
              <w:left w:val="single" w:sz="4" w:space="0" w:color="auto"/>
              <w:bottom w:val="single" w:sz="4" w:space="0" w:color="auto"/>
              <w:right w:val="single" w:sz="4" w:space="0" w:color="auto"/>
            </w:tcBorders>
            <w:hideMark/>
          </w:tcPr>
          <w:p w14:paraId="776961BE" w14:textId="77777777" w:rsidR="003C4EE5" w:rsidRPr="009A221C" w:rsidRDefault="003C4EE5" w:rsidP="003C4EE5">
            <w:pPr>
              <w:pStyle w:val="Tabletext"/>
            </w:pPr>
            <w:r w:rsidRPr="009A221C">
              <w:t>UK &amp; EU waters: ICES Area 7.b–k, 8a–b, and 8d (southern Celtic Seas, Bay of Biscay)</w:t>
            </w:r>
          </w:p>
        </w:tc>
      </w:tr>
    </w:tbl>
    <w:p w14:paraId="0CEFB269" w14:textId="77777777" w:rsidR="003C4EE5" w:rsidRPr="009A221C" w:rsidRDefault="003C4EE5" w:rsidP="003C4EE5">
      <w:pPr>
        <w:pStyle w:val="ListBullet"/>
      </w:pPr>
    </w:p>
    <w:p w14:paraId="629C1127" w14:textId="68E061D9" w:rsidR="003C4EE5" w:rsidRDefault="003C4EE5" w:rsidP="003C4EE5">
      <w:bookmarkStart w:id="21" w:name="_Toc516750537"/>
      <w:r>
        <w:t>Given the open scope of the UoA (i.e. all UK registered vessels) no other eligible fisheries are likely; for the purpose of this work, UoA 1 is called ‘Netters’.</w:t>
      </w:r>
    </w:p>
    <w:p w14:paraId="184AE90D" w14:textId="77777777" w:rsidR="003C4EE5" w:rsidRPr="009A221C" w:rsidRDefault="003C4EE5" w:rsidP="003C4EE5">
      <w:pPr>
        <w:pStyle w:val="Heading3"/>
      </w:pPr>
      <w:bookmarkStart w:id="22" w:name="_Toc518658143"/>
      <w:r w:rsidRPr="009A221C">
        <w:t>Landings</w:t>
      </w:r>
      <w:bookmarkEnd w:id="21"/>
      <w:bookmarkEnd w:id="22"/>
    </w:p>
    <w:p w14:paraId="0CDB5012" w14:textId="01579DAA" w:rsidR="003C4EE5" w:rsidRPr="009A221C" w:rsidRDefault="003C4EE5" w:rsidP="003C4EE5">
      <w:r w:rsidRPr="009A221C">
        <w:t xml:space="preserve">Landings from a list of vessels </w:t>
      </w:r>
      <w:r w:rsidR="002E17C1">
        <w:t>from all relevant UK</w:t>
      </w:r>
      <w:r>
        <w:t xml:space="preserve"> producers’ organisations: </w:t>
      </w:r>
      <w:r w:rsidRPr="009A221C">
        <w:t>South West Fish Producer Organisation (SWFPO), Cornish Fish Producer Organisation (CFPO) and Interfish were used to develop the catch profile</w:t>
      </w:r>
      <w:r w:rsidRPr="009A221C">
        <w:rPr>
          <w:rFonts w:eastAsia="Times New Roman"/>
        </w:rPr>
        <w:t xml:space="preserve">. </w:t>
      </w:r>
      <w:r w:rsidRPr="009A221C">
        <w:t xml:space="preserve">To select trips where monkfish species are targeted, logbook data </w:t>
      </w:r>
      <w:r>
        <w:t xml:space="preserve">were analysed </w:t>
      </w:r>
      <w:r w:rsidRPr="009A221C">
        <w:t xml:space="preserve">for the specified vessels/area/gear combinations. The proportion of the landings of monkfish in the total </w:t>
      </w:r>
      <w:r w:rsidR="00834B18">
        <w:t>landings</w:t>
      </w:r>
      <w:r w:rsidRPr="009A221C">
        <w:t xml:space="preserve"> of the trip was calculated. Only the trips where monkfish contributed 5% or more to the total landings were selected</w:t>
      </w:r>
      <w:r w:rsidR="002942C2">
        <w:t xml:space="preserve"> for the PSA analysis</w:t>
      </w:r>
      <w:r w:rsidRPr="009A221C">
        <w:t xml:space="preserve">. The average annual landings per species and gear type (OTB, TBB and Netters), between 2014 and 2017, was calculated. </w:t>
      </w:r>
    </w:p>
    <w:p w14:paraId="549B8CCB" w14:textId="77777777" w:rsidR="003C4EE5" w:rsidRPr="009A221C" w:rsidRDefault="003C4EE5" w:rsidP="003C4EE5">
      <w:pPr>
        <w:pStyle w:val="Heading3"/>
      </w:pPr>
      <w:bookmarkStart w:id="23" w:name="_Toc516750538"/>
      <w:bookmarkStart w:id="24" w:name="_Toc518658144"/>
      <w:r w:rsidRPr="009A221C">
        <w:t>Discards estimates</w:t>
      </w:r>
      <w:bookmarkEnd w:id="23"/>
      <w:bookmarkEnd w:id="24"/>
    </w:p>
    <w:p w14:paraId="5EFB54AD" w14:textId="519850D0" w:rsidR="005323CD" w:rsidRDefault="005323CD" w:rsidP="003C4EE5">
      <w:r>
        <w:rPr>
          <w:rFonts w:cs="Times New Roman"/>
        </w:rPr>
        <w:t xml:space="preserve">The current Cefas off-shore sampling scheme was set up in 2001, with some changes made throughout the years to take into account the regional and technical. </w:t>
      </w:r>
      <w:r>
        <w:rPr>
          <w:rFonts w:cs="Calibri"/>
        </w:rPr>
        <w:t>in which</w:t>
      </w:r>
      <w:r w:rsidRPr="008603C9">
        <w:rPr>
          <w:rFonts w:cs="Calibri"/>
        </w:rPr>
        <w:t xml:space="preserve"> the main objective </w:t>
      </w:r>
      <w:r>
        <w:rPr>
          <w:rFonts w:cs="Calibri"/>
        </w:rPr>
        <w:t xml:space="preserve">is </w:t>
      </w:r>
      <w:r w:rsidRPr="008603C9">
        <w:rPr>
          <w:rFonts w:cs="Calibri"/>
        </w:rPr>
        <w:t>to collect data on discards and biological data for the main commercial species</w:t>
      </w:r>
      <w:r>
        <w:t xml:space="preserve"> </w:t>
      </w:r>
      <w:r w:rsidR="00725AB9">
        <w:t>(Detail of the sampling design in Appendix 2</w:t>
      </w:r>
      <w:r w:rsidR="00C61884">
        <w:t>)</w:t>
      </w:r>
      <w:r w:rsidR="00725AB9">
        <w:t>.</w:t>
      </w:r>
    </w:p>
    <w:p w14:paraId="6E7521CF" w14:textId="0E40975C" w:rsidR="003C4EE5" w:rsidRDefault="003C4EE5" w:rsidP="003C4EE5">
      <w:r>
        <w:t xml:space="preserve">The </w:t>
      </w:r>
      <w:r w:rsidR="00807FBB">
        <w:t xml:space="preserve">Cefas </w:t>
      </w:r>
      <w:r w:rsidR="002E17C1">
        <w:t xml:space="preserve">observer </w:t>
      </w:r>
      <w:r w:rsidR="00807FBB">
        <w:t xml:space="preserve">sampled trips (Table 2) </w:t>
      </w:r>
      <w:r>
        <w:t>target</w:t>
      </w:r>
      <w:r w:rsidR="002E17C1">
        <w:t>ing</w:t>
      </w:r>
      <w:r>
        <w:t xml:space="preserve"> monkfish (white anglerfish and black-bellied anglerfish)</w:t>
      </w:r>
      <w:r w:rsidR="002E17C1">
        <w:t xml:space="preserve"> were selected. This was</w:t>
      </w:r>
      <w:r>
        <w:t xml:space="preserve"> defined as where </w:t>
      </w:r>
      <w:r w:rsidR="00F33344">
        <w:t>the combined catch weight</w:t>
      </w:r>
      <w:r w:rsidR="002E17C1">
        <w:t xml:space="preserve"> </w:t>
      </w:r>
      <w:r w:rsidR="00F33344">
        <w:t xml:space="preserve">of these </w:t>
      </w:r>
      <w:r w:rsidR="002E17C1">
        <w:t xml:space="preserve">two </w:t>
      </w:r>
      <w:r>
        <w:t>species constitute</w:t>
      </w:r>
      <w:r w:rsidR="002E17C1">
        <w:t>d</w:t>
      </w:r>
      <w:r>
        <w:t xml:space="preserve"> 5% or more of the </w:t>
      </w:r>
      <w:r w:rsidR="00F33344">
        <w:t xml:space="preserve">total </w:t>
      </w:r>
      <w:r w:rsidR="00A74BBA">
        <w:t>landings</w:t>
      </w:r>
      <w:r w:rsidR="002E17C1">
        <w:t xml:space="preserve"> </w:t>
      </w:r>
      <w:r w:rsidR="00F33344">
        <w:t>for the trip</w:t>
      </w:r>
      <w:r>
        <w:t>.</w:t>
      </w:r>
    </w:p>
    <w:p w14:paraId="1E9EE8C7" w14:textId="51703CB3" w:rsidR="003C4EE5" w:rsidRPr="009A221C" w:rsidRDefault="003C4EE5" w:rsidP="003C4EE5">
      <w:r w:rsidRPr="009A221C">
        <w:t xml:space="preserve">For each trip, numbers-at-length were raised to the haul, based on an estimated proportion of the total catch volume sampled, then to the trip, based on the proportion of sampled hauls and fished hauls. The </w:t>
      </w:r>
      <w:r w:rsidR="00F33344" w:rsidRPr="009A221C">
        <w:t>length-based</w:t>
      </w:r>
      <w:r w:rsidRPr="009A221C">
        <w:t xml:space="preserve"> data was converted to biomass, using length-weight relationships for each species collected during various scientific trawl surveys (Cefas, unpubl. data). </w:t>
      </w:r>
    </w:p>
    <w:p w14:paraId="7E610427" w14:textId="7D310F93" w:rsidR="003C4EE5" w:rsidRPr="009A221C" w:rsidRDefault="003C4EE5" w:rsidP="00C61884">
      <w:r>
        <w:t>The discards were estimated using the same methodology used for the provision of the English discards to ICES stock assessment working groups</w:t>
      </w:r>
      <w:r w:rsidR="00725AB9">
        <w:t xml:space="preserve"> (Description </w:t>
      </w:r>
      <w:r w:rsidR="00626530">
        <w:t>in Appendix 2</w:t>
      </w:r>
      <w:r w:rsidR="00725AB9">
        <w:t>)</w:t>
      </w:r>
      <w:r>
        <w:t xml:space="preserve">. </w:t>
      </w:r>
      <w:r w:rsidRPr="009A221C">
        <w:t>Discard trip-</w:t>
      </w:r>
      <w:r w:rsidRPr="009A221C">
        <w:lastRenderedPageBreak/>
        <w:t>raised estimates summed for sampled vessels, by year and gear type (OTB, TBB and Netters), were raised to total fleet using a ratio between the reported total landing trips and the number of trips sampled. The average discards between 2014 and 2017, fo</w:t>
      </w:r>
      <w:r>
        <w:t xml:space="preserve">r each </w:t>
      </w:r>
      <w:r w:rsidR="00C61884">
        <w:t xml:space="preserve">gear type was calculated. </w:t>
      </w:r>
    </w:p>
    <w:p w14:paraId="6AE94DCB" w14:textId="77777777" w:rsidR="003C4EE5" w:rsidRPr="009A221C" w:rsidRDefault="003C4EE5" w:rsidP="003C4EE5">
      <w:pPr>
        <w:pStyle w:val="Caption"/>
      </w:pPr>
      <w:bookmarkStart w:id="25" w:name="_Toc516668625"/>
      <w:bookmarkStart w:id="26" w:name="_Toc516669264"/>
      <w:bookmarkStart w:id="27" w:name="_Toc516669276"/>
      <w:bookmarkStart w:id="28" w:name="_Toc518658160"/>
      <w:bookmarkStart w:id="29" w:name="_Toc518658172"/>
      <w:r>
        <w:t xml:space="preserve">Table </w:t>
      </w:r>
      <w:r w:rsidR="00DB2E87">
        <w:rPr>
          <w:noProof/>
        </w:rPr>
        <w:fldChar w:fldCharType="begin"/>
      </w:r>
      <w:r w:rsidR="00DB2E87">
        <w:rPr>
          <w:noProof/>
        </w:rPr>
        <w:instrText xml:space="preserve"> SEQ Table \* ARABIC </w:instrText>
      </w:r>
      <w:r w:rsidR="00DB2E87">
        <w:rPr>
          <w:noProof/>
        </w:rPr>
        <w:fldChar w:fldCharType="separate"/>
      </w:r>
      <w:r>
        <w:rPr>
          <w:noProof/>
        </w:rPr>
        <w:t>2</w:t>
      </w:r>
      <w:r w:rsidR="00DB2E87">
        <w:rPr>
          <w:noProof/>
        </w:rPr>
        <w:fldChar w:fldCharType="end"/>
      </w:r>
      <w:r w:rsidRPr="009A221C">
        <w:t xml:space="preserve"> Number of trips sampled for each gear type, between 2014 and 2017, in ICES areas VIIb-k.</w:t>
      </w:r>
      <w:bookmarkEnd w:id="25"/>
      <w:bookmarkEnd w:id="26"/>
      <w:bookmarkEnd w:id="27"/>
      <w:bookmarkEnd w:id="28"/>
      <w:bookmarkEnd w:id="29"/>
      <w:r w:rsidRPr="009A221C">
        <w:t xml:space="preserve"> </w:t>
      </w:r>
    </w:p>
    <w:tbl>
      <w:tblPr>
        <w:tblStyle w:val="GridTable4-Accent51"/>
        <w:tblW w:w="0" w:type="auto"/>
        <w:tblLook w:val="04A0" w:firstRow="1" w:lastRow="0" w:firstColumn="1" w:lastColumn="0" w:noHBand="0" w:noVBand="1"/>
      </w:tblPr>
      <w:tblGrid>
        <w:gridCol w:w="2972"/>
        <w:gridCol w:w="1843"/>
        <w:gridCol w:w="2126"/>
        <w:gridCol w:w="2075"/>
      </w:tblGrid>
      <w:tr w:rsidR="003C4EE5" w:rsidRPr="00784953" w14:paraId="2324631E" w14:textId="77777777" w:rsidTr="00294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35A47E1" w14:textId="77777777" w:rsidR="003C4EE5" w:rsidRPr="009A221C" w:rsidRDefault="003C4EE5" w:rsidP="003C4EE5">
            <w:pPr>
              <w:spacing w:after="0" w:line="240" w:lineRule="auto"/>
              <w:ind w:left="-108"/>
              <w:jc w:val="center"/>
            </w:pPr>
          </w:p>
        </w:tc>
        <w:tc>
          <w:tcPr>
            <w:tcW w:w="1843" w:type="dxa"/>
            <w:hideMark/>
          </w:tcPr>
          <w:p w14:paraId="09844235" w14:textId="77777777" w:rsidR="003C4EE5" w:rsidRPr="00784953" w:rsidRDefault="003C4EE5" w:rsidP="003C4EE5">
            <w:pPr>
              <w:spacing w:after="0" w:line="240" w:lineRule="auto"/>
              <w:ind w:left="-108"/>
              <w:jc w:val="center"/>
              <w:cnfStyle w:val="100000000000" w:firstRow="1" w:lastRow="0" w:firstColumn="0" w:lastColumn="0" w:oddVBand="0" w:evenVBand="0" w:oddHBand="0" w:evenHBand="0" w:firstRowFirstColumn="0" w:firstRowLastColumn="0" w:lastRowFirstColumn="0" w:lastRowLastColumn="0"/>
            </w:pPr>
            <w:r w:rsidRPr="00784953">
              <w:t>Netters</w:t>
            </w:r>
          </w:p>
        </w:tc>
        <w:tc>
          <w:tcPr>
            <w:tcW w:w="2126" w:type="dxa"/>
            <w:hideMark/>
          </w:tcPr>
          <w:p w14:paraId="31EC98F6" w14:textId="77777777" w:rsidR="003C4EE5" w:rsidRPr="002942C2" w:rsidRDefault="003C4EE5" w:rsidP="003C4EE5">
            <w:pPr>
              <w:spacing w:after="0" w:line="240" w:lineRule="auto"/>
              <w:ind w:left="-108"/>
              <w:jc w:val="center"/>
              <w:cnfStyle w:val="100000000000" w:firstRow="1" w:lastRow="0" w:firstColumn="0" w:lastColumn="0" w:oddVBand="0" w:evenVBand="0" w:oddHBand="0" w:evenHBand="0" w:firstRowFirstColumn="0" w:firstRowLastColumn="0" w:lastRowFirstColumn="0" w:lastRowLastColumn="0"/>
            </w:pPr>
            <w:r w:rsidRPr="002942C2">
              <w:t>Otter trawls (OTB)</w:t>
            </w:r>
          </w:p>
        </w:tc>
        <w:tc>
          <w:tcPr>
            <w:tcW w:w="2075" w:type="dxa"/>
            <w:hideMark/>
          </w:tcPr>
          <w:p w14:paraId="5CB4E790" w14:textId="77777777" w:rsidR="003C4EE5" w:rsidRPr="002942C2" w:rsidRDefault="003C4EE5" w:rsidP="003C4EE5">
            <w:pPr>
              <w:spacing w:after="0" w:line="240" w:lineRule="auto"/>
              <w:ind w:left="-108"/>
              <w:jc w:val="center"/>
              <w:cnfStyle w:val="100000000000" w:firstRow="1" w:lastRow="0" w:firstColumn="0" w:lastColumn="0" w:oddVBand="0" w:evenVBand="0" w:oddHBand="0" w:evenHBand="0" w:firstRowFirstColumn="0" w:firstRowLastColumn="0" w:lastRowFirstColumn="0" w:lastRowLastColumn="0"/>
            </w:pPr>
            <w:r w:rsidRPr="002942C2">
              <w:t>Beam trawls (TBB)</w:t>
            </w:r>
          </w:p>
        </w:tc>
      </w:tr>
      <w:tr w:rsidR="003C4EE5" w:rsidRPr="00784953" w14:paraId="341DE4AB" w14:textId="77777777" w:rsidTr="00294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5FB4DA4" w14:textId="77777777" w:rsidR="003C4EE5" w:rsidRPr="00784953" w:rsidRDefault="003C4EE5" w:rsidP="003C4EE5">
            <w:pPr>
              <w:spacing w:after="0" w:line="240" w:lineRule="auto"/>
              <w:ind w:left="34" w:right="21"/>
              <w:jc w:val="center"/>
              <w:rPr>
                <w:b w:val="0"/>
              </w:rPr>
            </w:pPr>
            <w:r w:rsidRPr="00784953">
              <w:rPr>
                <w:b w:val="0"/>
              </w:rPr>
              <w:t>Number of trips sampled</w:t>
            </w:r>
          </w:p>
        </w:tc>
        <w:tc>
          <w:tcPr>
            <w:tcW w:w="1843" w:type="dxa"/>
            <w:hideMark/>
          </w:tcPr>
          <w:p w14:paraId="54DE5AF4" w14:textId="77777777" w:rsidR="003C4EE5" w:rsidRPr="00784953" w:rsidRDefault="003C4EE5" w:rsidP="003C4EE5">
            <w:pPr>
              <w:spacing w:after="0" w:line="240" w:lineRule="auto"/>
              <w:ind w:left="743" w:hanging="176"/>
              <w:cnfStyle w:val="000000100000" w:firstRow="0" w:lastRow="0" w:firstColumn="0" w:lastColumn="0" w:oddVBand="0" w:evenVBand="0" w:oddHBand="1" w:evenHBand="0" w:firstRowFirstColumn="0" w:firstRowLastColumn="0" w:lastRowFirstColumn="0" w:lastRowLastColumn="0"/>
            </w:pPr>
            <w:r w:rsidRPr="00784953">
              <w:t>28</w:t>
            </w:r>
          </w:p>
        </w:tc>
        <w:tc>
          <w:tcPr>
            <w:tcW w:w="2126" w:type="dxa"/>
            <w:hideMark/>
          </w:tcPr>
          <w:p w14:paraId="71541C54" w14:textId="77777777" w:rsidR="003C4EE5" w:rsidRPr="00784953" w:rsidRDefault="003C4EE5" w:rsidP="003C4EE5">
            <w:pPr>
              <w:spacing w:after="0" w:line="240" w:lineRule="auto"/>
              <w:cnfStyle w:val="000000100000" w:firstRow="0" w:lastRow="0" w:firstColumn="0" w:lastColumn="0" w:oddVBand="0" w:evenVBand="0" w:oddHBand="1" w:evenHBand="0" w:firstRowFirstColumn="0" w:firstRowLastColumn="0" w:lastRowFirstColumn="0" w:lastRowLastColumn="0"/>
            </w:pPr>
            <w:r w:rsidRPr="00784953">
              <w:t>48</w:t>
            </w:r>
          </w:p>
        </w:tc>
        <w:tc>
          <w:tcPr>
            <w:tcW w:w="2075" w:type="dxa"/>
            <w:hideMark/>
          </w:tcPr>
          <w:p w14:paraId="42CFAC9D" w14:textId="77777777" w:rsidR="003C4EE5" w:rsidRPr="00784953" w:rsidRDefault="003C4EE5" w:rsidP="003C4EE5">
            <w:pPr>
              <w:spacing w:after="0" w:line="240" w:lineRule="auto"/>
              <w:cnfStyle w:val="000000100000" w:firstRow="0" w:lastRow="0" w:firstColumn="0" w:lastColumn="0" w:oddVBand="0" w:evenVBand="0" w:oddHBand="1" w:evenHBand="0" w:firstRowFirstColumn="0" w:firstRowLastColumn="0" w:lastRowFirstColumn="0" w:lastRowLastColumn="0"/>
            </w:pPr>
            <w:r w:rsidRPr="00784953">
              <w:t>76</w:t>
            </w:r>
          </w:p>
        </w:tc>
      </w:tr>
      <w:tr w:rsidR="007A345A" w:rsidRPr="00784953" w14:paraId="32B2E2E8" w14:textId="77777777" w:rsidTr="002942C2">
        <w:tc>
          <w:tcPr>
            <w:cnfStyle w:val="001000000000" w:firstRow="0" w:lastRow="0" w:firstColumn="1" w:lastColumn="0" w:oddVBand="0" w:evenVBand="0" w:oddHBand="0" w:evenHBand="0" w:firstRowFirstColumn="0" w:firstRowLastColumn="0" w:lastRowFirstColumn="0" w:lastRowLastColumn="0"/>
            <w:tcW w:w="2972" w:type="dxa"/>
          </w:tcPr>
          <w:p w14:paraId="40AC5196" w14:textId="0CDBE9AC" w:rsidR="007A345A" w:rsidRPr="00784953" w:rsidRDefault="007A345A" w:rsidP="003C4EE5">
            <w:pPr>
              <w:spacing w:after="0" w:line="240" w:lineRule="auto"/>
              <w:ind w:left="34" w:right="21"/>
              <w:jc w:val="center"/>
              <w:rPr>
                <w:b w:val="0"/>
              </w:rPr>
            </w:pPr>
            <w:r w:rsidRPr="00784953">
              <w:rPr>
                <w:b w:val="0"/>
              </w:rPr>
              <w:t xml:space="preserve">Number of landing trips </w:t>
            </w:r>
          </w:p>
        </w:tc>
        <w:tc>
          <w:tcPr>
            <w:tcW w:w="1843" w:type="dxa"/>
          </w:tcPr>
          <w:p w14:paraId="2DC2ACE1" w14:textId="704D5FD5" w:rsidR="007A345A" w:rsidRPr="00784953" w:rsidRDefault="00784953" w:rsidP="003C4EE5">
            <w:pPr>
              <w:spacing w:after="0" w:line="240" w:lineRule="auto"/>
              <w:ind w:left="743" w:hanging="176"/>
              <w:cnfStyle w:val="000000000000" w:firstRow="0" w:lastRow="0" w:firstColumn="0" w:lastColumn="0" w:oddVBand="0" w:evenVBand="0" w:oddHBand="0" w:evenHBand="0" w:firstRowFirstColumn="0" w:firstRowLastColumn="0" w:lastRowFirstColumn="0" w:lastRowLastColumn="0"/>
            </w:pPr>
            <w:r w:rsidRPr="00784953">
              <w:t>3529</w:t>
            </w:r>
          </w:p>
        </w:tc>
        <w:tc>
          <w:tcPr>
            <w:tcW w:w="2126" w:type="dxa"/>
          </w:tcPr>
          <w:p w14:paraId="206EEEDC" w14:textId="24EA86A4" w:rsidR="007A345A" w:rsidRPr="00784953" w:rsidRDefault="00784953" w:rsidP="003C4EE5">
            <w:pPr>
              <w:spacing w:after="0" w:line="240" w:lineRule="auto"/>
              <w:cnfStyle w:val="000000000000" w:firstRow="0" w:lastRow="0" w:firstColumn="0" w:lastColumn="0" w:oddVBand="0" w:evenVBand="0" w:oddHBand="0" w:evenHBand="0" w:firstRowFirstColumn="0" w:firstRowLastColumn="0" w:lastRowFirstColumn="0" w:lastRowLastColumn="0"/>
            </w:pPr>
            <w:r w:rsidRPr="00784953">
              <w:t>21201</w:t>
            </w:r>
          </w:p>
        </w:tc>
        <w:tc>
          <w:tcPr>
            <w:tcW w:w="2075" w:type="dxa"/>
          </w:tcPr>
          <w:p w14:paraId="5ACE2D76" w14:textId="1ED5869B" w:rsidR="007A345A" w:rsidRPr="00784953" w:rsidRDefault="00784953" w:rsidP="003C4EE5">
            <w:pPr>
              <w:spacing w:after="0" w:line="240" w:lineRule="auto"/>
              <w:cnfStyle w:val="000000000000" w:firstRow="0" w:lastRow="0" w:firstColumn="0" w:lastColumn="0" w:oddVBand="0" w:evenVBand="0" w:oddHBand="0" w:evenHBand="0" w:firstRowFirstColumn="0" w:firstRowLastColumn="0" w:lastRowFirstColumn="0" w:lastRowLastColumn="0"/>
            </w:pPr>
            <w:r w:rsidRPr="00784953">
              <w:t>662</w:t>
            </w:r>
          </w:p>
        </w:tc>
      </w:tr>
      <w:tr w:rsidR="00784953" w:rsidRPr="00784953" w14:paraId="26760855" w14:textId="77777777" w:rsidTr="00294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C577AB0" w14:textId="33B62AF7" w:rsidR="00784953" w:rsidRPr="00784953" w:rsidRDefault="00784953" w:rsidP="003C4EE5">
            <w:pPr>
              <w:spacing w:after="0" w:line="240" w:lineRule="auto"/>
              <w:ind w:left="34" w:right="21"/>
              <w:jc w:val="center"/>
              <w:rPr>
                <w:b w:val="0"/>
              </w:rPr>
            </w:pPr>
            <w:r w:rsidRPr="00784953">
              <w:rPr>
                <w:b w:val="0"/>
              </w:rPr>
              <w:t xml:space="preserve">Number of landing trips targeting monkfish </w:t>
            </w:r>
          </w:p>
        </w:tc>
        <w:tc>
          <w:tcPr>
            <w:tcW w:w="1843" w:type="dxa"/>
          </w:tcPr>
          <w:p w14:paraId="330A71DA" w14:textId="3D41CE8A" w:rsidR="00784953" w:rsidRPr="00784953" w:rsidRDefault="00784953" w:rsidP="003C4EE5">
            <w:pPr>
              <w:spacing w:after="0" w:line="240" w:lineRule="auto"/>
              <w:ind w:left="743" w:hanging="176"/>
              <w:cnfStyle w:val="000000100000" w:firstRow="0" w:lastRow="0" w:firstColumn="0" w:lastColumn="0" w:oddVBand="0" w:evenVBand="0" w:oddHBand="1" w:evenHBand="0" w:firstRowFirstColumn="0" w:firstRowLastColumn="0" w:lastRowFirstColumn="0" w:lastRowLastColumn="0"/>
            </w:pPr>
            <w:r w:rsidRPr="00784953">
              <w:t>803</w:t>
            </w:r>
          </w:p>
        </w:tc>
        <w:tc>
          <w:tcPr>
            <w:tcW w:w="2126" w:type="dxa"/>
          </w:tcPr>
          <w:p w14:paraId="32BE8FB6" w14:textId="493D568D" w:rsidR="00784953" w:rsidRPr="00784953" w:rsidRDefault="00784953" w:rsidP="003C4EE5">
            <w:pPr>
              <w:spacing w:after="0" w:line="240" w:lineRule="auto"/>
              <w:cnfStyle w:val="000000100000" w:firstRow="0" w:lastRow="0" w:firstColumn="0" w:lastColumn="0" w:oddVBand="0" w:evenVBand="0" w:oddHBand="1" w:evenHBand="0" w:firstRowFirstColumn="0" w:firstRowLastColumn="0" w:lastRowFirstColumn="0" w:lastRowLastColumn="0"/>
            </w:pPr>
            <w:r w:rsidRPr="00784953">
              <w:t>8446</w:t>
            </w:r>
          </w:p>
        </w:tc>
        <w:tc>
          <w:tcPr>
            <w:tcW w:w="2075" w:type="dxa"/>
          </w:tcPr>
          <w:p w14:paraId="539C18F3" w14:textId="49D83BCC" w:rsidR="00784953" w:rsidRPr="00784953" w:rsidRDefault="00784953" w:rsidP="003C4EE5">
            <w:pPr>
              <w:spacing w:after="0" w:line="240" w:lineRule="auto"/>
              <w:cnfStyle w:val="000000100000" w:firstRow="0" w:lastRow="0" w:firstColumn="0" w:lastColumn="0" w:oddVBand="0" w:evenVBand="0" w:oddHBand="1" w:evenHBand="0" w:firstRowFirstColumn="0" w:firstRowLastColumn="0" w:lastRowFirstColumn="0" w:lastRowLastColumn="0"/>
            </w:pPr>
            <w:r w:rsidRPr="00784953">
              <w:t>5348</w:t>
            </w:r>
          </w:p>
        </w:tc>
      </w:tr>
      <w:tr w:rsidR="003C4EE5" w:rsidRPr="00CD08D8" w14:paraId="6347888A" w14:textId="77777777" w:rsidTr="002942C2">
        <w:tc>
          <w:tcPr>
            <w:cnfStyle w:val="001000000000" w:firstRow="0" w:lastRow="0" w:firstColumn="1" w:lastColumn="0" w:oddVBand="0" w:evenVBand="0" w:oddHBand="0" w:evenHBand="0" w:firstRowFirstColumn="0" w:firstRowLastColumn="0" w:lastRowFirstColumn="0" w:lastRowLastColumn="0"/>
            <w:tcW w:w="2972" w:type="dxa"/>
          </w:tcPr>
          <w:p w14:paraId="79DA4198" w14:textId="77777777" w:rsidR="003C4EE5" w:rsidRPr="00784953" w:rsidRDefault="003C4EE5" w:rsidP="003C4EE5">
            <w:pPr>
              <w:spacing w:after="0" w:line="240" w:lineRule="auto"/>
              <w:ind w:left="34" w:right="21"/>
              <w:jc w:val="center"/>
              <w:rPr>
                <w:b w:val="0"/>
              </w:rPr>
            </w:pPr>
            <w:r w:rsidRPr="00784953">
              <w:rPr>
                <w:b w:val="0"/>
              </w:rPr>
              <w:t>Proportion of trips sampled per year</w:t>
            </w:r>
          </w:p>
        </w:tc>
        <w:tc>
          <w:tcPr>
            <w:tcW w:w="1843" w:type="dxa"/>
          </w:tcPr>
          <w:p w14:paraId="45135D61" w14:textId="492D6DDF" w:rsidR="003C4EE5" w:rsidRPr="00784953" w:rsidRDefault="00784953" w:rsidP="003C4EE5">
            <w:pPr>
              <w:spacing w:after="0" w:line="240" w:lineRule="auto"/>
              <w:ind w:left="743" w:hanging="176"/>
              <w:cnfStyle w:val="000000000000" w:firstRow="0" w:lastRow="0" w:firstColumn="0" w:lastColumn="0" w:oddVBand="0" w:evenVBand="0" w:oddHBand="0" w:evenHBand="0" w:firstRowFirstColumn="0" w:firstRowLastColumn="0" w:lastRowFirstColumn="0" w:lastRowLastColumn="0"/>
            </w:pPr>
            <w:r w:rsidRPr="00784953">
              <w:t>3%</w:t>
            </w:r>
          </w:p>
        </w:tc>
        <w:tc>
          <w:tcPr>
            <w:tcW w:w="2126" w:type="dxa"/>
          </w:tcPr>
          <w:p w14:paraId="12F22124" w14:textId="212D52F7" w:rsidR="003C4EE5" w:rsidRPr="00784953" w:rsidRDefault="00784953" w:rsidP="003C4EE5">
            <w:pPr>
              <w:spacing w:after="0" w:line="240" w:lineRule="auto"/>
              <w:cnfStyle w:val="000000000000" w:firstRow="0" w:lastRow="0" w:firstColumn="0" w:lastColumn="0" w:oddVBand="0" w:evenVBand="0" w:oddHBand="0" w:evenHBand="0" w:firstRowFirstColumn="0" w:firstRowLastColumn="0" w:lastRowFirstColumn="0" w:lastRowLastColumn="0"/>
            </w:pPr>
            <w:r w:rsidRPr="00784953">
              <w:t>0.5%</w:t>
            </w:r>
          </w:p>
        </w:tc>
        <w:tc>
          <w:tcPr>
            <w:tcW w:w="2075" w:type="dxa"/>
          </w:tcPr>
          <w:p w14:paraId="6DEE1FD1" w14:textId="7F34F8E7" w:rsidR="003C4EE5" w:rsidRPr="00784953" w:rsidRDefault="00784953" w:rsidP="003C4EE5">
            <w:pPr>
              <w:spacing w:after="0" w:line="240" w:lineRule="auto"/>
              <w:cnfStyle w:val="000000000000" w:firstRow="0" w:lastRow="0" w:firstColumn="0" w:lastColumn="0" w:oddVBand="0" w:evenVBand="0" w:oddHBand="0" w:evenHBand="0" w:firstRowFirstColumn="0" w:firstRowLastColumn="0" w:lastRowFirstColumn="0" w:lastRowLastColumn="0"/>
            </w:pPr>
            <w:r w:rsidRPr="00784953">
              <w:t>1.4%</w:t>
            </w:r>
          </w:p>
        </w:tc>
      </w:tr>
    </w:tbl>
    <w:p w14:paraId="4C1BCBAA" w14:textId="5408220B" w:rsidR="003C4EE5" w:rsidRDefault="003C4EE5" w:rsidP="00A74BBA">
      <w:bookmarkStart w:id="30" w:name="_Toc516750539"/>
    </w:p>
    <w:p w14:paraId="2C8E6306" w14:textId="1EED83CD" w:rsidR="003C4EE5" w:rsidRPr="009A221C" w:rsidRDefault="003C4EE5" w:rsidP="003C4EE5">
      <w:pPr>
        <w:pStyle w:val="Heading2"/>
      </w:pPr>
      <w:bookmarkStart w:id="31" w:name="_Toc518658145"/>
      <w:r>
        <w:t>C</w:t>
      </w:r>
      <w:r w:rsidRPr="009A221C">
        <w:t>atch profile</w:t>
      </w:r>
      <w:bookmarkEnd w:id="30"/>
      <w:bookmarkEnd w:id="31"/>
    </w:p>
    <w:p w14:paraId="6D79B511" w14:textId="77777777" w:rsidR="003C4EE5" w:rsidRPr="009A221C" w:rsidRDefault="003C4EE5" w:rsidP="003C4EE5">
      <w:r w:rsidRPr="009A221C">
        <w:t xml:space="preserve">Landings and discards estimates were combined to produce total catch profile for each UoA (OTB, TBB and Netters). Landings, Discards and proportion of each species in the catch are presented in </w:t>
      </w:r>
      <w:r>
        <w:rPr>
          <w:highlight w:val="yellow"/>
        </w:rPr>
        <w:fldChar w:fldCharType="begin"/>
      </w:r>
      <w:r>
        <w:instrText xml:space="preserve"> REF _Ref516246596 \h </w:instrText>
      </w:r>
      <w:r>
        <w:rPr>
          <w:highlight w:val="yellow"/>
        </w:rPr>
      </w:r>
      <w:r>
        <w:rPr>
          <w:highlight w:val="yellow"/>
        </w:rPr>
        <w:fldChar w:fldCharType="separate"/>
      </w:r>
      <w:r>
        <w:t xml:space="preserve">Table </w:t>
      </w:r>
      <w:r>
        <w:rPr>
          <w:noProof/>
        </w:rPr>
        <w:t>4</w:t>
      </w:r>
      <w:r>
        <w:rPr>
          <w:highlight w:val="yellow"/>
        </w:rPr>
        <w:fldChar w:fldCharType="end"/>
      </w:r>
      <w:r w:rsidRPr="009A221C">
        <w:t xml:space="preserve">. </w:t>
      </w:r>
    </w:p>
    <w:p w14:paraId="71244FD9" w14:textId="2EFDB117" w:rsidR="003C4EE5" w:rsidRPr="009A221C" w:rsidRDefault="003C4EE5" w:rsidP="003C4EE5">
      <w:r w:rsidRPr="009A221C">
        <w:t xml:space="preserve">The latest version of the MSC standard re-categorises those other species caught in the fishery as either Primary (PI 2.1.1-2.1.3) or Secondary (2.2.1 – 2.2.3), regardless of whether it is retained or discarded. The rationale to define a species as </w:t>
      </w:r>
      <w:r w:rsidRPr="00DB2A0C">
        <w:rPr>
          <w:b/>
        </w:rPr>
        <w:t>Primary species</w:t>
      </w:r>
      <w:r w:rsidRPr="009A221C">
        <w:t xml:space="preserve"> within Principle 2 as those where a</w:t>
      </w:r>
      <w:r>
        <w:t>n</w:t>
      </w:r>
      <w:r w:rsidRPr="009A221C">
        <w:t xml:space="preserve"> analytical stock assessment is available, that have management measures and tools in place intended to achieve stock management objectives reflected in either limit or target ref</w:t>
      </w:r>
      <w:r>
        <w:t>erence points.  If a species is a data limited stock (DLS)</w:t>
      </w:r>
      <w:r w:rsidRPr="009A221C">
        <w:t xml:space="preserve">, management limits or reference points are not in place then </w:t>
      </w:r>
      <w:r>
        <w:t xml:space="preserve">the species is classified as a </w:t>
      </w:r>
      <w:r w:rsidRPr="00DB2A0C">
        <w:rPr>
          <w:b/>
        </w:rPr>
        <w:t>Secondary species</w:t>
      </w:r>
      <w:r>
        <w:t xml:space="preserve"> (</w:t>
      </w:r>
      <w:r w:rsidRPr="009A221C">
        <w:t>unless it is classified as Enda</w:t>
      </w:r>
      <w:r>
        <w:t>ngered, Threatened or Protected)</w:t>
      </w:r>
      <w:r w:rsidRPr="009A221C">
        <w:t>.</w:t>
      </w:r>
      <w:r>
        <w:t xml:space="preserve"> </w:t>
      </w:r>
    </w:p>
    <w:p w14:paraId="19182FA5" w14:textId="69F2010E" w:rsidR="003C4EE5" w:rsidRPr="009A221C" w:rsidRDefault="003C4EE5" w:rsidP="003C4EE5">
      <w:r w:rsidRPr="009A221C">
        <w:t>The main secondary species were selected for each UoA</w:t>
      </w:r>
      <w:r>
        <w:t>, based on the proportion of the total catch (kg),</w:t>
      </w:r>
      <w:r w:rsidRPr="009A221C">
        <w:t xml:space="preserve"> using a 5% </w:t>
      </w:r>
      <w:r>
        <w:t xml:space="preserve">of total catch </w:t>
      </w:r>
      <w:r w:rsidRPr="009A221C">
        <w:t>threshold or 2% for less resilient species</w:t>
      </w:r>
      <w:r w:rsidR="00757551">
        <w:t xml:space="preserve"> (generally long lived, low fecund species such as most sharks).</w:t>
      </w:r>
    </w:p>
    <w:p w14:paraId="4FE89180" w14:textId="77777777" w:rsidR="003C4EE5" w:rsidRPr="009A221C" w:rsidRDefault="003C4EE5" w:rsidP="003C4EE5">
      <w:pPr>
        <w:pStyle w:val="Heading2"/>
      </w:pPr>
      <w:bookmarkStart w:id="32" w:name="_Toc516750540"/>
      <w:bookmarkStart w:id="33" w:name="_Toc518658146"/>
      <w:r w:rsidRPr="009A221C">
        <w:t>Productivity and susceptibility Analysis - PSA</w:t>
      </w:r>
      <w:bookmarkEnd w:id="32"/>
      <w:bookmarkEnd w:id="33"/>
    </w:p>
    <w:p w14:paraId="2822BD0F" w14:textId="6244E4E9" w:rsidR="003C4EE5" w:rsidRDefault="003C4EE5" w:rsidP="003C4EE5">
      <w:r w:rsidRPr="009A221C">
        <w:t xml:space="preserve">The PSA approach is a method of assessment which allows all units within any of the ecological components to be screened for risk. The PSA methodology scores attributes on a three-point scale (i.e., 1 = low, 2 = moderate, 3 = high).  It combines information on productivity and exposure to fishing to assess potential risk.  Because of the precautionary approach to uncertainty, the list of high risk species should not be interpreted as all being at high risk from fishing. </w:t>
      </w:r>
      <w:r w:rsidR="00834B18">
        <w:t>instead this approach</w:t>
      </w:r>
      <w:r w:rsidRPr="009A221C">
        <w:t xml:space="preserve"> considered to be a screening process to identify species or habitats that require further investigation. Stocks that receive a low productivity score and a high susceptibility score are considered to be the most vulnerable, while stocks with a high productivity score and low susceptibility score are considered to be the least vulnerable.</w:t>
      </w:r>
    </w:p>
    <w:p w14:paraId="57BBAEF5" w14:textId="77777777" w:rsidR="003C4EE5" w:rsidRPr="009A221C" w:rsidRDefault="003C4EE5" w:rsidP="003C4EE5">
      <w:pPr>
        <w:pStyle w:val="Heading3"/>
      </w:pPr>
      <w:bookmarkStart w:id="34" w:name="_Toc516750541"/>
      <w:bookmarkStart w:id="35" w:name="_Toc518658147"/>
      <w:r>
        <w:lastRenderedPageBreak/>
        <w:t>Productivity</w:t>
      </w:r>
      <w:bookmarkEnd w:id="34"/>
      <w:bookmarkEnd w:id="35"/>
    </w:p>
    <w:p w14:paraId="7BF0A5E8" w14:textId="58ED5AFF" w:rsidR="003C4EE5" w:rsidRDefault="003C4EE5" w:rsidP="003C4EE5">
      <w:r w:rsidRPr="009A221C">
        <w:t xml:space="preserve">There are eight different intrinsic parameters that are required for assessing the productivity of </w:t>
      </w:r>
      <w:r>
        <w:t xml:space="preserve">species. </w:t>
      </w:r>
      <w:r w:rsidRPr="009A221C">
        <w:t>These are explic</w:t>
      </w:r>
      <w:r>
        <w:t xml:space="preserve">itly outlined in </w:t>
      </w:r>
      <w:r>
        <w:fldChar w:fldCharType="begin"/>
      </w:r>
      <w:r>
        <w:instrText xml:space="preserve"> REF _Ref516246754 \h </w:instrText>
      </w:r>
      <w:r>
        <w:fldChar w:fldCharType="separate"/>
      </w:r>
      <w:r>
        <w:t xml:space="preserve">Table </w:t>
      </w:r>
      <w:r>
        <w:rPr>
          <w:noProof/>
        </w:rPr>
        <w:t>2</w:t>
      </w:r>
      <w:r>
        <w:fldChar w:fldCharType="end"/>
      </w:r>
      <w:r w:rsidRPr="009A221C">
        <w:t>.</w:t>
      </w:r>
    </w:p>
    <w:p w14:paraId="5A19BDA6" w14:textId="77777777" w:rsidR="003C4EE5" w:rsidRPr="009A221C" w:rsidRDefault="003C4EE5" w:rsidP="003C4EE5">
      <w:pPr>
        <w:pStyle w:val="Caption"/>
      </w:pPr>
      <w:bookmarkStart w:id="36" w:name="_Ref516246754"/>
      <w:bookmarkStart w:id="37" w:name="_Toc516668626"/>
      <w:bookmarkStart w:id="38" w:name="_Toc516669265"/>
      <w:bookmarkStart w:id="39" w:name="_Toc516669277"/>
      <w:bookmarkStart w:id="40" w:name="_Toc518658161"/>
      <w:bookmarkStart w:id="41" w:name="_Toc518658173"/>
      <w:r>
        <w:t xml:space="preserve">Table </w:t>
      </w:r>
      <w:r w:rsidR="00DB2E87">
        <w:rPr>
          <w:noProof/>
        </w:rPr>
        <w:fldChar w:fldCharType="begin"/>
      </w:r>
      <w:r w:rsidR="00DB2E87">
        <w:rPr>
          <w:noProof/>
        </w:rPr>
        <w:instrText xml:space="preserve"> SEQ Table \* ARABIC </w:instrText>
      </w:r>
      <w:r w:rsidR="00DB2E87">
        <w:rPr>
          <w:noProof/>
        </w:rPr>
        <w:fldChar w:fldCharType="separate"/>
      </w:r>
      <w:r>
        <w:rPr>
          <w:noProof/>
        </w:rPr>
        <w:t>3</w:t>
      </w:r>
      <w:r w:rsidR="00DB2E87">
        <w:rPr>
          <w:noProof/>
        </w:rPr>
        <w:fldChar w:fldCharType="end"/>
      </w:r>
      <w:bookmarkEnd w:id="36"/>
      <w:r>
        <w:t>. Life history attributes for productivity assessment and cut off scores for risk levels.</w:t>
      </w:r>
      <w:bookmarkEnd w:id="37"/>
      <w:bookmarkEnd w:id="38"/>
      <w:bookmarkEnd w:id="39"/>
      <w:bookmarkEnd w:id="40"/>
      <w:bookmarkEnd w:id="41"/>
    </w:p>
    <w:tbl>
      <w:tblPr>
        <w:tblStyle w:val="TableGrid"/>
        <w:tblW w:w="0" w:type="auto"/>
        <w:tblInd w:w="567" w:type="dxa"/>
        <w:tblLook w:val="04A0" w:firstRow="1" w:lastRow="0" w:firstColumn="1" w:lastColumn="0" w:noHBand="0" w:noVBand="1"/>
      </w:tblPr>
      <w:tblGrid>
        <w:gridCol w:w="1696"/>
        <w:gridCol w:w="2268"/>
        <w:gridCol w:w="2373"/>
        <w:gridCol w:w="2112"/>
      </w:tblGrid>
      <w:tr w:rsidR="003C4EE5" w:rsidRPr="009A221C" w14:paraId="5242859A" w14:textId="77777777" w:rsidTr="003C4EE5">
        <w:tc>
          <w:tcPr>
            <w:tcW w:w="1696" w:type="dxa"/>
            <w:shd w:val="clear" w:color="auto" w:fill="D9D9D9" w:themeFill="background1" w:themeFillShade="D9"/>
          </w:tcPr>
          <w:p w14:paraId="288D79A0" w14:textId="77777777" w:rsidR="003C4EE5" w:rsidRPr="009A221C" w:rsidRDefault="003C4EE5" w:rsidP="003C4EE5">
            <w:pPr>
              <w:ind w:left="0"/>
              <w:rPr>
                <w:b/>
              </w:rPr>
            </w:pPr>
            <w:r w:rsidRPr="009A221C">
              <w:rPr>
                <w:b/>
              </w:rPr>
              <w:t>Productivity attribute</w:t>
            </w:r>
          </w:p>
        </w:tc>
        <w:tc>
          <w:tcPr>
            <w:tcW w:w="2268" w:type="dxa"/>
            <w:shd w:val="clear" w:color="auto" w:fill="C5E0B3" w:themeFill="accent6" w:themeFillTint="66"/>
          </w:tcPr>
          <w:p w14:paraId="567FAD50" w14:textId="77777777" w:rsidR="003C4EE5" w:rsidRPr="009A221C" w:rsidRDefault="003C4EE5" w:rsidP="003C4EE5">
            <w:pPr>
              <w:ind w:left="0"/>
              <w:rPr>
                <w:b/>
              </w:rPr>
            </w:pPr>
            <w:r w:rsidRPr="009A221C">
              <w:rPr>
                <w:b/>
              </w:rPr>
              <w:t>High productivity (Low risk, score =1)</w:t>
            </w:r>
          </w:p>
        </w:tc>
        <w:tc>
          <w:tcPr>
            <w:tcW w:w="2373" w:type="dxa"/>
            <w:shd w:val="clear" w:color="auto" w:fill="FFE599" w:themeFill="accent4" w:themeFillTint="66"/>
          </w:tcPr>
          <w:p w14:paraId="7B28CD1F" w14:textId="77777777" w:rsidR="003C4EE5" w:rsidRPr="009A221C" w:rsidRDefault="003C4EE5" w:rsidP="003C4EE5">
            <w:pPr>
              <w:ind w:left="0"/>
              <w:rPr>
                <w:b/>
              </w:rPr>
            </w:pPr>
            <w:r w:rsidRPr="009A221C">
              <w:rPr>
                <w:b/>
              </w:rPr>
              <w:t>Medium productivity (medium risk, score =2)</w:t>
            </w:r>
          </w:p>
        </w:tc>
        <w:tc>
          <w:tcPr>
            <w:tcW w:w="2112" w:type="dxa"/>
            <w:shd w:val="clear" w:color="auto" w:fill="C45911" w:themeFill="accent2" w:themeFillShade="BF"/>
          </w:tcPr>
          <w:p w14:paraId="67521027" w14:textId="77777777" w:rsidR="003C4EE5" w:rsidRPr="009A221C" w:rsidRDefault="003C4EE5" w:rsidP="003C4EE5">
            <w:pPr>
              <w:ind w:left="0"/>
              <w:rPr>
                <w:b/>
              </w:rPr>
            </w:pPr>
            <w:r w:rsidRPr="009A221C">
              <w:rPr>
                <w:b/>
              </w:rPr>
              <w:t>Low productivity (high risk, score =3)</w:t>
            </w:r>
          </w:p>
        </w:tc>
      </w:tr>
      <w:tr w:rsidR="003C4EE5" w:rsidRPr="009A221C" w14:paraId="4EF0545D" w14:textId="77777777" w:rsidTr="003C4EE5">
        <w:tc>
          <w:tcPr>
            <w:tcW w:w="1696" w:type="dxa"/>
          </w:tcPr>
          <w:p w14:paraId="5D0C5230" w14:textId="77777777" w:rsidR="003C4EE5" w:rsidRPr="009A221C" w:rsidRDefault="003C4EE5" w:rsidP="003C4EE5">
            <w:pPr>
              <w:ind w:left="0"/>
            </w:pPr>
            <w:r w:rsidRPr="009A221C">
              <w:t>Average age maturity</w:t>
            </w:r>
          </w:p>
        </w:tc>
        <w:tc>
          <w:tcPr>
            <w:tcW w:w="2268" w:type="dxa"/>
          </w:tcPr>
          <w:p w14:paraId="3CB9F532" w14:textId="77777777" w:rsidR="003C4EE5" w:rsidRPr="009A221C" w:rsidRDefault="003C4EE5" w:rsidP="003C4EE5">
            <w:pPr>
              <w:ind w:left="0"/>
            </w:pPr>
            <w:r w:rsidRPr="009A221C">
              <w:t>&gt;5 years</w:t>
            </w:r>
          </w:p>
        </w:tc>
        <w:tc>
          <w:tcPr>
            <w:tcW w:w="2373" w:type="dxa"/>
          </w:tcPr>
          <w:p w14:paraId="45005F5F" w14:textId="77777777" w:rsidR="003C4EE5" w:rsidRPr="009A221C" w:rsidRDefault="003C4EE5" w:rsidP="003C4EE5">
            <w:pPr>
              <w:ind w:left="0"/>
            </w:pPr>
            <w:r w:rsidRPr="009A221C">
              <w:t>5-15 years</w:t>
            </w:r>
          </w:p>
        </w:tc>
        <w:tc>
          <w:tcPr>
            <w:tcW w:w="2112" w:type="dxa"/>
          </w:tcPr>
          <w:p w14:paraId="3A57A20B" w14:textId="77777777" w:rsidR="003C4EE5" w:rsidRPr="009A221C" w:rsidRDefault="003C4EE5" w:rsidP="003C4EE5">
            <w:pPr>
              <w:ind w:left="0"/>
            </w:pPr>
            <w:r w:rsidRPr="009A221C">
              <w:t>&gt;15 years</w:t>
            </w:r>
          </w:p>
        </w:tc>
      </w:tr>
      <w:tr w:rsidR="003C4EE5" w:rsidRPr="009A221C" w14:paraId="342333F4" w14:textId="77777777" w:rsidTr="003C4EE5">
        <w:tc>
          <w:tcPr>
            <w:tcW w:w="1696" w:type="dxa"/>
          </w:tcPr>
          <w:p w14:paraId="74E161DA" w14:textId="77777777" w:rsidR="003C4EE5" w:rsidRPr="009A221C" w:rsidRDefault="003C4EE5" w:rsidP="003C4EE5">
            <w:pPr>
              <w:ind w:left="0"/>
            </w:pPr>
            <w:r w:rsidRPr="009A221C">
              <w:t>Average maximum age</w:t>
            </w:r>
            <w:r>
              <w:t xml:space="preserve"> (</w:t>
            </w:r>
            <w:r>
              <w:rPr>
                <w:i/>
              </w:rPr>
              <w:t>Lmax</w:t>
            </w:r>
            <w:r>
              <w:t xml:space="preserve">) </w:t>
            </w:r>
          </w:p>
        </w:tc>
        <w:tc>
          <w:tcPr>
            <w:tcW w:w="2268" w:type="dxa"/>
          </w:tcPr>
          <w:p w14:paraId="0573E1E2" w14:textId="77777777" w:rsidR="003C4EE5" w:rsidRPr="009A221C" w:rsidRDefault="003C4EE5" w:rsidP="003C4EE5">
            <w:pPr>
              <w:ind w:left="0"/>
            </w:pPr>
            <w:r w:rsidRPr="009A221C">
              <w:t>&lt;10 years</w:t>
            </w:r>
          </w:p>
        </w:tc>
        <w:tc>
          <w:tcPr>
            <w:tcW w:w="2373" w:type="dxa"/>
          </w:tcPr>
          <w:p w14:paraId="49AD4DFA" w14:textId="77777777" w:rsidR="003C4EE5" w:rsidRPr="009A221C" w:rsidRDefault="003C4EE5" w:rsidP="003C4EE5">
            <w:pPr>
              <w:ind w:left="0"/>
            </w:pPr>
            <w:r w:rsidRPr="009A221C">
              <w:t>10-25 years</w:t>
            </w:r>
          </w:p>
        </w:tc>
        <w:tc>
          <w:tcPr>
            <w:tcW w:w="2112" w:type="dxa"/>
          </w:tcPr>
          <w:p w14:paraId="1895567A" w14:textId="77777777" w:rsidR="003C4EE5" w:rsidRPr="009A221C" w:rsidRDefault="003C4EE5" w:rsidP="003C4EE5">
            <w:pPr>
              <w:ind w:left="0"/>
            </w:pPr>
            <w:r w:rsidRPr="009A221C">
              <w:t>&gt;25 years</w:t>
            </w:r>
          </w:p>
        </w:tc>
      </w:tr>
      <w:tr w:rsidR="003C4EE5" w:rsidRPr="009A221C" w14:paraId="05E9E42A" w14:textId="77777777" w:rsidTr="003C4EE5">
        <w:tc>
          <w:tcPr>
            <w:tcW w:w="1696" w:type="dxa"/>
          </w:tcPr>
          <w:p w14:paraId="458CE2DE" w14:textId="77777777" w:rsidR="003C4EE5" w:rsidRPr="009A221C" w:rsidRDefault="003C4EE5" w:rsidP="003C4EE5">
            <w:pPr>
              <w:ind w:left="0"/>
            </w:pPr>
            <w:r>
              <w:t>Fecundity</w:t>
            </w:r>
          </w:p>
        </w:tc>
        <w:tc>
          <w:tcPr>
            <w:tcW w:w="2268" w:type="dxa"/>
          </w:tcPr>
          <w:p w14:paraId="48E84693" w14:textId="77777777" w:rsidR="003C4EE5" w:rsidRPr="009A221C" w:rsidRDefault="003C4EE5" w:rsidP="003C4EE5">
            <w:pPr>
              <w:ind w:left="0"/>
            </w:pPr>
            <w:r>
              <w:t>&gt;20,000 eggs per year</w:t>
            </w:r>
          </w:p>
        </w:tc>
        <w:tc>
          <w:tcPr>
            <w:tcW w:w="2373" w:type="dxa"/>
          </w:tcPr>
          <w:p w14:paraId="11E84CC6" w14:textId="77777777" w:rsidR="003C4EE5" w:rsidRPr="009A221C" w:rsidRDefault="003C4EE5" w:rsidP="003C4EE5">
            <w:pPr>
              <w:ind w:left="0"/>
            </w:pPr>
            <w:r>
              <w:t>100 – 20,000 eggs per year</w:t>
            </w:r>
          </w:p>
        </w:tc>
        <w:tc>
          <w:tcPr>
            <w:tcW w:w="2112" w:type="dxa"/>
          </w:tcPr>
          <w:p w14:paraId="17D5F377" w14:textId="77777777" w:rsidR="003C4EE5" w:rsidRPr="009A221C" w:rsidRDefault="003C4EE5" w:rsidP="003C4EE5">
            <w:pPr>
              <w:ind w:left="0"/>
            </w:pPr>
            <w:r>
              <w:t>&lt;100 eggs per year</w:t>
            </w:r>
          </w:p>
        </w:tc>
      </w:tr>
      <w:tr w:rsidR="003C4EE5" w:rsidRPr="009A221C" w14:paraId="3EFA58D0" w14:textId="77777777" w:rsidTr="003C4EE5">
        <w:tc>
          <w:tcPr>
            <w:tcW w:w="1696" w:type="dxa"/>
          </w:tcPr>
          <w:p w14:paraId="78E2E11E" w14:textId="77777777" w:rsidR="003C4EE5" w:rsidRPr="009A221C" w:rsidRDefault="003C4EE5" w:rsidP="003C4EE5">
            <w:pPr>
              <w:ind w:left="0"/>
            </w:pPr>
            <w:r w:rsidRPr="009A221C">
              <w:t>Average maximum size (</w:t>
            </w:r>
            <w:r w:rsidRPr="009A221C">
              <w:rPr>
                <w:u w:val="single"/>
              </w:rPr>
              <w:t>not</w:t>
            </w:r>
            <w:r w:rsidRPr="009A221C">
              <w:t xml:space="preserve"> to be used when scoring invertebrates)</w:t>
            </w:r>
          </w:p>
        </w:tc>
        <w:tc>
          <w:tcPr>
            <w:tcW w:w="2268" w:type="dxa"/>
          </w:tcPr>
          <w:p w14:paraId="32E32F24" w14:textId="77777777" w:rsidR="003C4EE5" w:rsidRPr="009A221C" w:rsidRDefault="003C4EE5" w:rsidP="003C4EE5">
            <w:pPr>
              <w:ind w:left="0"/>
            </w:pPr>
            <w:r w:rsidRPr="009A221C">
              <w:t xml:space="preserve">&lt;100 cm </w:t>
            </w:r>
          </w:p>
        </w:tc>
        <w:tc>
          <w:tcPr>
            <w:tcW w:w="2373" w:type="dxa"/>
          </w:tcPr>
          <w:p w14:paraId="509439A4" w14:textId="77777777" w:rsidR="003C4EE5" w:rsidRPr="009A221C" w:rsidRDefault="003C4EE5" w:rsidP="003C4EE5">
            <w:pPr>
              <w:ind w:left="0"/>
            </w:pPr>
            <w:r w:rsidRPr="009A221C">
              <w:t>100-300 cm</w:t>
            </w:r>
          </w:p>
        </w:tc>
        <w:tc>
          <w:tcPr>
            <w:tcW w:w="2112" w:type="dxa"/>
          </w:tcPr>
          <w:p w14:paraId="61741FF1" w14:textId="77777777" w:rsidR="003C4EE5" w:rsidRPr="009A221C" w:rsidRDefault="003C4EE5" w:rsidP="003C4EE5">
            <w:pPr>
              <w:ind w:left="0"/>
            </w:pPr>
            <w:r w:rsidRPr="009A221C">
              <w:t>&gt;300 cm</w:t>
            </w:r>
          </w:p>
        </w:tc>
      </w:tr>
      <w:tr w:rsidR="003C4EE5" w:rsidRPr="009A221C" w14:paraId="54114F57" w14:textId="77777777" w:rsidTr="003C4EE5">
        <w:tc>
          <w:tcPr>
            <w:tcW w:w="1696" w:type="dxa"/>
          </w:tcPr>
          <w:p w14:paraId="252DEB7F" w14:textId="77777777" w:rsidR="003C4EE5" w:rsidRPr="009A221C" w:rsidRDefault="003C4EE5" w:rsidP="003C4EE5">
            <w:pPr>
              <w:ind w:left="0"/>
            </w:pPr>
            <w:r w:rsidRPr="009A221C">
              <w:t xml:space="preserve">Average size at maturity </w:t>
            </w:r>
            <w:r>
              <w:rPr>
                <w:i/>
              </w:rPr>
              <w:t xml:space="preserve">Lmat </w:t>
            </w:r>
            <w:r w:rsidRPr="009A221C">
              <w:t>(</w:t>
            </w:r>
            <w:r w:rsidRPr="009A221C">
              <w:rPr>
                <w:u w:val="single"/>
              </w:rPr>
              <w:t>not</w:t>
            </w:r>
            <w:r w:rsidRPr="009A221C">
              <w:t xml:space="preserve"> to be used when scoring invertebrates)</w:t>
            </w:r>
          </w:p>
        </w:tc>
        <w:tc>
          <w:tcPr>
            <w:tcW w:w="2268" w:type="dxa"/>
          </w:tcPr>
          <w:p w14:paraId="6DB028FF" w14:textId="77777777" w:rsidR="003C4EE5" w:rsidRPr="009A221C" w:rsidRDefault="003C4EE5" w:rsidP="003C4EE5">
            <w:pPr>
              <w:ind w:left="0"/>
            </w:pPr>
            <w:r w:rsidRPr="009A221C">
              <w:t>&lt;40 cm</w:t>
            </w:r>
          </w:p>
        </w:tc>
        <w:tc>
          <w:tcPr>
            <w:tcW w:w="2373" w:type="dxa"/>
          </w:tcPr>
          <w:p w14:paraId="1A21B1E1" w14:textId="77777777" w:rsidR="003C4EE5" w:rsidRPr="009A221C" w:rsidRDefault="003C4EE5" w:rsidP="003C4EE5">
            <w:pPr>
              <w:ind w:left="0"/>
            </w:pPr>
            <w:r w:rsidRPr="009A221C">
              <w:t>40-200 cm</w:t>
            </w:r>
          </w:p>
        </w:tc>
        <w:tc>
          <w:tcPr>
            <w:tcW w:w="2112" w:type="dxa"/>
          </w:tcPr>
          <w:p w14:paraId="19B1C64E" w14:textId="77777777" w:rsidR="003C4EE5" w:rsidRPr="009A221C" w:rsidRDefault="003C4EE5" w:rsidP="003C4EE5">
            <w:pPr>
              <w:ind w:left="0"/>
            </w:pPr>
            <w:r w:rsidRPr="009A221C">
              <w:t>&gt;200 cm</w:t>
            </w:r>
          </w:p>
        </w:tc>
      </w:tr>
      <w:tr w:rsidR="003C4EE5" w:rsidRPr="009A221C" w14:paraId="7FAAD2A7" w14:textId="77777777" w:rsidTr="003C4EE5">
        <w:tc>
          <w:tcPr>
            <w:tcW w:w="1696" w:type="dxa"/>
          </w:tcPr>
          <w:p w14:paraId="371D8E81" w14:textId="77777777" w:rsidR="003C4EE5" w:rsidRPr="009A221C" w:rsidRDefault="003C4EE5" w:rsidP="003C4EE5">
            <w:pPr>
              <w:ind w:left="0"/>
            </w:pPr>
            <w:r w:rsidRPr="009A221C">
              <w:t>Reproductivity strategy</w:t>
            </w:r>
          </w:p>
        </w:tc>
        <w:tc>
          <w:tcPr>
            <w:tcW w:w="2268" w:type="dxa"/>
          </w:tcPr>
          <w:p w14:paraId="03F0B2CC" w14:textId="77777777" w:rsidR="003C4EE5" w:rsidRPr="009A221C" w:rsidRDefault="003C4EE5" w:rsidP="003C4EE5">
            <w:pPr>
              <w:ind w:left="0"/>
            </w:pPr>
            <w:r w:rsidRPr="009A221C">
              <w:t>Broadcast spawner</w:t>
            </w:r>
          </w:p>
        </w:tc>
        <w:tc>
          <w:tcPr>
            <w:tcW w:w="2373" w:type="dxa"/>
          </w:tcPr>
          <w:p w14:paraId="4407FDF9" w14:textId="77777777" w:rsidR="003C4EE5" w:rsidRPr="009A221C" w:rsidRDefault="003C4EE5" w:rsidP="003C4EE5">
            <w:pPr>
              <w:ind w:left="0"/>
            </w:pPr>
            <w:r w:rsidRPr="009A221C">
              <w:t>Demersal egg layer</w:t>
            </w:r>
          </w:p>
        </w:tc>
        <w:tc>
          <w:tcPr>
            <w:tcW w:w="2112" w:type="dxa"/>
          </w:tcPr>
          <w:p w14:paraId="01A70656" w14:textId="77777777" w:rsidR="003C4EE5" w:rsidRPr="009A221C" w:rsidRDefault="003C4EE5" w:rsidP="003C4EE5">
            <w:pPr>
              <w:ind w:left="0"/>
            </w:pPr>
            <w:r w:rsidRPr="009A221C">
              <w:t>Live bearer</w:t>
            </w:r>
          </w:p>
        </w:tc>
      </w:tr>
      <w:tr w:rsidR="003C4EE5" w:rsidRPr="009A221C" w14:paraId="7A300F2B" w14:textId="77777777" w:rsidTr="003C4EE5">
        <w:tc>
          <w:tcPr>
            <w:tcW w:w="1696" w:type="dxa"/>
          </w:tcPr>
          <w:p w14:paraId="57604076" w14:textId="77777777" w:rsidR="003C4EE5" w:rsidRPr="009A221C" w:rsidRDefault="003C4EE5" w:rsidP="003C4EE5">
            <w:pPr>
              <w:ind w:left="0"/>
            </w:pPr>
            <w:r w:rsidRPr="009A221C">
              <w:t>Trophic level</w:t>
            </w:r>
          </w:p>
        </w:tc>
        <w:tc>
          <w:tcPr>
            <w:tcW w:w="2268" w:type="dxa"/>
          </w:tcPr>
          <w:p w14:paraId="2295D48C" w14:textId="77777777" w:rsidR="003C4EE5" w:rsidRPr="009A221C" w:rsidRDefault="003C4EE5" w:rsidP="003C4EE5">
            <w:pPr>
              <w:ind w:left="0"/>
            </w:pPr>
            <w:r w:rsidRPr="009A221C">
              <w:t>&lt;2.75</w:t>
            </w:r>
          </w:p>
        </w:tc>
        <w:tc>
          <w:tcPr>
            <w:tcW w:w="2373" w:type="dxa"/>
          </w:tcPr>
          <w:p w14:paraId="6907C4FD" w14:textId="77777777" w:rsidR="003C4EE5" w:rsidRPr="009A221C" w:rsidRDefault="003C4EE5" w:rsidP="003C4EE5">
            <w:pPr>
              <w:ind w:left="0"/>
            </w:pPr>
            <w:r w:rsidRPr="009A221C">
              <w:t>2.75 – 3.25</w:t>
            </w:r>
          </w:p>
        </w:tc>
        <w:tc>
          <w:tcPr>
            <w:tcW w:w="2112" w:type="dxa"/>
          </w:tcPr>
          <w:p w14:paraId="6A1D1EB6" w14:textId="77777777" w:rsidR="003C4EE5" w:rsidRPr="009A221C" w:rsidRDefault="003C4EE5" w:rsidP="003C4EE5">
            <w:pPr>
              <w:ind w:left="0"/>
            </w:pPr>
            <w:r w:rsidRPr="009A221C">
              <w:t>&gt;3.25</w:t>
            </w:r>
          </w:p>
        </w:tc>
      </w:tr>
      <w:tr w:rsidR="003C4EE5" w:rsidRPr="009A221C" w14:paraId="4E25DA84" w14:textId="77777777" w:rsidTr="003C4EE5">
        <w:tc>
          <w:tcPr>
            <w:tcW w:w="1696" w:type="dxa"/>
          </w:tcPr>
          <w:p w14:paraId="20C2E9C5" w14:textId="77777777" w:rsidR="003C4EE5" w:rsidRPr="009A221C" w:rsidRDefault="003C4EE5" w:rsidP="003C4EE5">
            <w:pPr>
              <w:ind w:left="0"/>
            </w:pPr>
            <w:r w:rsidRPr="009A221C">
              <w:t xml:space="preserve">Density dependence (to be use </w:t>
            </w:r>
            <w:r w:rsidRPr="009A221C">
              <w:rPr>
                <w:u w:val="single"/>
              </w:rPr>
              <w:t>only</w:t>
            </w:r>
            <w:r w:rsidRPr="009A221C">
              <w:t xml:space="preserve"> for invertebrates) </w:t>
            </w:r>
          </w:p>
        </w:tc>
        <w:tc>
          <w:tcPr>
            <w:tcW w:w="2268" w:type="dxa"/>
          </w:tcPr>
          <w:p w14:paraId="708EFBDC" w14:textId="77777777" w:rsidR="003C4EE5" w:rsidRPr="009A221C" w:rsidRDefault="003C4EE5" w:rsidP="003C4EE5">
            <w:pPr>
              <w:ind w:left="0"/>
            </w:pPr>
            <w:r w:rsidRPr="009A221C">
              <w:t>Compensatory dynamics at low population size demonstrated or likely</w:t>
            </w:r>
          </w:p>
        </w:tc>
        <w:tc>
          <w:tcPr>
            <w:tcW w:w="2373" w:type="dxa"/>
          </w:tcPr>
          <w:p w14:paraId="38612A32" w14:textId="77777777" w:rsidR="003C4EE5" w:rsidRPr="009A221C" w:rsidRDefault="003C4EE5" w:rsidP="003C4EE5">
            <w:pPr>
              <w:ind w:left="0"/>
            </w:pPr>
            <w:r w:rsidRPr="009A221C">
              <w:t>No depensatory or compensatory dynamics demonstrated or likely</w:t>
            </w:r>
          </w:p>
        </w:tc>
        <w:tc>
          <w:tcPr>
            <w:tcW w:w="2112" w:type="dxa"/>
          </w:tcPr>
          <w:p w14:paraId="029CA300" w14:textId="77777777" w:rsidR="003C4EE5" w:rsidRPr="009A221C" w:rsidRDefault="003C4EE5" w:rsidP="003C4EE5">
            <w:pPr>
              <w:ind w:left="0"/>
            </w:pPr>
            <w:r w:rsidRPr="009A221C">
              <w:t>Depensatory at low populations sizes (Allee effects) demonst</w:t>
            </w:r>
            <w:r>
              <w:t>rat</w:t>
            </w:r>
            <w:r w:rsidRPr="009A221C">
              <w:t>ed or likely</w:t>
            </w:r>
          </w:p>
        </w:tc>
      </w:tr>
    </w:tbl>
    <w:p w14:paraId="1D3CD78B" w14:textId="77777777" w:rsidR="003C4EE5" w:rsidRDefault="003C4EE5" w:rsidP="003C4EE5">
      <w:pPr>
        <w:tabs>
          <w:tab w:val="left" w:pos="1524"/>
        </w:tabs>
        <w:spacing w:line="240" w:lineRule="auto"/>
      </w:pPr>
      <w:r>
        <w:tab/>
      </w:r>
    </w:p>
    <w:p w14:paraId="4225B4F4" w14:textId="77777777" w:rsidR="003C4EE5" w:rsidRDefault="003C4EE5" w:rsidP="003C4EE5">
      <w:pPr>
        <w:spacing w:line="240" w:lineRule="auto"/>
      </w:pPr>
      <w:r w:rsidRPr="00E95151">
        <w:rPr>
          <w:b/>
        </w:rPr>
        <w:t>Average age maturity (</w:t>
      </w:r>
      <w:r w:rsidRPr="00E95151">
        <w:rPr>
          <w:rFonts w:ascii="Times New Roman" w:hAnsi="Times New Roman" w:cs="Times New Roman"/>
          <w:b/>
          <w:i/>
          <w:iCs/>
        </w:rPr>
        <w:t>t</w:t>
      </w:r>
      <w:r w:rsidRPr="00E95151">
        <w:rPr>
          <w:rFonts w:ascii="Times New Roman" w:hAnsi="Times New Roman" w:cs="Times New Roman"/>
          <w:b/>
          <w:i/>
          <w:iCs/>
          <w:sz w:val="16"/>
          <w:szCs w:val="16"/>
        </w:rPr>
        <w:t>mat</w:t>
      </w:r>
      <w:r w:rsidRPr="00E95151">
        <w:rPr>
          <w:b/>
        </w:rPr>
        <w:t>):</w:t>
      </w:r>
      <w:r>
        <w:t xml:space="preserve"> Age at maturity tends to be positively related with maximum age (</w:t>
      </w:r>
      <w:r>
        <w:rPr>
          <w:rFonts w:ascii="Times New Roman" w:hAnsi="Times New Roman" w:cs="Times New Roman"/>
          <w:i/>
          <w:iCs/>
        </w:rPr>
        <w:t>t</w:t>
      </w:r>
      <w:r>
        <w:rPr>
          <w:rFonts w:ascii="Times New Roman" w:hAnsi="Times New Roman" w:cs="Times New Roman"/>
          <w:i/>
          <w:iCs/>
          <w:sz w:val="16"/>
          <w:szCs w:val="16"/>
        </w:rPr>
        <w:t>max</w:t>
      </w:r>
      <w:r>
        <w:t>), as long-lived, lower productivity stocks will have higher ages at maturity relative to short-lived stocks.</w:t>
      </w:r>
    </w:p>
    <w:p w14:paraId="3B9BDD17" w14:textId="77777777" w:rsidR="003C4EE5" w:rsidRDefault="003C4EE5" w:rsidP="003C4EE5">
      <w:r>
        <w:rPr>
          <w:b/>
        </w:rPr>
        <w:lastRenderedPageBreak/>
        <w:t xml:space="preserve">Average </w:t>
      </w:r>
      <w:r w:rsidRPr="00E95151">
        <w:rPr>
          <w:b/>
        </w:rPr>
        <w:t>Maximum age (</w:t>
      </w:r>
      <w:r w:rsidRPr="00E95151">
        <w:rPr>
          <w:rFonts w:ascii="Times New Roman" w:hAnsi="Times New Roman" w:cs="Times New Roman"/>
          <w:b/>
          <w:i/>
          <w:iCs/>
        </w:rPr>
        <w:t>t</w:t>
      </w:r>
      <w:r w:rsidRPr="00E95151">
        <w:rPr>
          <w:rFonts w:ascii="Times New Roman" w:hAnsi="Times New Roman" w:cs="Times New Roman"/>
          <w:b/>
          <w:i/>
          <w:iCs/>
          <w:sz w:val="16"/>
          <w:szCs w:val="16"/>
        </w:rPr>
        <w:t>max</w:t>
      </w:r>
      <w:r w:rsidRPr="00E95151">
        <w:rPr>
          <w:b/>
        </w:rPr>
        <w:t>):</w:t>
      </w:r>
      <w:r>
        <w:t xml:space="preserve"> Maximum age is a direct indication of the natural mortality rate (</w:t>
      </w:r>
      <w:r>
        <w:rPr>
          <w:rFonts w:ascii="Times New Roman" w:hAnsi="Times New Roman" w:cs="Times New Roman"/>
          <w:i/>
          <w:iCs/>
        </w:rPr>
        <w:t>M)</w:t>
      </w:r>
      <w:r>
        <w:t xml:space="preserve">, where low levels of </w:t>
      </w:r>
      <w:r>
        <w:rPr>
          <w:rFonts w:ascii="Times New Roman" w:hAnsi="Times New Roman" w:cs="Times New Roman"/>
          <w:i/>
          <w:iCs/>
        </w:rPr>
        <w:t xml:space="preserve">M </w:t>
      </w:r>
      <w:r>
        <w:t>are negatively correlated with high maximum ages.</w:t>
      </w:r>
    </w:p>
    <w:p w14:paraId="657D9D23" w14:textId="77777777" w:rsidR="003C4EE5" w:rsidRPr="00110EAB" w:rsidRDefault="003C4EE5" w:rsidP="003C4EE5">
      <w:r w:rsidRPr="00004E5E">
        <w:rPr>
          <w:b/>
        </w:rPr>
        <w:t>Maximum size (</w:t>
      </w:r>
      <w:r w:rsidRPr="00004E5E">
        <w:rPr>
          <w:rFonts w:ascii="Times New Roman" w:hAnsi="Times New Roman" w:cs="Times New Roman"/>
          <w:b/>
          <w:i/>
          <w:iCs/>
        </w:rPr>
        <w:t>L</w:t>
      </w:r>
      <w:r w:rsidRPr="00004E5E">
        <w:rPr>
          <w:rFonts w:ascii="Times New Roman" w:hAnsi="Times New Roman" w:cs="Times New Roman"/>
          <w:b/>
          <w:i/>
          <w:iCs/>
          <w:sz w:val="16"/>
          <w:szCs w:val="16"/>
        </w:rPr>
        <w:t>max</w:t>
      </w:r>
      <w:r w:rsidRPr="00004E5E">
        <w:rPr>
          <w:b/>
        </w:rPr>
        <w:t>)</w:t>
      </w:r>
      <w:r w:rsidRPr="00004E5E">
        <w:t xml:space="preserve">: Maximum size is correlated with productivity, with larger species tending to have lower levels of productivity. The scoring definitions were based on the ANOVA applied to the observed fish stocks </w:t>
      </w:r>
      <w:r w:rsidRPr="00110EAB">
        <w:t xml:space="preserve">considered to be representative of U.S. fisheries (Patrick </w:t>
      </w:r>
      <w:r w:rsidRPr="00110EAB">
        <w:rPr>
          <w:i/>
        </w:rPr>
        <w:t>et al.</w:t>
      </w:r>
      <w:r w:rsidRPr="00110EAB">
        <w:t xml:space="preserve"> 2009). The </w:t>
      </w:r>
      <w:r w:rsidRPr="00110EAB">
        <w:rPr>
          <w:rFonts w:ascii="Times New Roman" w:hAnsi="Times New Roman" w:cs="Times New Roman"/>
          <w:i/>
          <w:iCs/>
        </w:rPr>
        <w:t>L</w:t>
      </w:r>
      <w:r w:rsidRPr="00110EAB">
        <w:rPr>
          <w:rFonts w:ascii="Times New Roman" w:hAnsi="Times New Roman" w:cs="Times New Roman"/>
          <w:i/>
          <w:iCs/>
          <w:sz w:val="16"/>
          <w:szCs w:val="16"/>
        </w:rPr>
        <w:t xml:space="preserve">max </w:t>
      </w:r>
      <w:r w:rsidRPr="00110EAB">
        <w:t>for a majority of these fish ranges between 60 to 150 cm TL.</w:t>
      </w:r>
    </w:p>
    <w:p w14:paraId="1F022321" w14:textId="77777777" w:rsidR="003C4EE5" w:rsidRPr="00004E5E" w:rsidRDefault="003C4EE5" w:rsidP="003C4EE5">
      <w:r w:rsidRPr="00110EAB">
        <w:rPr>
          <w:b/>
        </w:rPr>
        <w:t>Fecundity</w:t>
      </w:r>
      <w:r w:rsidRPr="00110EAB">
        <w:t xml:space="preserve">: Fecundity (i.e., the number of eggs produced by a female for a given spawning event or period) varies with size and age of the spawner, so Patrick </w:t>
      </w:r>
      <w:r w:rsidRPr="00110EAB">
        <w:rPr>
          <w:i/>
        </w:rPr>
        <w:t>et al.</w:t>
      </w:r>
      <w:r w:rsidRPr="00110EAB">
        <w:t xml:space="preserve"> (2009) suggested that fecundity should be measured at the age of first maturity. However, low values</w:t>
      </w:r>
      <w:r w:rsidRPr="00004E5E">
        <w:t xml:space="preserve"> of fecundity imply low population productivity, but high values of fecundity do not necessarily imply high population productivity; thus, this attribute may be more useful at the lower fecundity values. In reality, estimates of fecundity are rare, and certainly have not been reported specific to age-at-maturity. Nevertheless, low-fecund species could be easily identified and the attribute scores made to reflect this.</w:t>
      </w:r>
    </w:p>
    <w:p w14:paraId="300A738B" w14:textId="77777777" w:rsidR="003C4EE5" w:rsidRDefault="003C4EE5" w:rsidP="003C4EE5">
      <w:r w:rsidRPr="00E95151">
        <w:rPr>
          <w:b/>
        </w:rPr>
        <w:t xml:space="preserve">Average </w:t>
      </w:r>
      <w:r>
        <w:rPr>
          <w:b/>
        </w:rPr>
        <w:t>size (</w:t>
      </w:r>
      <w:r>
        <w:rPr>
          <w:b/>
          <w:i/>
        </w:rPr>
        <w:t xml:space="preserve">Lmat): </w:t>
      </w:r>
      <w:r>
        <w:t>L</w:t>
      </w:r>
      <w:r w:rsidRPr="00004E5E">
        <w:t>ength at first maturity</w:t>
      </w:r>
      <w:r>
        <w:t xml:space="preserve"> is more readily available</w:t>
      </w:r>
      <w:r w:rsidRPr="00004E5E">
        <w:t>, or could be inferred, for some species. Equivalent approximate breaks in size maturity were defined for total lengths of 40cm and 100cm.</w:t>
      </w:r>
    </w:p>
    <w:p w14:paraId="1BFF6B13" w14:textId="77777777" w:rsidR="003C4EE5" w:rsidRDefault="003C4EE5" w:rsidP="003C4EE5">
      <w:r w:rsidRPr="00343EB5">
        <w:rPr>
          <w:b/>
        </w:rPr>
        <w:t>Reproductivity strategy</w:t>
      </w:r>
      <w:r>
        <w:t>: The breeding strategy of a stock provides an indication of the level of mortality that might be expected for the offspring in the first stages of life.</w:t>
      </w:r>
    </w:p>
    <w:p w14:paraId="30BB67A2" w14:textId="77777777" w:rsidR="003C4EE5" w:rsidRDefault="003C4EE5" w:rsidP="003C4EE5">
      <w:r>
        <w:rPr>
          <w:b/>
        </w:rPr>
        <w:t>T</w:t>
      </w:r>
      <w:r w:rsidRPr="00343EB5">
        <w:rPr>
          <w:b/>
        </w:rPr>
        <w:t>rophic level</w:t>
      </w:r>
      <w:r>
        <w:t>: The position of a stock within the larger fish community can be used to infer stock productivity, with lower-trophic-level stocks generally being more productive than higher-trophic-level stocks. The trophic level of a stock can be computed as a function of the trophic levels of the organisms in its diet. For this attribute, stocks with trophic levels higher than 3.5 were categorized as low productivity stocks and stocks with trophic levels less than 2.5 were categorized as high-productivity stocks, with moderate productivity stocks falling between these bounds.</w:t>
      </w:r>
    </w:p>
    <w:p w14:paraId="20838061" w14:textId="77777777" w:rsidR="003C4EE5" w:rsidRDefault="003C4EE5" w:rsidP="003C4EE5">
      <w:pPr>
        <w:rPr>
          <w:lang w:val="en"/>
        </w:rPr>
      </w:pPr>
      <w:r w:rsidRPr="00343EB5">
        <w:rPr>
          <w:b/>
        </w:rPr>
        <w:t>Density dependence</w:t>
      </w:r>
      <w:r>
        <w:rPr>
          <w:b/>
        </w:rPr>
        <w:t xml:space="preserve"> – </w:t>
      </w:r>
      <w:r>
        <w:t xml:space="preserve">This attribute was only considered for the shellfish species. Species with a depensatory dynamic, i.e. </w:t>
      </w:r>
      <w:r>
        <w:rPr>
          <w:lang w:val="en"/>
        </w:rPr>
        <w:t>an effect where a decrease in the breeding population leads to reduction on production and survival of eggs or offspring, imply low population productivity. On the other hand, a species with compensatory dynamic at low population size indicates that the species population increases eggs production and offspring, which implies high population productivity.</w:t>
      </w:r>
    </w:p>
    <w:p w14:paraId="6FE0CA80" w14:textId="77777777" w:rsidR="003C4EE5" w:rsidRDefault="003C4EE5" w:rsidP="003C4EE5">
      <w:pPr>
        <w:pStyle w:val="Heading3"/>
      </w:pPr>
      <w:bookmarkStart w:id="42" w:name="_Toc516750542"/>
      <w:bookmarkStart w:id="43" w:name="_Toc518658148"/>
      <w:r>
        <w:t>Susceptibility</w:t>
      </w:r>
      <w:bookmarkEnd w:id="42"/>
      <w:bookmarkEnd w:id="43"/>
    </w:p>
    <w:p w14:paraId="1DC5725C" w14:textId="77777777" w:rsidR="003C4EE5" w:rsidRDefault="003C4EE5" w:rsidP="003C4EE5">
      <w:r>
        <w:t>The level of fishing pressure that a species can sustain depends on its susceptibility (vulnerability) to capture or damage.</w:t>
      </w:r>
    </w:p>
    <w:p w14:paraId="3AC0EF97" w14:textId="77777777" w:rsidR="003C4EE5" w:rsidRDefault="003C4EE5" w:rsidP="003C4EE5">
      <w:r>
        <w:t xml:space="preserve">Four attributes were used to score the susceptibility of each secondary species in each UoA, described in </w:t>
      </w:r>
      <w:r>
        <w:fldChar w:fldCharType="begin"/>
      </w:r>
      <w:r>
        <w:instrText xml:space="preserve"> REF _Ref516246843 \h </w:instrText>
      </w:r>
      <w:r>
        <w:fldChar w:fldCharType="separate"/>
      </w:r>
      <w:r>
        <w:t xml:space="preserve">Table </w:t>
      </w:r>
      <w:r>
        <w:rPr>
          <w:noProof/>
        </w:rPr>
        <w:t>3</w:t>
      </w:r>
      <w:r>
        <w:fldChar w:fldCharType="end"/>
      </w:r>
      <w:r>
        <w:t>.</w:t>
      </w:r>
    </w:p>
    <w:p w14:paraId="16B4483A" w14:textId="77777777" w:rsidR="003C4EE5" w:rsidRDefault="003C4EE5" w:rsidP="003C4EE5">
      <w:pPr>
        <w:spacing w:after="160" w:line="259" w:lineRule="auto"/>
        <w:ind w:left="0"/>
        <w:jc w:val="left"/>
      </w:pPr>
      <w:r>
        <w:br w:type="page"/>
      </w:r>
    </w:p>
    <w:p w14:paraId="1D43A0C7" w14:textId="77777777" w:rsidR="003C4EE5" w:rsidRDefault="003C4EE5" w:rsidP="003C4EE5">
      <w:pPr>
        <w:pStyle w:val="Caption"/>
      </w:pPr>
      <w:bookmarkStart w:id="44" w:name="_Ref516246843"/>
      <w:bookmarkStart w:id="45" w:name="_Toc516668627"/>
      <w:bookmarkStart w:id="46" w:name="_Toc516669266"/>
      <w:bookmarkStart w:id="47" w:name="_Toc516669278"/>
      <w:bookmarkStart w:id="48" w:name="_Toc518658162"/>
      <w:bookmarkStart w:id="49" w:name="_Toc518658174"/>
      <w:r>
        <w:lastRenderedPageBreak/>
        <w:t xml:space="preserve">Table </w:t>
      </w:r>
      <w:r w:rsidR="00DB2E87">
        <w:rPr>
          <w:noProof/>
        </w:rPr>
        <w:fldChar w:fldCharType="begin"/>
      </w:r>
      <w:r w:rsidR="00DB2E87">
        <w:rPr>
          <w:noProof/>
        </w:rPr>
        <w:instrText xml:space="preserve"> SEQ Table \* ARABIC </w:instrText>
      </w:r>
      <w:r w:rsidR="00DB2E87">
        <w:rPr>
          <w:noProof/>
        </w:rPr>
        <w:fldChar w:fldCharType="separate"/>
      </w:r>
      <w:r>
        <w:rPr>
          <w:noProof/>
        </w:rPr>
        <w:t>4</w:t>
      </w:r>
      <w:r w:rsidR="00DB2E87">
        <w:rPr>
          <w:noProof/>
        </w:rPr>
        <w:fldChar w:fldCharType="end"/>
      </w:r>
      <w:bookmarkEnd w:id="44"/>
      <w:r>
        <w:t>. Vulnerability attributes for scoring risk levels to the fisheries.</w:t>
      </w:r>
      <w:bookmarkEnd w:id="45"/>
      <w:bookmarkEnd w:id="46"/>
      <w:bookmarkEnd w:id="47"/>
      <w:bookmarkEnd w:id="48"/>
      <w:bookmarkEnd w:id="49"/>
    </w:p>
    <w:tbl>
      <w:tblPr>
        <w:tblStyle w:val="TableGrid"/>
        <w:tblW w:w="0" w:type="auto"/>
        <w:tblInd w:w="567" w:type="dxa"/>
        <w:tblLook w:val="04A0" w:firstRow="1" w:lastRow="0" w:firstColumn="1" w:lastColumn="0" w:noHBand="0" w:noVBand="1"/>
      </w:tblPr>
      <w:tblGrid>
        <w:gridCol w:w="1838"/>
        <w:gridCol w:w="2126"/>
        <w:gridCol w:w="2397"/>
        <w:gridCol w:w="2088"/>
      </w:tblGrid>
      <w:tr w:rsidR="003C4EE5" w14:paraId="7F1E7359" w14:textId="77777777" w:rsidTr="003C4EE5">
        <w:tc>
          <w:tcPr>
            <w:tcW w:w="1838" w:type="dxa"/>
            <w:shd w:val="clear" w:color="auto" w:fill="BFBFBF" w:themeFill="background1" w:themeFillShade="BF"/>
          </w:tcPr>
          <w:p w14:paraId="467BC59D" w14:textId="77777777" w:rsidR="003C4EE5" w:rsidRDefault="003C4EE5" w:rsidP="003C4EE5">
            <w:pPr>
              <w:ind w:left="0"/>
            </w:pPr>
            <w:r>
              <w:t>Susceptibility attribute</w:t>
            </w:r>
          </w:p>
        </w:tc>
        <w:tc>
          <w:tcPr>
            <w:tcW w:w="2126" w:type="dxa"/>
            <w:shd w:val="clear" w:color="auto" w:fill="C5E0B3" w:themeFill="accent6" w:themeFillTint="66"/>
          </w:tcPr>
          <w:p w14:paraId="1558F147" w14:textId="77777777" w:rsidR="003C4EE5" w:rsidRDefault="003C4EE5" w:rsidP="003C4EE5">
            <w:pPr>
              <w:ind w:left="0"/>
            </w:pPr>
            <w:r>
              <w:rPr>
                <w:b/>
              </w:rPr>
              <w:t xml:space="preserve">Low susceptibility </w:t>
            </w:r>
            <w:r w:rsidRPr="009A221C">
              <w:rPr>
                <w:b/>
              </w:rPr>
              <w:t>(Low risk, score =1)</w:t>
            </w:r>
          </w:p>
        </w:tc>
        <w:tc>
          <w:tcPr>
            <w:tcW w:w="2397" w:type="dxa"/>
            <w:shd w:val="clear" w:color="auto" w:fill="FFE599" w:themeFill="accent4" w:themeFillTint="66"/>
          </w:tcPr>
          <w:p w14:paraId="102CF116" w14:textId="77777777" w:rsidR="003C4EE5" w:rsidRDefault="003C4EE5" w:rsidP="003C4EE5">
            <w:pPr>
              <w:ind w:left="0"/>
            </w:pPr>
            <w:r w:rsidRPr="009A221C">
              <w:rPr>
                <w:b/>
              </w:rPr>
              <w:t xml:space="preserve">Medium </w:t>
            </w:r>
            <w:r>
              <w:rPr>
                <w:b/>
              </w:rPr>
              <w:t>susceptibility</w:t>
            </w:r>
            <w:r w:rsidRPr="009A221C">
              <w:rPr>
                <w:b/>
              </w:rPr>
              <w:t xml:space="preserve"> (medium risk, score =2)</w:t>
            </w:r>
          </w:p>
        </w:tc>
        <w:tc>
          <w:tcPr>
            <w:tcW w:w="2088" w:type="dxa"/>
            <w:shd w:val="clear" w:color="auto" w:fill="C45911" w:themeFill="accent2" w:themeFillShade="BF"/>
          </w:tcPr>
          <w:p w14:paraId="272986A0" w14:textId="77777777" w:rsidR="003C4EE5" w:rsidRDefault="003C4EE5" w:rsidP="003C4EE5">
            <w:pPr>
              <w:ind w:left="0"/>
            </w:pPr>
            <w:r>
              <w:rPr>
                <w:b/>
              </w:rPr>
              <w:t>High</w:t>
            </w:r>
            <w:r w:rsidRPr="009A221C">
              <w:rPr>
                <w:b/>
              </w:rPr>
              <w:t xml:space="preserve"> </w:t>
            </w:r>
            <w:r>
              <w:rPr>
                <w:b/>
              </w:rPr>
              <w:t>susceptibility</w:t>
            </w:r>
            <w:r w:rsidRPr="009A221C">
              <w:rPr>
                <w:b/>
              </w:rPr>
              <w:t xml:space="preserve"> (high risk, score =3)</w:t>
            </w:r>
          </w:p>
        </w:tc>
      </w:tr>
      <w:tr w:rsidR="003C4EE5" w14:paraId="5E5AC3DC" w14:textId="77777777" w:rsidTr="003C4EE5">
        <w:tc>
          <w:tcPr>
            <w:tcW w:w="1838" w:type="dxa"/>
          </w:tcPr>
          <w:p w14:paraId="4E3C2B9F" w14:textId="77777777" w:rsidR="003C4EE5" w:rsidRDefault="003C4EE5" w:rsidP="003C4EE5">
            <w:pPr>
              <w:ind w:left="0"/>
            </w:pPr>
            <w:r>
              <w:t>Areal overlap</w:t>
            </w:r>
          </w:p>
        </w:tc>
        <w:tc>
          <w:tcPr>
            <w:tcW w:w="2126" w:type="dxa"/>
          </w:tcPr>
          <w:p w14:paraId="75624A33" w14:textId="77777777" w:rsidR="003C4EE5" w:rsidRDefault="003C4EE5" w:rsidP="003C4EE5">
            <w:pPr>
              <w:ind w:left="0"/>
            </w:pPr>
            <w:r>
              <w:t>&lt;10%</w:t>
            </w:r>
          </w:p>
        </w:tc>
        <w:tc>
          <w:tcPr>
            <w:tcW w:w="2397" w:type="dxa"/>
          </w:tcPr>
          <w:p w14:paraId="56C585C1" w14:textId="77777777" w:rsidR="003C4EE5" w:rsidRDefault="003C4EE5" w:rsidP="003C4EE5">
            <w:pPr>
              <w:ind w:left="0"/>
            </w:pPr>
            <w:r>
              <w:t>10-30%</w:t>
            </w:r>
          </w:p>
        </w:tc>
        <w:tc>
          <w:tcPr>
            <w:tcW w:w="2088" w:type="dxa"/>
          </w:tcPr>
          <w:p w14:paraId="72A9276F" w14:textId="77777777" w:rsidR="003C4EE5" w:rsidRDefault="003C4EE5" w:rsidP="003C4EE5">
            <w:pPr>
              <w:ind w:left="0"/>
            </w:pPr>
            <w:r>
              <w:t>&gt;30%</w:t>
            </w:r>
          </w:p>
        </w:tc>
      </w:tr>
      <w:tr w:rsidR="003C4EE5" w14:paraId="70D756CA" w14:textId="77777777" w:rsidTr="003C4EE5">
        <w:tc>
          <w:tcPr>
            <w:tcW w:w="1838" w:type="dxa"/>
          </w:tcPr>
          <w:p w14:paraId="5B18B68C" w14:textId="77777777" w:rsidR="003C4EE5" w:rsidRDefault="003C4EE5" w:rsidP="003C4EE5">
            <w:pPr>
              <w:ind w:left="0"/>
            </w:pPr>
            <w:r>
              <w:t>Encounterability</w:t>
            </w:r>
          </w:p>
        </w:tc>
        <w:tc>
          <w:tcPr>
            <w:tcW w:w="2126" w:type="dxa"/>
          </w:tcPr>
          <w:p w14:paraId="5E1FFAB7" w14:textId="77777777" w:rsidR="003C4EE5" w:rsidRDefault="003C4EE5" w:rsidP="003C4EE5">
            <w:pPr>
              <w:ind w:left="0"/>
            </w:pPr>
            <w:r>
              <w:t>Low overlap with fishing gear</w:t>
            </w:r>
          </w:p>
        </w:tc>
        <w:tc>
          <w:tcPr>
            <w:tcW w:w="2397" w:type="dxa"/>
          </w:tcPr>
          <w:p w14:paraId="0BE220DD" w14:textId="77777777" w:rsidR="003C4EE5" w:rsidRDefault="003C4EE5" w:rsidP="003C4EE5">
            <w:pPr>
              <w:ind w:left="0"/>
            </w:pPr>
            <w:r>
              <w:t>Medium overlap with fishing gear</w:t>
            </w:r>
          </w:p>
        </w:tc>
        <w:tc>
          <w:tcPr>
            <w:tcW w:w="2088" w:type="dxa"/>
          </w:tcPr>
          <w:p w14:paraId="7D1384B7" w14:textId="77777777" w:rsidR="003C4EE5" w:rsidRDefault="003C4EE5" w:rsidP="003C4EE5">
            <w:pPr>
              <w:ind w:left="0"/>
            </w:pPr>
            <w:r>
              <w:t>High overlap with fishing gear</w:t>
            </w:r>
          </w:p>
        </w:tc>
      </w:tr>
      <w:tr w:rsidR="003C4EE5" w14:paraId="26737A74" w14:textId="77777777" w:rsidTr="003C4EE5">
        <w:tc>
          <w:tcPr>
            <w:tcW w:w="1838" w:type="dxa"/>
          </w:tcPr>
          <w:p w14:paraId="10297C65" w14:textId="77777777" w:rsidR="003C4EE5" w:rsidRDefault="003C4EE5" w:rsidP="003C4EE5">
            <w:pPr>
              <w:ind w:left="0"/>
            </w:pPr>
            <w:r>
              <w:t>Selectivity of gear type</w:t>
            </w:r>
          </w:p>
        </w:tc>
        <w:tc>
          <w:tcPr>
            <w:tcW w:w="2126" w:type="dxa"/>
          </w:tcPr>
          <w:p w14:paraId="2295EFA8" w14:textId="77777777" w:rsidR="003C4EE5" w:rsidRDefault="003C4EE5" w:rsidP="003C4EE5">
            <w:pPr>
              <w:ind w:left="0"/>
            </w:pPr>
            <w:r>
              <w:t>Individuals &lt; size at maturity rarely caught</w:t>
            </w:r>
          </w:p>
          <w:p w14:paraId="6D17C603" w14:textId="77777777" w:rsidR="003C4EE5" w:rsidRDefault="003C4EE5" w:rsidP="003C4EE5">
            <w:pPr>
              <w:ind w:left="0"/>
            </w:pPr>
            <w:r>
              <w:t>Individuals &lt;size at maturity can escape or avoid gear</w:t>
            </w:r>
          </w:p>
        </w:tc>
        <w:tc>
          <w:tcPr>
            <w:tcW w:w="2397" w:type="dxa"/>
          </w:tcPr>
          <w:p w14:paraId="441453F4" w14:textId="77777777" w:rsidR="003C4EE5" w:rsidRDefault="003C4EE5" w:rsidP="003C4EE5">
            <w:pPr>
              <w:ind w:left="0"/>
            </w:pPr>
            <w:r>
              <w:t>Individuals &lt; size at maturity regularly caught</w:t>
            </w:r>
          </w:p>
          <w:p w14:paraId="5AE5A303" w14:textId="77777777" w:rsidR="003C4EE5" w:rsidRDefault="003C4EE5" w:rsidP="003C4EE5">
            <w:pPr>
              <w:ind w:left="0"/>
            </w:pPr>
            <w:r>
              <w:t>Individuals &lt;half size at maturity can escape or avoid gear</w:t>
            </w:r>
          </w:p>
        </w:tc>
        <w:tc>
          <w:tcPr>
            <w:tcW w:w="2088" w:type="dxa"/>
          </w:tcPr>
          <w:p w14:paraId="36AB8F18" w14:textId="77777777" w:rsidR="003C4EE5" w:rsidRDefault="003C4EE5" w:rsidP="003C4EE5">
            <w:pPr>
              <w:ind w:left="0"/>
            </w:pPr>
            <w:r>
              <w:t>Individuals &lt; size at maturity frequently caught</w:t>
            </w:r>
          </w:p>
          <w:p w14:paraId="6E9D5FDC" w14:textId="77777777" w:rsidR="003C4EE5" w:rsidRDefault="003C4EE5" w:rsidP="003C4EE5">
            <w:pPr>
              <w:ind w:left="0"/>
            </w:pPr>
            <w:r>
              <w:t>Individuals &lt;half size at maturity are retained by gear</w:t>
            </w:r>
          </w:p>
        </w:tc>
      </w:tr>
      <w:tr w:rsidR="003C4EE5" w14:paraId="1619C636" w14:textId="77777777" w:rsidTr="003C4EE5">
        <w:tc>
          <w:tcPr>
            <w:tcW w:w="1838" w:type="dxa"/>
          </w:tcPr>
          <w:p w14:paraId="372D6D9D" w14:textId="77777777" w:rsidR="003C4EE5" w:rsidRDefault="003C4EE5" w:rsidP="003C4EE5">
            <w:pPr>
              <w:ind w:left="0"/>
            </w:pPr>
            <w:r>
              <w:t>Post-capture mortality</w:t>
            </w:r>
          </w:p>
        </w:tc>
        <w:tc>
          <w:tcPr>
            <w:tcW w:w="2126" w:type="dxa"/>
          </w:tcPr>
          <w:p w14:paraId="64D2DFB9" w14:textId="671F1ACE" w:rsidR="003C4EE5" w:rsidRDefault="003C4EE5" w:rsidP="003C4EE5">
            <w:pPr>
              <w:ind w:left="0"/>
            </w:pPr>
            <w:r>
              <w:t>Evidence of majority released post-capture and survival</w:t>
            </w:r>
            <w:r w:rsidR="00A74BBA">
              <w:t xml:space="preserve"> (&gt;= 50% survival)</w:t>
            </w:r>
          </w:p>
        </w:tc>
        <w:tc>
          <w:tcPr>
            <w:tcW w:w="2397" w:type="dxa"/>
          </w:tcPr>
          <w:p w14:paraId="08DDA52F" w14:textId="7BF394D6" w:rsidR="003C4EE5" w:rsidRDefault="003C4EE5" w:rsidP="003C4EE5">
            <w:pPr>
              <w:ind w:left="0"/>
            </w:pPr>
            <w:r>
              <w:t>Evidence of some released post-capture and survival</w:t>
            </w:r>
            <w:r w:rsidR="00A74BBA">
              <w:t xml:space="preserve"> (</w:t>
            </w:r>
            <w:r w:rsidR="00297287">
              <w:t>20</w:t>
            </w:r>
            <w:r w:rsidR="00A74BBA">
              <w:t>%</w:t>
            </w:r>
            <w:r w:rsidR="00297287">
              <w:t>- 49%</w:t>
            </w:r>
            <w:r w:rsidR="00A74BBA">
              <w:t xml:space="preserve"> survival)</w:t>
            </w:r>
          </w:p>
        </w:tc>
        <w:tc>
          <w:tcPr>
            <w:tcW w:w="2088" w:type="dxa"/>
          </w:tcPr>
          <w:p w14:paraId="3A16C1E8" w14:textId="3D08E50F" w:rsidR="003C4EE5" w:rsidRDefault="003C4EE5" w:rsidP="003C4EE5">
            <w:pPr>
              <w:ind w:left="0"/>
            </w:pPr>
            <w:r>
              <w:t>Retained species or majority dead when released</w:t>
            </w:r>
            <w:r w:rsidR="00297287">
              <w:t xml:space="preserve"> (&lt;=20% survival)</w:t>
            </w:r>
            <w:r>
              <w:t>.</w:t>
            </w:r>
          </w:p>
        </w:tc>
      </w:tr>
    </w:tbl>
    <w:p w14:paraId="75D5D2CA" w14:textId="77777777" w:rsidR="003C4EE5" w:rsidRDefault="003C4EE5" w:rsidP="003C4EE5"/>
    <w:p w14:paraId="27049309" w14:textId="77777777" w:rsidR="003C4EE5" w:rsidRDefault="003C4EE5" w:rsidP="003C4EE5">
      <w:r w:rsidRPr="00FA2147">
        <w:rPr>
          <w:b/>
        </w:rPr>
        <w:t>Areal overlap</w:t>
      </w:r>
      <w:r>
        <w:rPr>
          <w:b/>
        </w:rPr>
        <w:t xml:space="preserve">- </w:t>
      </w:r>
      <w:r>
        <w:t>This attribute pertains to the extent of geographic overlap between the known distribution of a stock and the distribution of the fishery. Greater overlap implies greater susceptibility, as some degree of geographical overlap is necessary for a fishery to impact a stock. The simplest approach is to determine, either qualitatively or quantitatively, the proportion of the spatial distribution of a given fishery that overlaps that of the stock, based on known geographical distributions of both.</w:t>
      </w:r>
    </w:p>
    <w:p w14:paraId="75897949" w14:textId="77777777" w:rsidR="003C4EE5" w:rsidRDefault="003C4EE5" w:rsidP="003C4EE5">
      <w:r w:rsidRPr="00E17D0D">
        <w:rPr>
          <w:b/>
        </w:rPr>
        <w:t>Encounterability</w:t>
      </w:r>
      <w:r>
        <w:rPr>
          <w:b/>
        </w:rPr>
        <w:t xml:space="preserve"> - </w:t>
      </w:r>
      <w:r>
        <w:t>Similar to geographical overlap, this attribute concerns the position of the stock within the water column (i.e., demersal or pelagic) relative to the fishing gear. Information on the depth at which gear is deployed (e.g., depth range of hooks for a pelagic longline fishery) and the depth preference of the species (e.g. obtained from archival tagging or other sources) can be used to estimate the degree of vertical overlap between fishing gear and a stock.</w:t>
      </w:r>
    </w:p>
    <w:p w14:paraId="35FEEE7D" w14:textId="2A309429" w:rsidR="003C4EE5" w:rsidRDefault="003C4EE5" w:rsidP="003C4EE5">
      <w:r w:rsidRPr="00E17D0D">
        <w:rPr>
          <w:b/>
        </w:rPr>
        <w:t>Selectivity of gear type</w:t>
      </w:r>
      <w:r>
        <w:t xml:space="preserve"> - This attribute regards to the likelihood of the species being captured once being encountered by the fishing gear, where the length of </w:t>
      </w:r>
      <w:r w:rsidR="00834B18">
        <w:t xml:space="preserve">the </w:t>
      </w:r>
      <w:r>
        <w:t>species should be</w:t>
      </w:r>
      <w:r w:rsidR="00834B18">
        <w:t xml:space="preserve"> used to</w:t>
      </w:r>
      <w:r w:rsidR="00834B18">
        <w:rPr>
          <w:rFonts w:ascii="Calibri" w:hAnsi="Calibri" w:cs="Calibri"/>
        </w:rPr>
        <w:t xml:space="preserve"> </w:t>
      </w:r>
      <w:r w:rsidR="00834B18">
        <w:t>inform on</w:t>
      </w:r>
      <w:r>
        <w:rPr>
          <w:rFonts w:ascii="Calibri" w:hAnsi="Calibri" w:cs="Calibri"/>
        </w:rPr>
        <w:t xml:space="preserve"> this </w:t>
      </w:r>
      <w:r w:rsidR="00834B18">
        <w:rPr>
          <w:rFonts w:ascii="Calibri" w:hAnsi="Calibri" w:cs="Calibri"/>
        </w:rPr>
        <w:t xml:space="preserve">aspect of the </w:t>
      </w:r>
      <w:r>
        <w:rPr>
          <w:rFonts w:ascii="Calibri" w:hAnsi="Calibri" w:cs="Calibri"/>
        </w:rPr>
        <w:t>assessment. The information gathered from the analysis of the Cefas</w:t>
      </w:r>
      <w:r>
        <w:t xml:space="preserve"> </w:t>
      </w:r>
      <w:r>
        <w:rPr>
          <w:rFonts w:ascii="Calibri" w:hAnsi="Calibri" w:cs="Calibri"/>
        </w:rPr>
        <w:t>observer data in the previous section will be used to supplement the classification process</w:t>
      </w:r>
      <w:r>
        <w:t xml:space="preserve"> </w:t>
      </w:r>
      <w:r w:rsidR="00784953">
        <w:rPr>
          <w:rFonts w:ascii="Calibri" w:hAnsi="Calibri" w:cs="Calibri"/>
        </w:rPr>
        <w:t>appropriately.</w:t>
      </w:r>
    </w:p>
    <w:p w14:paraId="10100CC0" w14:textId="19C78884" w:rsidR="003C4EE5" w:rsidRPr="009A221C" w:rsidRDefault="003C4EE5" w:rsidP="003C4EE5">
      <w:r w:rsidRPr="00E17D0D">
        <w:rPr>
          <w:b/>
        </w:rPr>
        <w:t>Post-capture mortality</w:t>
      </w:r>
      <w:r>
        <w:t xml:space="preserve"> -  Fish survival after capture and release varies by species, region, and gear type or </w:t>
      </w:r>
      <w:r w:rsidR="002E205A">
        <w:t>and can be influenced by many technical, environmental and biological factors</w:t>
      </w:r>
      <w:r>
        <w:t xml:space="preserve">, and thus can affect the susceptibility of the stock. A variety of scientific sources will be used to score the survivability of species. Some species of fish have been subject to post-capture survival </w:t>
      </w:r>
      <w:r>
        <w:lastRenderedPageBreak/>
        <w:t>studies. Summary of the existent survival evidence for the secondary species (plaice, skates and rays) for the monkfish fishery in the Celtic Sea in Appendix 1.</w:t>
      </w:r>
    </w:p>
    <w:p w14:paraId="52C5E556" w14:textId="77777777" w:rsidR="003C4EE5" w:rsidRPr="009A221C" w:rsidRDefault="003C4EE5" w:rsidP="003C4EE5">
      <w:pPr>
        <w:pStyle w:val="Heading3"/>
      </w:pPr>
      <w:bookmarkStart w:id="50" w:name="_Toc516750543"/>
      <w:bookmarkStart w:id="51" w:name="_Toc518658149"/>
      <w:r w:rsidRPr="009A221C">
        <w:t>Information sources</w:t>
      </w:r>
      <w:bookmarkEnd w:id="50"/>
      <w:bookmarkEnd w:id="51"/>
    </w:p>
    <w:p w14:paraId="0CFBE7F1" w14:textId="769B5C80" w:rsidR="003C4EE5" w:rsidRDefault="003C4EE5" w:rsidP="003C4EE5">
      <w:r w:rsidRPr="009A221C">
        <w:t>The species considered here were those reported to be caught by the UK vessels, using demersal trawls, bea</w:t>
      </w:r>
      <w:r>
        <w:t>m</w:t>
      </w:r>
      <w:r w:rsidRPr="009A221C">
        <w:t xml:space="preserve">, trawls and gill/trammel nets, in the Celtic Sea. The PSA used the information available in Fishbase (Froese and Pauly 2000; </w:t>
      </w:r>
      <w:hyperlink r:id="rId21" w:history="1">
        <w:r w:rsidRPr="009A221C">
          <w:rPr>
            <w:rStyle w:val="Hyperlink"/>
          </w:rPr>
          <w:t>www.fishbase.org</w:t>
        </w:r>
      </w:hyperlink>
      <w:r w:rsidRPr="009A221C">
        <w:t>)</w:t>
      </w:r>
      <w:r>
        <w:t xml:space="preserve"> and ICES reports (ICES WKLIFE, 2017)</w:t>
      </w:r>
      <w:r w:rsidRPr="009A221C">
        <w:t xml:space="preserve">. While use of this information directly from Fishbase is not entirely satisfactory, it is quick and, for most species attributes, should be accurate enough to place them in the correct PSA categories. </w:t>
      </w:r>
    </w:p>
    <w:p w14:paraId="704F6D1E" w14:textId="5F0EBB82" w:rsidR="003C4EE5" w:rsidRDefault="003C4EE5" w:rsidP="003C4EE5">
      <w:r>
        <w:t xml:space="preserve">One species of crabs </w:t>
      </w:r>
      <w:r w:rsidR="002942C2">
        <w:t xml:space="preserve">and cephalopods </w:t>
      </w:r>
      <w:r>
        <w:t>were reported in the catches. The information used for the PSA was obtained in various scientific papers</w:t>
      </w:r>
      <w:r w:rsidR="002942C2">
        <w:t xml:space="preserve"> detailed in </w:t>
      </w:r>
      <w:r w:rsidR="002942C2">
        <w:fldChar w:fldCharType="begin"/>
      </w:r>
      <w:r w:rsidR="002942C2">
        <w:instrText xml:space="preserve"> REF _Ref518564318 \h </w:instrText>
      </w:r>
      <w:r w:rsidR="002942C2">
        <w:fldChar w:fldCharType="separate"/>
      </w:r>
      <w:r w:rsidR="002942C2">
        <w:t xml:space="preserve">Table </w:t>
      </w:r>
      <w:r w:rsidR="002942C2">
        <w:rPr>
          <w:noProof/>
        </w:rPr>
        <w:t>6</w:t>
      </w:r>
      <w:r w:rsidR="002942C2">
        <w:fldChar w:fldCharType="end"/>
      </w:r>
      <w:r>
        <w:t>.</w:t>
      </w:r>
    </w:p>
    <w:p w14:paraId="28FB8DE5" w14:textId="768DB4E8" w:rsidR="00896697" w:rsidRPr="003C4EE5" w:rsidRDefault="00896697" w:rsidP="00896697">
      <w:pPr>
        <w:pStyle w:val="Heading1"/>
      </w:pPr>
      <w:bookmarkStart w:id="52" w:name="_Toc518658150"/>
      <w:r>
        <w:t>Results</w:t>
      </w:r>
      <w:bookmarkEnd w:id="52"/>
    </w:p>
    <w:p w14:paraId="4ABD05F0" w14:textId="1362C8A5" w:rsidR="002942C2" w:rsidRPr="002942C2" w:rsidRDefault="003C4EE5" w:rsidP="002942C2">
      <w:pPr>
        <w:pStyle w:val="Heading2"/>
      </w:pPr>
      <w:bookmarkStart w:id="53" w:name="_Toc516750545"/>
      <w:bookmarkStart w:id="54" w:name="_Toc518658151"/>
      <w:r>
        <w:t>Catch profile</w:t>
      </w:r>
      <w:bookmarkEnd w:id="53"/>
      <w:bookmarkEnd w:id="54"/>
    </w:p>
    <w:p w14:paraId="3A840679" w14:textId="5D3C460B" w:rsidR="003C4EE5" w:rsidRDefault="003C4EE5" w:rsidP="003C4EE5">
      <w:r>
        <w:t xml:space="preserve">In this study, the PSA was carried out for each UoA, only for the species classified as </w:t>
      </w:r>
      <w:r w:rsidRPr="009B69A6">
        <w:rPr>
          <w:b/>
        </w:rPr>
        <w:t>Secondary species</w:t>
      </w:r>
      <w:r>
        <w:t xml:space="preserve">, under Principle 2. </w:t>
      </w:r>
      <w:r w:rsidRPr="009A221C">
        <w:t>Landings and discards estimates were combined to produce total catch profile for each UoA (OTB, TBB and Netters). Landings, Discards and proportion of each specie</w:t>
      </w:r>
      <w:r>
        <w:t xml:space="preserve">s in the catch are presented in </w:t>
      </w:r>
      <w:r>
        <w:fldChar w:fldCharType="begin"/>
      </w:r>
      <w:r>
        <w:instrText xml:space="preserve"> REF _Ref516246596 \h </w:instrText>
      </w:r>
      <w:r>
        <w:fldChar w:fldCharType="separate"/>
      </w:r>
      <w:r>
        <w:t xml:space="preserve">Table </w:t>
      </w:r>
      <w:r>
        <w:rPr>
          <w:noProof/>
        </w:rPr>
        <w:t>3</w:t>
      </w:r>
      <w:r>
        <w:fldChar w:fldCharType="end"/>
      </w:r>
      <w:r w:rsidRPr="009A221C">
        <w:t xml:space="preserve">. </w:t>
      </w:r>
      <w:r>
        <w:t>The main secondary species for each UoA include:</w:t>
      </w:r>
    </w:p>
    <w:p w14:paraId="75F918C9" w14:textId="77777777" w:rsidR="003C4EE5" w:rsidRDefault="003C4EE5" w:rsidP="003C4EE5">
      <w:pPr>
        <w:pStyle w:val="ListParagraph"/>
        <w:numPr>
          <w:ilvl w:val="0"/>
          <w:numId w:val="16"/>
        </w:numPr>
      </w:pPr>
      <w:r w:rsidRPr="00AF5238">
        <w:rPr>
          <w:b/>
        </w:rPr>
        <w:t>Netters (tangle/trammel and gillnets):</w:t>
      </w:r>
      <w:r>
        <w:t xml:space="preserve"> turbot (</w:t>
      </w:r>
      <w:r>
        <w:rPr>
          <w:i/>
        </w:rPr>
        <w:t>Psetta maxima</w:t>
      </w:r>
      <w:r>
        <w:t>), pollack (</w:t>
      </w:r>
      <w:r w:rsidRPr="00AF5238">
        <w:rPr>
          <w:i/>
        </w:rPr>
        <w:t>Pollachius pollachius</w:t>
      </w:r>
      <w:r>
        <w:t>), common ling, blonde ray (</w:t>
      </w:r>
      <w:r w:rsidRPr="00AF5238">
        <w:rPr>
          <w:i/>
        </w:rPr>
        <w:t>Raja brachyura</w:t>
      </w:r>
      <w:r>
        <w:t>), cuckoo ray (</w:t>
      </w:r>
      <w:r>
        <w:rPr>
          <w:i/>
        </w:rPr>
        <w:t>Leucoraja naevus</w:t>
      </w:r>
      <w:r>
        <w:t>), undulate ray (</w:t>
      </w:r>
      <w:r>
        <w:rPr>
          <w:i/>
        </w:rPr>
        <w:t xml:space="preserve">R. </w:t>
      </w:r>
      <w:r w:rsidRPr="00AF5238">
        <w:rPr>
          <w:i/>
        </w:rPr>
        <w:t>undulata</w:t>
      </w:r>
      <w:r>
        <w:t xml:space="preserve">) </w:t>
      </w:r>
      <w:r w:rsidRPr="00AF5238">
        <w:t>and</w:t>
      </w:r>
      <w:r>
        <w:t xml:space="preserve"> spider crab (</w:t>
      </w:r>
      <w:r>
        <w:rPr>
          <w:i/>
        </w:rPr>
        <w:t>Maja squinado</w:t>
      </w:r>
      <w:r>
        <w:t>).</w:t>
      </w:r>
    </w:p>
    <w:p w14:paraId="7038C623" w14:textId="77777777" w:rsidR="003C4EE5" w:rsidRDefault="003C4EE5" w:rsidP="003C4EE5">
      <w:pPr>
        <w:pStyle w:val="ListParagraph"/>
        <w:numPr>
          <w:ilvl w:val="0"/>
          <w:numId w:val="16"/>
        </w:numPr>
      </w:pPr>
      <w:r w:rsidRPr="00AF5238">
        <w:rPr>
          <w:b/>
        </w:rPr>
        <w:t>Otter trawls</w:t>
      </w:r>
      <w:r>
        <w:t>: cuttlefish (</w:t>
      </w:r>
      <w:r>
        <w:rPr>
          <w:i/>
        </w:rPr>
        <w:t>Sepia spp.</w:t>
      </w:r>
      <w:r>
        <w:t>), lemon sole (</w:t>
      </w:r>
      <w:r>
        <w:rPr>
          <w:i/>
        </w:rPr>
        <w:t>Microstomus kitt</w:t>
      </w:r>
      <w:r>
        <w:t>), megrims (</w:t>
      </w:r>
      <w:r>
        <w:rPr>
          <w:i/>
        </w:rPr>
        <w:t>Lepidorhombus spp.</w:t>
      </w:r>
      <w:r>
        <w:t>), plaice (</w:t>
      </w:r>
      <w:r>
        <w:rPr>
          <w:i/>
        </w:rPr>
        <w:t>Pleuronectes platessa</w:t>
      </w:r>
      <w:r>
        <w:t>)</w:t>
      </w:r>
      <w:r>
        <w:rPr>
          <w:rStyle w:val="FootnoteReference"/>
        </w:rPr>
        <w:footnoteReference w:id="2"/>
      </w:r>
      <w:r>
        <w:t>, gurnards and lesser spotted dogfish (</w:t>
      </w:r>
      <w:r>
        <w:rPr>
          <w:i/>
        </w:rPr>
        <w:t>Scyliorhinus canicular</w:t>
      </w:r>
      <w:r>
        <w:t>).</w:t>
      </w:r>
    </w:p>
    <w:p w14:paraId="4D1614F1" w14:textId="27FAF072" w:rsidR="003C4EE5" w:rsidRDefault="003C4EE5" w:rsidP="003C4EE5">
      <w:pPr>
        <w:pStyle w:val="ListParagraph"/>
        <w:numPr>
          <w:ilvl w:val="0"/>
          <w:numId w:val="16"/>
        </w:numPr>
      </w:pPr>
      <w:r w:rsidRPr="00AF5238">
        <w:rPr>
          <w:b/>
        </w:rPr>
        <w:t>Beam trawls</w:t>
      </w:r>
      <w:r>
        <w:t>: megrims, plaice, gurnards, Dover sole (</w:t>
      </w:r>
      <w:r>
        <w:rPr>
          <w:i/>
        </w:rPr>
        <w:t>Solea solea</w:t>
      </w:r>
      <w:r>
        <w:t>)</w:t>
      </w:r>
      <w:r w:rsidR="00F845CB">
        <w:rPr>
          <w:rStyle w:val="FootnoteReference"/>
        </w:rPr>
        <w:footnoteReference w:id="3"/>
      </w:r>
      <w:r>
        <w:t>, whiting-pout (</w:t>
      </w:r>
      <w:r>
        <w:rPr>
          <w:i/>
        </w:rPr>
        <w:t>Trisopterus luscus</w:t>
      </w:r>
      <w:r>
        <w:t>) and lesser spotted dogfish.</w:t>
      </w:r>
    </w:p>
    <w:p w14:paraId="632E2E80" w14:textId="77777777" w:rsidR="003C4EE5" w:rsidRDefault="003C4EE5" w:rsidP="003C4EE5">
      <w:pPr>
        <w:spacing w:after="160" w:line="259" w:lineRule="auto"/>
        <w:ind w:left="0"/>
        <w:jc w:val="left"/>
      </w:pPr>
    </w:p>
    <w:p w14:paraId="7DBAD33E" w14:textId="77777777" w:rsidR="003C4EE5" w:rsidRDefault="003C4EE5" w:rsidP="003C4EE5">
      <w:pPr>
        <w:spacing w:after="160" w:line="259" w:lineRule="auto"/>
        <w:ind w:left="0"/>
        <w:jc w:val="left"/>
        <w:sectPr w:rsidR="003C4EE5" w:rsidSect="003C4EE5">
          <w:headerReference w:type="default" r:id="rId22"/>
          <w:pgSz w:w="11906" w:h="16838"/>
          <w:pgMar w:top="1440" w:right="1440" w:bottom="1440" w:left="1440" w:header="709" w:footer="709" w:gutter="0"/>
          <w:cols w:space="708"/>
          <w:docGrid w:linePitch="360"/>
        </w:sectPr>
      </w:pPr>
    </w:p>
    <w:p w14:paraId="0346DD33" w14:textId="77777777" w:rsidR="003C4EE5" w:rsidRDefault="003C4EE5" w:rsidP="003C4EE5">
      <w:pPr>
        <w:pStyle w:val="Caption"/>
        <w:ind w:left="0"/>
      </w:pPr>
      <w:bookmarkStart w:id="56" w:name="_Ref516246596"/>
      <w:bookmarkStart w:id="57" w:name="_Toc516668628"/>
      <w:bookmarkStart w:id="58" w:name="_Toc516669267"/>
      <w:bookmarkStart w:id="59" w:name="_Toc516669279"/>
      <w:bookmarkStart w:id="60" w:name="_Toc518658163"/>
      <w:bookmarkStart w:id="61" w:name="_Toc518658175"/>
      <w:r>
        <w:lastRenderedPageBreak/>
        <w:t xml:space="preserve">Table </w:t>
      </w:r>
      <w:r w:rsidR="00DB2E87">
        <w:rPr>
          <w:noProof/>
        </w:rPr>
        <w:fldChar w:fldCharType="begin"/>
      </w:r>
      <w:r w:rsidR="00DB2E87">
        <w:rPr>
          <w:noProof/>
        </w:rPr>
        <w:instrText xml:space="preserve"> SEQ Table \* ARABIC </w:instrText>
      </w:r>
      <w:r w:rsidR="00DB2E87">
        <w:rPr>
          <w:noProof/>
        </w:rPr>
        <w:fldChar w:fldCharType="separate"/>
      </w:r>
      <w:r>
        <w:rPr>
          <w:noProof/>
        </w:rPr>
        <w:t>5</w:t>
      </w:r>
      <w:r w:rsidR="00DB2E87">
        <w:rPr>
          <w:noProof/>
        </w:rPr>
        <w:fldChar w:fldCharType="end"/>
      </w:r>
      <w:bookmarkEnd w:id="56"/>
      <w:r>
        <w:t>. Catch profile – Mean annual Landings and discards, between 2015 and 2017 (Data sources: Official landings database and Cefas Observer programme for discards estimates).</w:t>
      </w:r>
      <w:bookmarkEnd w:id="57"/>
      <w:bookmarkEnd w:id="58"/>
      <w:bookmarkEnd w:id="59"/>
      <w:bookmarkEnd w:id="60"/>
      <w:bookmarkEnd w:id="61"/>
      <w:r>
        <w:t xml:space="preserve"> </w:t>
      </w:r>
    </w:p>
    <w:tbl>
      <w:tblPr>
        <w:tblW w:w="13514" w:type="dxa"/>
        <w:tblLook w:val="04A0" w:firstRow="1" w:lastRow="0" w:firstColumn="1" w:lastColumn="0" w:noHBand="0" w:noVBand="1"/>
      </w:tblPr>
      <w:tblGrid>
        <w:gridCol w:w="888"/>
        <w:gridCol w:w="1611"/>
        <w:gridCol w:w="1465"/>
        <w:gridCol w:w="1418"/>
        <w:gridCol w:w="879"/>
        <w:gridCol w:w="1116"/>
        <w:gridCol w:w="1226"/>
        <w:gridCol w:w="1109"/>
        <w:gridCol w:w="1149"/>
        <w:gridCol w:w="2653"/>
      </w:tblGrid>
      <w:tr w:rsidR="003C4EE5" w:rsidRPr="00A95F5F" w14:paraId="7CF8B563" w14:textId="77777777" w:rsidTr="003C4EE5">
        <w:trPr>
          <w:trHeight w:val="285"/>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0A0A1C0"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Gear type</w:t>
            </w:r>
            <w:r>
              <w:rPr>
                <w:rFonts w:ascii="Calibri" w:eastAsia="Times New Roman" w:hAnsi="Calibri" w:cs="Times New Roman"/>
                <w:lang w:eastAsia="en-GB"/>
              </w:rPr>
              <w:t xml:space="preserve"> (UoA)</w:t>
            </w:r>
          </w:p>
        </w:tc>
        <w:tc>
          <w:tcPr>
            <w:tcW w:w="161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D6A33BF"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Common Name</w:t>
            </w:r>
          </w:p>
        </w:tc>
        <w:tc>
          <w:tcPr>
            <w:tcW w:w="146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E4FED92"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Mean annual landings (201</w:t>
            </w:r>
            <w:r w:rsidRPr="00A95F5F">
              <w:rPr>
                <w:rFonts w:ascii="Calibri" w:eastAsia="Times New Roman" w:hAnsi="Calibri" w:cs="Times New Roman"/>
                <w:lang w:eastAsia="en-GB"/>
              </w:rPr>
              <w:t>4-2017) (kg)</w:t>
            </w: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B59C2F2"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Mean annual Discard estimates (kg)</w:t>
            </w:r>
          </w:p>
        </w:tc>
        <w:tc>
          <w:tcPr>
            <w:tcW w:w="87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D988DA3"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Discard rate</w:t>
            </w:r>
          </w:p>
        </w:tc>
        <w:tc>
          <w:tcPr>
            <w:tcW w:w="1116"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07E8A3E"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Total estimated catch (kg)</w:t>
            </w:r>
          </w:p>
        </w:tc>
        <w:tc>
          <w:tcPr>
            <w:tcW w:w="1226"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18A592B"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Percentage</w:t>
            </w:r>
          </w:p>
        </w:tc>
        <w:tc>
          <w:tcPr>
            <w:tcW w:w="110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38BAF25"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Threshold</w:t>
            </w:r>
          </w:p>
        </w:tc>
        <w:tc>
          <w:tcPr>
            <w:tcW w:w="114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0CB0731"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Spp definition</w:t>
            </w:r>
          </w:p>
        </w:tc>
        <w:tc>
          <w:tcPr>
            <w:tcW w:w="265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7DFBA3F"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Comments</w:t>
            </w:r>
          </w:p>
        </w:tc>
      </w:tr>
      <w:tr w:rsidR="003C4EE5" w:rsidRPr="00A95F5F" w14:paraId="72CD8145" w14:textId="77777777" w:rsidTr="003C4EE5">
        <w:trPr>
          <w:trHeight w:val="285"/>
        </w:trPr>
        <w:tc>
          <w:tcPr>
            <w:tcW w:w="88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C538123"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Netters</w:t>
            </w:r>
          </w:p>
        </w:tc>
        <w:tc>
          <w:tcPr>
            <w:tcW w:w="1611" w:type="dxa"/>
            <w:tcBorders>
              <w:top w:val="nil"/>
              <w:left w:val="nil"/>
              <w:bottom w:val="single" w:sz="4" w:space="0" w:color="auto"/>
              <w:right w:val="single" w:sz="4" w:space="0" w:color="auto"/>
            </w:tcBorders>
            <w:shd w:val="clear" w:color="auto" w:fill="C5E0B3" w:themeFill="accent6" w:themeFillTint="66"/>
            <w:noWrap/>
            <w:vAlign w:val="center"/>
            <w:hideMark/>
          </w:tcPr>
          <w:p w14:paraId="5A8E0463"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Angler fishes</w:t>
            </w:r>
          </w:p>
        </w:tc>
        <w:tc>
          <w:tcPr>
            <w:tcW w:w="1465" w:type="dxa"/>
            <w:tcBorders>
              <w:top w:val="nil"/>
              <w:left w:val="nil"/>
              <w:bottom w:val="single" w:sz="4" w:space="0" w:color="auto"/>
              <w:right w:val="single" w:sz="4" w:space="0" w:color="auto"/>
            </w:tcBorders>
            <w:shd w:val="clear" w:color="auto" w:fill="C5E0B3" w:themeFill="accent6" w:themeFillTint="66"/>
            <w:noWrap/>
            <w:vAlign w:val="center"/>
            <w:hideMark/>
          </w:tcPr>
          <w:p w14:paraId="154B40BB"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244,673</w:t>
            </w:r>
          </w:p>
        </w:tc>
        <w:tc>
          <w:tcPr>
            <w:tcW w:w="1418" w:type="dxa"/>
            <w:tcBorders>
              <w:top w:val="nil"/>
              <w:left w:val="nil"/>
              <w:bottom w:val="single" w:sz="4" w:space="0" w:color="auto"/>
              <w:right w:val="single" w:sz="4" w:space="0" w:color="auto"/>
            </w:tcBorders>
            <w:shd w:val="clear" w:color="auto" w:fill="C5E0B3" w:themeFill="accent6" w:themeFillTint="66"/>
            <w:noWrap/>
            <w:vAlign w:val="center"/>
            <w:hideMark/>
          </w:tcPr>
          <w:p w14:paraId="02FEF598"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3,634</w:t>
            </w:r>
          </w:p>
        </w:tc>
        <w:tc>
          <w:tcPr>
            <w:tcW w:w="879" w:type="dxa"/>
            <w:tcBorders>
              <w:top w:val="nil"/>
              <w:left w:val="nil"/>
              <w:bottom w:val="single" w:sz="4" w:space="0" w:color="auto"/>
              <w:right w:val="single" w:sz="4" w:space="0" w:color="auto"/>
            </w:tcBorders>
            <w:shd w:val="clear" w:color="auto" w:fill="C5E0B3" w:themeFill="accent6" w:themeFillTint="66"/>
            <w:noWrap/>
            <w:vAlign w:val="center"/>
            <w:hideMark/>
          </w:tcPr>
          <w:p w14:paraId="0A20696A"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0.02</w:t>
            </w:r>
          </w:p>
        </w:tc>
        <w:tc>
          <w:tcPr>
            <w:tcW w:w="1116" w:type="dxa"/>
            <w:tcBorders>
              <w:top w:val="nil"/>
              <w:left w:val="nil"/>
              <w:bottom w:val="single" w:sz="4" w:space="0" w:color="auto"/>
              <w:right w:val="single" w:sz="4" w:space="0" w:color="auto"/>
            </w:tcBorders>
            <w:shd w:val="clear" w:color="auto" w:fill="C5E0B3" w:themeFill="accent6" w:themeFillTint="66"/>
            <w:noWrap/>
            <w:vAlign w:val="center"/>
            <w:hideMark/>
          </w:tcPr>
          <w:p w14:paraId="1878CCE6"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248,307</w:t>
            </w:r>
          </w:p>
        </w:tc>
        <w:tc>
          <w:tcPr>
            <w:tcW w:w="1226" w:type="dxa"/>
            <w:tcBorders>
              <w:top w:val="nil"/>
              <w:left w:val="nil"/>
              <w:bottom w:val="single" w:sz="4" w:space="0" w:color="auto"/>
              <w:right w:val="single" w:sz="4" w:space="0" w:color="auto"/>
            </w:tcBorders>
            <w:shd w:val="clear" w:color="auto" w:fill="C5E0B3" w:themeFill="accent6" w:themeFillTint="66"/>
            <w:noWrap/>
            <w:vAlign w:val="center"/>
            <w:hideMark/>
          </w:tcPr>
          <w:p w14:paraId="6D593F4D"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27%</w:t>
            </w:r>
          </w:p>
        </w:tc>
        <w:tc>
          <w:tcPr>
            <w:tcW w:w="1109" w:type="dxa"/>
            <w:tcBorders>
              <w:top w:val="nil"/>
              <w:left w:val="nil"/>
              <w:bottom w:val="single" w:sz="4" w:space="0" w:color="auto"/>
              <w:right w:val="single" w:sz="4" w:space="0" w:color="auto"/>
            </w:tcBorders>
            <w:shd w:val="clear" w:color="auto" w:fill="C5E0B3" w:themeFill="accent6" w:themeFillTint="66"/>
            <w:noWrap/>
            <w:vAlign w:val="center"/>
            <w:hideMark/>
          </w:tcPr>
          <w:p w14:paraId="13DE60ED"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C5E0B3" w:themeFill="accent6" w:themeFillTint="66"/>
            <w:noWrap/>
            <w:vAlign w:val="center"/>
            <w:hideMark/>
          </w:tcPr>
          <w:p w14:paraId="55392E33"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targeted spp</w:t>
            </w:r>
          </w:p>
        </w:tc>
        <w:tc>
          <w:tcPr>
            <w:tcW w:w="2653" w:type="dxa"/>
            <w:tcBorders>
              <w:top w:val="nil"/>
              <w:left w:val="nil"/>
              <w:bottom w:val="single" w:sz="4" w:space="0" w:color="auto"/>
              <w:right w:val="single" w:sz="4" w:space="0" w:color="auto"/>
            </w:tcBorders>
            <w:shd w:val="clear" w:color="auto" w:fill="C5E0B3" w:themeFill="accent6" w:themeFillTint="66"/>
            <w:vAlign w:val="center"/>
            <w:hideMark/>
          </w:tcPr>
          <w:p w14:paraId="0DAE4D05" w14:textId="77777777" w:rsidR="003C4EE5" w:rsidRPr="00A95F5F" w:rsidRDefault="003C4EE5" w:rsidP="003C4EE5">
            <w:pPr>
              <w:spacing w:after="0" w:line="240" w:lineRule="auto"/>
              <w:ind w:left="0"/>
              <w:jc w:val="center"/>
              <w:rPr>
                <w:rFonts w:ascii="Calibri" w:eastAsia="Times New Roman" w:hAnsi="Calibri" w:cs="Times New Roman"/>
                <w:lang w:eastAsia="en-GB"/>
              </w:rPr>
            </w:pPr>
          </w:p>
        </w:tc>
      </w:tr>
      <w:tr w:rsidR="003C4EE5" w:rsidRPr="00A95F5F" w14:paraId="5656BF67" w14:textId="77777777" w:rsidTr="003C4EE5">
        <w:trPr>
          <w:trHeight w:val="571"/>
        </w:trPr>
        <w:tc>
          <w:tcPr>
            <w:tcW w:w="88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0E526B5"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Netters</w:t>
            </w:r>
          </w:p>
        </w:tc>
        <w:tc>
          <w:tcPr>
            <w:tcW w:w="1611" w:type="dxa"/>
            <w:tcBorders>
              <w:top w:val="nil"/>
              <w:left w:val="nil"/>
              <w:bottom w:val="single" w:sz="4" w:space="0" w:color="auto"/>
              <w:right w:val="single" w:sz="4" w:space="0" w:color="auto"/>
            </w:tcBorders>
            <w:shd w:val="clear" w:color="auto" w:fill="C5E0B3" w:themeFill="accent6" w:themeFillTint="66"/>
            <w:noWrap/>
            <w:vAlign w:val="center"/>
            <w:hideMark/>
          </w:tcPr>
          <w:p w14:paraId="020AC44D"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European hake</w:t>
            </w:r>
          </w:p>
        </w:tc>
        <w:tc>
          <w:tcPr>
            <w:tcW w:w="1465" w:type="dxa"/>
            <w:tcBorders>
              <w:top w:val="nil"/>
              <w:left w:val="nil"/>
              <w:bottom w:val="single" w:sz="4" w:space="0" w:color="auto"/>
              <w:right w:val="single" w:sz="4" w:space="0" w:color="auto"/>
            </w:tcBorders>
            <w:shd w:val="clear" w:color="auto" w:fill="C5E0B3" w:themeFill="accent6" w:themeFillTint="66"/>
            <w:noWrap/>
            <w:vAlign w:val="center"/>
            <w:hideMark/>
          </w:tcPr>
          <w:p w14:paraId="72196994"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203,975</w:t>
            </w:r>
          </w:p>
        </w:tc>
        <w:tc>
          <w:tcPr>
            <w:tcW w:w="1418" w:type="dxa"/>
            <w:tcBorders>
              <w:top w:val="nil"/>
              <w:left w:val="nil"/>
              <w:bottom w:val="single" w:sz="4" w:space="0" w:color="auto"/>
              <w:right w:val="single" w:sz="4" w:space="0" w:color="auto"/>
            </w:tcBorders>
            <w:shd w:val="clear" w:color="auto" w:fill="C5E0B3" w:themeFill="accent6" w:themeFillTint="66"/>
            <w:noWrap/>
            <w:vAlign w:val="center"/>
            <w:hideMark/>
          </w:tcPr>
          <w:p w14:paraId="53F44808"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4,194</w:t>
            </w:r>
          </w:p>
        </w:tc>
        <w:tc>
          <w:tcPr>
            <w:tcW w:w="879" w:type="dxa"/>
            <w:tcBorders>
              <w:top w:val="nil"/>
              <w:left w:val="nil"/>
              <w:bottom w:val="single" w:sz="4" w:space="0" w:color="auto"/>
              <w:right w:val="single" w:sz="4" w:space="0" w:color="auto"/>
            </w:tcBorders>
            <w:shd w:val="clear" w:color="auto" w:fill="C5E0B3" w:themeFill="accent6" w:themeFillTint="66"/>
            <w:noWrap/>
            <w:vAlign w:val="center"/>
            <w:hideMark/>
          </w:tcPr>
          <w:p w14:paraId="5D7C2FA6"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0.02</w:t>
            </w:r>
          </w:p>
        </w:tc>
        <w:tc>
          <w:tcPr>
            <w:tcW w:w="1116" w:type="dxa"/>
            <w:tcBorders>
              <w:top w:val="nil"/>
              <w:left w:val="nil"/>
              <w:bottom w:val="single" w:sz="4" w:space="0" w:color="auto"/>
              <w:right w:val="single" w:sz="4" w:space="0" w:color="auto"/>
            </w:tcBorders>
            <w:shd w:val="clear" w:color="auto" w:fill="C5E0B3" w:themeFill="accent6" w:themeFillTint="66"/>
            <w:noWrap/>
            <w:vAlign w:val="center"/>
            <w:hideMark/>
          </w:tcPr>
          <w:p w14:paraId="003CDDDB"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208,170</w:t>
            </w:r>
          </w:p>
        </w:tc>
        <w:tc>
          <w:tcPr>
            <w:tcW w:w="1226" w:type="dxa"/>
            <w:tcBorders>
              <w:top w:val="nil"/>
              <w:left w:val="nil"/>
              <w:bottom w:val="single" w:sz="4" w:space="0" w:color="auto"/>
              <w:right w:val="single" w:sz="4" w:space="0" w:color="auto"/>
            </w:tcBorders>
            <w:shd w:val="clear" w:color="auto" w:fill="C5E0B3" w:themeFill="accent6" w:themeFillTint="66"/>
            <w:noWrap/>
            <w:vAlign w:val="center"/>
            <w:hideMark/>
          </w:tcPr>
          <w:p w14:paraId="3A17D946"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22%</w:t>
            </w:r>
          </w:p>
        </w:tc>
        <w:tc>
          <w:tcPr>
            <w:tcW w:w="1109" w:type="dxa"/>
            <w:tcBorders>
              <w:top w:val="nil"/>
              <w:left w:val="nil"/>
              <w:bottom w:val="single" w:sz="4" w:space="0" w:color="auto"/>
              <w:right w:val="single" w:sz="4" w:space="0" w:color="auto"/>
            </w:tcBorders>
            <w:shd w:val="clear" w:color="auto" w:fill="C5E0B3" w:themeFill="accent6" w:themeFillTint="66"/>
            <w:noWrap/>
            <w:vAlign w:val="center"/>
            <w:hideMark/>
          </w:tcPr>
          <w:p w14:paraId="3FF72D8B"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C5E0B3" w:themeFill="accent6" w:themeFillTint="66"/>
            <w:noWrap/>
            <w:vAlign w:val="center"/>
            <w:hideMark/>
          </w:tcPr>
          <w:p w14:paraId="089B10EE"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primary</w:t>
            </w:r>
          </w:p>
        </w:tc>
        <w:tc>
          <w:tcPr>
            <w:tcW w:w="2653" w:type="dxa"/>
            <w:tcBorders>
              <w:top w:val="nil"/>
              <w:left w:val="nil"/>
              <w:bottom w:val="single" w:sz="4" w:space="0" w:color="auto"/>
              <w:right w:val="single" w:sz="4" w:space="0" w:color="auto"/>
            </w:tcBorders>
            <w:shd w:val="clear" w:color="auto" w:fill="C5E0B3" w:themeFill="accent6" w:themeFillTint="66"/>
            <w:vAlign w:val="center"/>
            <w:hideMark/>
          </w:tcPr>
          <w:p w14:paraId="3FE52F5C"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Stock Greater NS, Celtic Seas and Norther Bay of Biscay. ICES category 1. MSY approach</w:t>
            </w:r>
          </w:p>
        </w:tc>
      </w:tr>
      <w:tr w:rsidR="003C4EE5" w:rsidRPr="00A95F5F" w14:paraId="42728EAA" w14:textId="77777777" w:rsidTr="003C4EE5">
        <w:trPr>
          <w:trHeight w:val="285"/>
        </w:trPr>
        <w:tc>
          <w:tcPr>
            <w:tcW w:w="88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8F9AA3C"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Netters</w:t>
            </w:r>
          </w:p>
        </w:tc>
        <w:tc>
          <w:tcPr>
            <w:tcW w:w="1611" w:type="dxa"/>
            <w:tcBorders>
              <w:top w:val="nil"/>
              <w:left w:val="nil"/>
              <w:bottom w:val="single" w:sz="4" w:space="0" w:color="auto"/>
              <w:right w:val="single" w:sz="4" w:space="0" w:color="auto"/>
            </w:tcBorders>
            <w:shd w:val="clear" w:color="auto" w:fill="C5E0B3" w:themeFill="accent6" w:themeFillTint="66"/>
            <w:noWrap/>
            <w:vAlign w:val="center"/>
            <w:hideMark/>
          </w:tcPr>
          <w:p w14:paraId="7D049523"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Turbot</w:t>
            </w:r>
          </w:p>
        </w:tc>
        <w:tc>
          <w:tcPr>
            <w:tcW w:w="1465" w:type="dxa"/>
            <w:tcBorders>
              <w:top w:val="nil"/>
              <w:left w:val="nil"/>
              <w:bottom w:val="single" w:sz="4" w:space="0" w:color="auto"/>
              <w:right w:val="single" w:sz="4" w:space="0" w:color="auto"/>
            </w:tcBorders>
            <w:shd w:val="clear" w:color="auto" w:fill="C5E0B3" w:themeFill="accent6" w:themeFillTint="66"/>
            <w:noWrap/>
            <w:vAlign w:val="center"/>
            <w:hideMark/>
          </w:tcPr>
          <w:p w14:paraId="33DA5BA6"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162,233</w:t>
            </w:r>
          </w:p>
        </w:tc>
        <w:tc>
          <w:tcPr>
            <w:tcW w:w="1418" w:type="dxa"/>
            <w:tcBorders>
              <w:top w:val="nil"/>
              <w:left w:val="nil"/>
              <w:bottom w:val="single" w:sz="4" w:space="0" w:color="auto"/>
              <w:right w:val="single" w:sz="4" w:space="0" w:color="auto"/>
            </w:tcBorders>
            <w:shd w:val="clear" w:color="auto" w:fill="C5E0B3" w:themeFill="accent6" w:themeFillTint="66"/>
            <w:noWrap/>
            <w:vAlign w:val="center"/>
            <w:hideMark/>
          </w:tcPr>
          <w:p w14:paraId="5AFAB390"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40</w:t>
            </w:r>
          </w:p>
        </w:tc>
        <w:tc>
          <w:tcPr>
            <w:tcW w:w="879" w:type="dxa"/>
            <w:tcBorders>
              <w:top w:val="nil"/>
              <w:left w:val="nil"/>
              <w:bottom w:val="single" w:sz="4" w:space="0" w:color="auto"/>
              <w:right w:val="single" w:sz="4" w:space="0" w:color="auto"/>
            </w:tcBorders>
            <w:shd w:val="clear" w:color="auto" w:fill="C5E0B3" w:themeFill="accent6" w:themeFillTint="66"/>
            <w:noWrap/>
            <w:vAlign w:val="center"/>
            <w:hideMark/>
          </w:tcPr>
          <w:p w14:paraId="5EC7875C"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0.00</w:t>
            </w:r>
          </w:p>
        </w:tc>
        <w:tc>
          <w:tcPr>
            <w:tcW w:w="1116" w:type="dxa"/>
            <w:tcBorders>
              <w:top w:val="nil"/>
              <w:left w:val="nil"/>
              <w:bottom w:val="single" w:sz="4" w:space="0" w:color="auto"/>
              <w:right w:val="single" w:sz="4" w:space="0" w:color="auto"/>
            </w:tcBorders>
            <w:shd w:val="clear" w:color="auto" w:fill="C5E0B3" w:themeFill="accent6" w:themeFillTint="66"/>
            <w:noWrap/>
            <w:vAlign w:val="center"/>
            <w:hideMark/>
          </w:tcPr>
          <w:p w14:paraId="27A0AB6A"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162,272</w:t>
            </w:r>
          </w:p>
        </w:tc>
        <w:tc>
          <w:tcPr>
            <w:tcW w:w="1226" w:type="dxa"/>
            <w:tcBorders>
              <w:top w:val="nil"/>
              <w:left w:val="nil"/>
              <w:bottom w:val="single" w:sz="4" w:space="0" w:color="auto"/>
              <w:right w:val="single" w:sz="4" w:space="0" w:color="auto"/>
            </w:tcBorders>
            <w:shd w:val="clear" w:color="auto" w:fill="C5E0B3" w:themeFill="accent6" w:themeFillTint="66"/>
            <w:noWrap/>
            <w:vAlign w:val="center"/>
            <w:hideMark/>
          </w:tcPr>
          <w:p w14:paraId="59DCD6ED"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18%</w:t>
            </w:r>
          </w:p>
        </w:tc>
        <w:tc>
          <w:tcPr>
            <w:tcW w:w="1109" w:type="dxa"/>
            <w:tcBorders>
              <w:top w:val="nil"/>
              <w:left w:val="nil"/>
              <w:bottom w:val="single" w:sz="4" w:space="0" w:color="auto"/>
              <w:right w:val="single" w:sz="4" w:space="0" w:color="auto"/>
            </w:tcBorders>
            <w:shd w:val="clear" w:color="auto" w:fill="C5E0B3" w:themeFill="accent6" w:themeFillTint="66"/>
            <w:noWrap/>
            <w:vAlign w:val="center"/>
            <w:hideMark/>
          </w:tcPr>
          <w:p w14:paraId="082E1EA3"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C5E0B3" w:themeFill="accent6" w:themeFillTint="66"/>
            <w:noWrap/>
            <w:vAlign w:val="center"/>
            <w:hideMark/>
          </w:tcPr>
          <w:p w14:paraId="6C5A1334"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Secondary</w:t>
            </w:r>
          </w:p>
        </w:tc>
        <w:tc>
          <w:tcPr>
            <w:tcW w:w="2653" w:type="dxa"/>
            <w:tcBorders>
              <w:top w:val="nil"/>
              <w:left w:val="nil"/>
              <w:bottom w:val="single" w:sz="4" w:space="0" w:color="auto"/>
              <w:right w:val="single" w:sz="4" w:space="0" w:color="auto"/>
            </w:tcBorders>
            <w:shd w:val="clear" w:color="auto" w:fill="C5E0B3" w:themeFill="accent6" w:themeFillTint="66"/>
            <w:vAlign w:val="center"/>
            <w:hideMark/>
          </w:tcPr>
          <w:p w14:paraId="569F9060"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Stock not Assessed by ICES in area VII.</w:t>
            </w:r>
          </w:p>
        </w:tc>
      </w:tr>
      <w:tr w:rsidR="003C4EE5" w:rsidRPr="00A95F5F" w14:paraId="049E9C13" w14:textId="77777777" w:rsidTr="003C4EE5">
        <w:trPr>
          <w:trHeight w:val="285"/>
        </w:trPr>
        <w:tc>
          <w:tcPr>
            <w:tcW w:w="88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FD7D6CA"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Netters</w:t>
            </w:r>
          </w:p>
        </w:tc>
        <w:tc>
          <w:tcPr>
            <w:tcW w:w="1611" w:type="dxa"/>
            <w:tcBorders>
              <w:top w:val="nil"/>
              <w:left w:val="nil"/>
              <w:bottom w:val="single" w:sz="4" w:space="0" w:color="auto"/>
              <w:right w:val="single" w:sz="4" w:space="0" w:color="auto"/>
            </w:tcBorders>
            <w:shd w:val="clear" w:color="auto" w:fill="C5E0B3" w:themeFill="accent6" w:themeFillTint="66"/>
            <w:noWrap/>
            <w:vAlign w:val="center"/>
            <w:hideMark/>
          </w:tcPr>
          <w:p w14:paraId="5657E4B7"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Pollack</w:t>
            </w:r>
          </w:p>
        </w:tc>
        <w:tc>
          <w:tcPr>
            <w:tcW w:w="1465" w:type="dxa"/>
            <w:tcBorders>
              <w:top w:val="nil"/>
              <w:left w:val="nil"/>
              <w:bottom w:val="single" w:sz="4" w:space="0" w:color="auto"/>
              <w:right w:val="single" w:sz="4" w:space="0" w:color="auto"/>
            </w:tcBorders>
            <w:shd w:val="clear" w:color="auto" w:fill="C5E0B3" w:themeFill="accent6" w:themeFillTint="66"/>
            <w:noWrap/>
            <w:vAlign w:val="center"/>
            <w:hideMark/>
          </w:tcPr>
          <w:p w14:paraId="04EE1873"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60,688</w:t>
            </w:r>
          </w:p>
        </w:tc>
        <w:tc>
          <w:tcPr>
            <w:tcW w:w="1418" w:type="dxa"/>
            <w:tcBorders>
              <w:top w:val="nil"/>
              <w:left w:val="nil"/>
              <w:bottom w:val="single" w:sz="4" w:space="0" w:color="auto"/>
              <w:right w:val="single" w:sz="4" w:space="0" w:color="auto"/>
            </w:tcBorders>
            <w:shd w:val="clear" w:color="auto" w:fill="C5E0B3" w:themeFill="accent6" w:themeFillTint="66"/>
            <w:noWrap/>
            <w:vAlign w:val="center"/>
            <w:hideMark/>
          </w:tcPr>
          <w:p w14:paraId="3D2CB0B2"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w:t>
            </w:r>
          </w:p>
        </w:tc>
        <w:tc>
          <w:tcPr>
            <w:tcW w:w="879" w:type="dxa"/>
            <w:tcBorders>
              <w:top w:val="nil"/>
              <w:left w:val="nil"/>
              <w:bottom w:val="single" w:sz="4" w:space="0" w:color="auto"/>
              <w:right w:val="single" w:sz="4" w:space="0" w:color="auto"/>
            </w:tcBorders>
            <w:shd w:val="clear" w:color="auto" w:fill="C5E0B3" w:themeFill="accent6" w:themeFillTint="66"/>
            <w:noWrap/>
            <w:vAlign w:val="center"/>
            <w:hideMark/>
          </w:tcPr>
          <w:p w14:paraId="768369FD"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w:t>
            </w:r>
          </w:p>
        </w:tc>
        <w:tc>
          <w:tcPr>
            <w:tcW w:w="1116" w:type="dxa"/>
            <w:tcBorders>
              <w:top w:val="nil"/>
              <w:left w:val="nil"/>
              <w:bottom w:val="single" w:sz="4" w:space="0" w:color="auto"/>
              <w:right w:val="single" w:sz="4" w:space="0" w:color="auto"/>
            </w:tcBorders>
            <w:shd w:val="clear" w:color="auto" w:fill="C5E0B3" w:themeFill="accent6" w:themeFillTint="66"/>
            <w:noWrap/>
            <w:vAlign w:val="center"/>
            <w:hideMark/>
          </w:tcPr>
          <w:p w14:paraId="2A85FA22"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60,688</w:t>
            </w:r>
          </w:p>
        </w:tc>
        <w:tc>
          <w:tcPr>
            <w:tcW w:w="1226" w:type="dxa"/>
            <w:tcBorders>
              <w:top w:val="nil"/>
              <w:left w:val="nil"/>
              <w:bottom w:val="single" w:sz="4" w:space="0" w:color="auto"/>
              <w:right w:val="single" w:sz="4" w:space="0" w:color="auto"/>
            </w:tcBorders>
            <w:shd w:val="clear" w:color="auto" w:fill="C5E0B3" w:themeFill="accent6" w:themeFillTint="66"/>
            <w:noWrap/>
            <w:vAlign w:val="center"/>
            <w:hideMark/>
          </w:tcPr>
          <w:p w14:paraId="70D9C17E"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7%</w:t>
            </w:r>
          </w:p>
        </w:tc>
        <w:tc>
          <w:tcPr>
            <w:tcW w:w="1109" w:type="dxa"/>
            <w:tcBorders>
              <w:top w:val="nil"/>
              <w:left w:val="nil"/>
              <w:bottom w:val="single" w:sz="4" w:space="0" w:color="auto"/>
              <w:right w:val="single" w:sz="4" w:space="0" w:color="auto"/>
            </w:tcBorders>
            <w:shd w:val="clear" w:color="auto" w:fill="C5E0B3" w:themeFill="accent6" w:themeFillTint="66"/>
            <w:noWrap/>
            <w:vAlign w:val="center"/>
            <w:hideMark/>
          </w:tcPr>
          <w:p w14:paraId="6CE0E220"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C5E0B3" w:themeFill="accent6" w:themeFillTint="66"/>
            <w:noWrap/>
            <w:vAlign w:val="center"/>
            <w:hideMark/>
          </w:tcPr>
          <w:p w14:paraId="0A4FE070"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Secondary</w:t>
            </w:r>
          </w:p>
        </w:tc>
        <w:tc>
          <w:tcPr>
            <w:tcW w:w="2653" w:type="dxa"/>
            <w:tcBorders>
              <w:top w:val="nil"/>
              <w:left w:val="nil"/>
              <w:bottom w:val="single" w:sz="4" w:space="0" w:color="auto"/>
              <w:right w:val="single" w:sz="4" w:space="0" w:color="auto"/>
            </w:tcBorders>
            <w:shd w:val="clear" w:color="auto" w:fill="C5E0B3" w:themeFill="accent6" w:themeFillTint="66"/>
            <w:vAlign w:val="center"/>
            <w:hideMark/>
          </w:tcPr>
          <w:p w14:paraId="3561D113"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Stock in subareas 6-7. ICES category 4. Precautionary approach</w:t>
            </w:r>
          </w:p>
        </w:tc>
      </w:tr>
      <w:tr w:rsidR="003C4EE5" w:rsidRPr="00A95F5F" w14:paraId="05FA5345" w14:textId="77777777" w:rsidTr="003C4EE5">
        <w:trPr>
          <w:trHeight w:val="571"/>
        </w:trPr>
        <w:tc>
          <w:tcPr>
            <w:tcW w:w="88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3D63408"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Netters</w:t>
            </w:r>
          </w:p>
        </w:tc>
        <w:tc>
          <w:tcPr>
            <w:tcW w:w="1611" w:type="dxa"/>
            <w:tcBorders>
              <w:top w:val="nil"/>
              <w:left w:val="nil"/>
              <w:bottom w:val="single" w:sz="4" w:space="0" w:color="auto"/>
              <w:right w:val="single" w:sz="4" w:space="0" w:color="auto"/>
            </w:tcBorders>
            <w:shd w:val="clear" w:color="auto" w:fill="C5E0B3" w:themeFill="accent6" w:themeFillTint="66"/>
            <w:noWrap/>
            <w:vAlign w:val="center"/>
            <w:hideMark/>
          </w:tcPr>
          <w:p w14:paraId="5B96FA69"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Common ling</w:t>
            </w:r>
          </w:p>
        </w:tc>
        <w:tc>
          <w:tcPr>
            <w:tcW w:w="1465" w:type="dxa"/>
            <w:tcBorders>
              <w:top w:val="nil"/>
              <w:left w:val="nil"/>
              <w:bottom w:val="single" w:sz="4" w:space="0" w:color="auto"/>
              <w:right w:val="single" w:sz="4" w:space="0" w:color="auto"/>
            </w:tcBorders>
            <w:shd w:val="clear" w:color="auto" w:fill="C5E0B3" w:themeFill="accent6" w:themeFillTint="66"/>
            <w:noWrap/>
            <w:vAlign w:val="center"/>
            <w:hideMark/>
          </w:tcPr>
          <w:p w14:paraId="4A117060"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38,001</w:t>
            </w:r>
          </w:p>
        </w:tc>
        <w:tc>
          <w:tcPr>
            <w:tcW w:w="1418" w:type="dxa"/>
            <w:tcBorders>
              <w:top w:val="nil"/>
              <w:left w:val="nil"/>
              <w:bottom w:val="single" w:sz="4" w:space="0" w:color="auto"/>
              <w:right w:val="single" w:sz="4" w:space="0" w:color="auto"/>
            </w:tcBorders>
            <w:shd w:val="clear" w:color="auto" w:fill="C5E0B3" w:themeFill="accent6" w:themeFillTint="66"/>
            <w:noWrap/>
            <w:vAlign w:val="center"/>
            <w:hideMark/>
          </w:tcPr>
          <w:p w14:paraId="1A10F1BD"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w:t>
            </w:r>
          </w:p>
        </w:tc>
        <w:tc>
          <w:tcPr>
            <w:tcW w:w="879" w:type="dxa"/>
            <w:tcBorders>
              <w:top w:val="nil"/>
              <w:left w:val="nil"/>
              <w:bottom w:val="single" w:sz="4" w:space="0" w:color="auto"/>
              <w:right w:val="single" w:sz="4" w:space="0" w:color="auto"/>
            </w:tcBorders>
            <w:shd w:val="clear" w:color="auto" w:fill="C5E0B3" w:themeFill="accent6" w:themeFillTint="66"/>
            <w:noWrap/>
            <w:vAlign w:val="center"/>
            <w:hideMark/>
          </w:tcPr>
          <w:p w14:paraId="1716917E"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w:t>
            </w:r>
          </w:p>
        </w:tc>
        <w:tc>
          <w:tcPr>
            <w:tcW w:w="1116" w:type="dxa"/>
            <w:tcBorders>
              <w:top w:val="nil"/>
              <w:left w:val="nil"/>
              <w:bottom w:val="single" w:sz="4" w:space="0" w:color="auto"/>
              <w:right w:val="single" w:sz="4" w:space="0" w:color="auto"/>
            </w:tcBorders>
            <w:shd w:val="clear" w:color="auto" w:fill="C5E0B3" w:themeFill="accent6" w:themeFillTint="66"/>
            <w:noWrap/>
            <w:vAlign w:val="center"/>
            <w:hideMark/>
          </w:tcPr>
          <w:p w14:paraId="57D83A3B"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38,001</w:t>
            </w:r>
          </w:p>
        </w:tc>
        <w:tc>
          <w:tcPr>
            <w:tcW w:w="1226" w:type="dxa"/>
            <w:tcBorders>
              <w:top w:val="nil"/>
              <w:left w:val="nil"/>
              <w:bottom w:val="single" w:sz="4" w:space="0" w:color="auto"/>
              <w:right w:val="single" w:sz="4" w:space="0" w:color="auto"/>
            </w:tcBorders>
            <w:shd w:val="clear" w:color="auto" w:fill="C5E0B3" w:themeFill="accent6" w:themeFillTint="66"/>
            <w:noWrap/>
            <w:vAlign w:val="center"/>
            <w:hideMark/>
          </w:tcPr>
          <w:p w14:paraId="1D3ED0C3"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4%</w:t>
            </w:r>
          </w:p>
        </w:tc>
        <w:tc>
          <w:tcPr>
            <w:tcW w:w="1109" w:type="dxa"/>
            <w:tcBorders>
              <w:top w:val="nil"/>
              <w:left w:val="nil"/>
              <w:bottom w:val="single" w:sz="4" w:space="0" w:color="auto"/>
              <w:right w:val="single" w:sz="4" w:space="0" w:color="auto"/>
            </w:tcBorders>
            <w:shd w:val="clear" w:color="auto" w:fill="C5E0B3" w:themeFill="accent6" w:themeFillTint="66"/>
            <w:noWrap/>
            <w:vAlign w:val="center"/>
            <w:hideMark/>
          </w:tcPr>
          <w:p w14:paraId="0DDB8ED4"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C5E0B3" w:themeFill="accent6" w:themeFillTint="66"/>
            <w:noWrap/>
            <w:vAlign w:val="center"/>
            <w:hideMark/>
          </w:tcPr>
          <w:p w14:paraId="3B030128"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Secondary</w:t>
            </w:r>
          </w:p>
        </w:tc>
        <w:tc>
          <w:tcPr>
            <w:tcW w:w="2653" w:type="dxa"/>
            <w:tcBorders>
              <w:top w:val="nil"/>
              <w:left w:val="nil"/>
              <w:bottom w:val="single" w:sz="4" w:space="0" w:color="auto"/>
              <w:right w:val="single" w:sz="4" w:space="0" w:color="auto"/>
            </w:tcBorders>
            <w:shd w:val="clear" w:color="auto" w:fill="C5E0B3" w:themeFill="accent6" w:themeFillTint="66"/>
            <w:vAlign w:val="center"/>
            <w:hideMark/>
          </w:tcPr>
          <w:p w14:paraId="7D502076"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Stock NE Atlantic and Artic ocean. ICES category 3. Advice basis precautionary approach.</w:t>
            </w:r>
          </w:p>
        </w:tc>
      </w:tr>
      <w:tr w:rsidR="003C4EE5" w:rsidRPr="00A95F5F" w14:paraId="770B3919" w14:textId="77777777" w:rsidTr="003C4EE5">
        <w:trPr>
          <w:trHeight w:val="285"/>
        </w:trPr>
        <w:tc>
          <w:tcPr>
            <w:tcW w:w="88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F59300B"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Netters</w:t>
            </w:r>
          </w:p>
        </w:tc>
        <w:tc>
          <w:tcPr>
            <w:tcW w:w="1611" w:type="dxa"/>
            <w:tcBorders>
              <w:top w:val="nil"/>
              <w:left w:val="nil"/>
              <w:bottom w:val="single" w:sz="4" w:space="0" w:color="auto"/>
              <w:right w:val="single" w:sz="4" w:space="0" w:color="auto"/>
            </w:tcBorders>
            <w:shd w:val="clear" w:color="auto" w:fill="C5E0B3" w:themeFill="accent6" w:themeFillTint="66"/>
            <w:noWrap/>
            <w:vAlign w:val="center"/>
            <w:hideMark/>
          </w:tcPr>
          <w:p w14:paraId="4B94F5C1"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Blonde ray</w:t>
            </w:r>
          </w:p>
        </w:tc>
        <w:tc>
          <w:tcPr>
            <w:tcW w:w="1465" w:type="dxa"/>
            <w:tcBorders>
              <w:top w:val="nil"/>
              <w:left w:val="nil"/>
              <w:bottom w:val="single" w:sz="4" w:space="0" w:color="auto"/>
              <w:right w:val="single" w:sz="4" w:space="0" w:color="auto"/>
            </w:tcBorders>
            <w:shd w:val="clear" w:color="auto" w:fill="C5E0B3" w:themeFill="accent6" w:themeFillTint="66"/>
            <w:noWrap/>
            <w:vAlign w:val="center"/>
            <w:hideMark/>
          </w:tcPr>
          <w:p w14:paraId="2CA4CC59"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20,181</w:t>
            </w:r>
          </w:p>
        </w:tc>
        <w:tc>
          <w:tcPr>
            <w:tcW w:w="1418" w:type="dxa"/>
            <w:tcBorders>
              <w:top w:val="nil"/>
              <w:left w:val="nil"/>
              <w:bottom w:val="single" w:sz="4" w:space="0" w:color="auto"/>
              <w:right w:val="single" w:sz="4" w:space="0" w:color="auto"/>
            </w:tcBorders>
            <w:shd w:val="clear" w:color="auto" w:fill="C5E0B3" w:themeFill="accent6" w:themeFillTint="66"/>
            <w:noWrap/>
            <w:vAlign w:val="center"/>
            <w:hideMark/>
          </w:tcPr>
          <w:p w14:paraId="49404700"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1,494</w:t>
            </w:r>
          </w:p>
        </w:tc>
        <w:tc>
          <w:tcPr>
            <w:tcW w:w="879" w:type="dxa"/>
            <w:tcBorders>
              <w:top w:val="nil"/>
              <w:left w:val="nil"/>
              <w:bottom w:val="single" w:sz="4" w:space="0" w:color="auto"/>
              <w:right w:val="single" w:sz="4" w:space="0" w:color="auto"/>
            </w:tcBorders>
            <w:shd w:val="clear" w:color="auto" w:fill="C5E0B3" w:themeFill="accent6" w:themeFillTint="66"/>
            <w:noWrap/>
            <w:vAlign w:val="center"/>
            <w:hideMark/>
          </w:tcPr>
          <w:p w14:paraId="41F0AE94"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0.02</w:t>
            </w:r>
          </w:p>
        </w:tc>
        <w:tc>
          <w:tcPr>
            <w:tcW w:w="1116" w:type="dxa"/>
            <w:tcBorders>
              <w:top w:val="nil"/>
              <w:left w:val="nil"/>
              <w:bottom w:val="single" w:sz="4" w:space="0" w:color="auto"/>
              <w:right w:val="single" w:sz="4" w:space="0" w:color="auto"/>
            </w:tcBorders>
            <w:shd w:val="clear" w:color="auto" w:fill="C5E0B3" w:themeFill="accent6" w:themeFillTint="66"/>
            <w:noWrap/>
            <w:vAlign w:val="center"/>
            <w:hideMark/>
          </w:tcPr>
          <w:p w14:paraId="49664CF7"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21,675</w:t>
            </w:r>
          </w:p>
        </w:tc>
        <w:tc>
          <w:tcPr>
            <w:tcW w:w="1226" w:type="dxa"/>
            <w:tcBorders>
              <w:top w:val="nil"/>
              <w:left w:val="nil"/>
              <w:bottom w:val="single" w:sz="4" w:space="0" w:color="auto"/>
              <w:right w:val="single" w:sz="4" w:space="0" w:color="auto"/>
            </w:tcBorders>
            <w:shd w:val="clear" w:color="auto" w:fill="C5E0B3" w:themeFill="accent6" w:themeFillTint="66"/>
            <w:noWrap/>
            <w:vAlign w:val="center"/>
            <w:hideMark/>
          </w:tcPr>
          <w:p w14:paraId="74A37A77"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w:t>
            </w:r>
          </w:p>
        </w:tc>
        <w:tc>
          <w:tcPr>
            <w:tcW w:w="1109" w:type="dxa"/>
            <w:tcBorders>
              <w:top w:val="nil"/>
              <w:left w:val="nil"/>
              <w:bottom w:val="single" w:sz="4" w:space="0" w:color="auto"/>
              <w:right w:val="single" w:sz="4" w:space="0" w:color="auto"/>
            </w:tcBorders>
            <w:shd w:val="clear" w:color="auto" w:fill="C5E0B3" w:themeFill="accent6" w:themeFillTint="66"/>
            <w:noWrap/>
            <w:vAlign w:val="center"/>
            <w:hideMark/>
          </w:tcPr>
          <w:p w14:paraId="3E9E2629"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w:t>
            </w:r>
          </w:p>
        </w:tc>
        <w:tc>
          <w:tcPr>
            <w:tcW w:w="1149" w:type="dxa"/>
            <w:tcBorders>
              <w:top w:val="nil"/>
              <w:left w:val="nil"/>
              <w:bottom w:val="single" w:sz="4" w:space="0" w:color="auto"/>
              <w:right w:val="single" w:sz="4" w:space="0" w:color="auto"/>
            </w:tcBorders>
            <w:shd w:val="clear" w:color="auto" w:fill="C5E0B3" w:themeFill="accent6" w:themeFillTint="66"/>
            <w:noWrap/>
            <w:vAlign w:val="center"/>
            <w:hideMark/>
          </w:tcPr>
          <w:p w14:paraId="542AC158"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Secondary</w:t>
            </w:r>
          </w:p>
        </w:tc>
        <w:tc>
          <w:tcPr>
            <w:tcW w:w="2653" w:type="dxa"/>
            <w:tcBorders>
              <w:top w:val="nil"/>
              <w:left w:val="nil"/>
              <w:bottom w:val="single" w:sz="4" w:space="0" w:color="auto"/>
              <w:right w:val="single" w:sz="4" w:space="0" w:color="auto"/>
            </w:tcBorders>
            <w:shd w:val="clear" w:color="auto" w:fill="C5E0B3" w:themeFill="accent6" w:themeFillTint="66"/>
            <w:vAlign w:val="center"/>
            <w:hideMark/>
          </w:tcPr>
          <w:p w14:paraId="07482DA1"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Stocks: 7e; 7a and 7f-g. ICES category 5. Precautionary approach</w:t>
            </w:r>
          </w:p>
        </w:tc>
      </w:tr>
      <w:tr w:rsidR="003C4EE5" w:rsidRPr="00A95F5F" w14:paraId="4E2BCDDA" w14:textId="77777777" w:rsidTr="003C4EE5">
        <w:trPr>
          <w:trHeight w:val="571"/>
        </w:trPr>
        <w:tc>
          <w:tcPr>
            <w:tcW w:w="88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49A7C75"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Netters</w:t>
            </w:r>
          </w:p>
        </w:tc>
        <w:tc>
          <w:tcPr>
            <w:tcW w:w="1611" w:type="dxa"/>
            <w:tcBorders>
              <w:top w:val="nil"/>
              <w:left w:val="nil"/>
              <w:bottom w:val="single" w:sz="4" w:space="0" w:color="auto"/>
              <w:right w:val="single" w:sz="4" w:space="0" w:color="auto"/>
            </w:tcBorders>
            <w:shd w:val="clear" w:color="auto" w:fill="C5E0B3" w:themeFill="accent6" w:themeFillTint="66"/>
            <w:noWrap/>
            <w:vAlign w:val="center"/>
            <w:hideMark/>
          </w:tcPr>
          <w:p w14:paraId="35A53819"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Cuckoo ray</w:t>
            </w:r>
          </w:p>
        </w:tc>
        <w:tc>
          <w:tcPr>
            <w:tcW w:w="1465" w:type="dxa"/>
            <w:tcBorders>
              <w:top w:val="nil"/>
              <w:left w:val="nil"/>
              <w:bottom w:val="single" w:sz="4" w:space="0" w:color="auto"/>
              <w:right w:val="single" w:sz="4" w:space="0" w:color="auto"/>
            </w:tcBorders>
            <w:shd w:val="clear" w:color="auto" w:fill="C5E0B3" w:themeFill="accent6" w:themeFillTint="66"/>
            <w:noWrap/>
            <w:vAlign w:val="center"/>
            <w:hideMark/>
          </w:tcPr>
          <w:p w14:paraId="1E65D546"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22,359</w:t>
            </w:r>
          </w:p>
        </w:tc>
        <w:tc>
          <w:tcPr>
            <w:tcW w:w="1418" w:type="dxa"/>
            <w:tcBorders>
              <w:top w:val="nil"/>
              <w:left w:val="nil"/>
              <w:bottom w:val="single" w:sz="4" w:space="0" w:color="auto"/>
              <w:right w:val="single" w:sz="4" w:space="0" w:color="auto"/>
            </w:tcBorders>
            <w:shd w:val="clear" w:color="auto" w:fill="C5E0B3" w:themeFill="accent6" w:themeFillTint="66"/>
            <w:noWrap/>
            <w:vAlign w:val="center"/>
            <w:hideMark/>
          </w:tcPr>
          <w:p w14:paraId="43B3AF21"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2,664</w:t>
            </w:r>
          </w:p>
        </w:tc>
        <w:tc>
          <w:tcPr>
            <w:tcW w:w="879" w:type="dxa"/>
            <w:tcBorders>
              <w:top w:val="nil"/>
              <w:left w:val="nil"/>
              <w:bottom w:val="single" w:sz="4" w:space="0" w:color="auto"/>
              <w:right w:val="single" w:sz="4" w:space="0" w:color="auto"/>
            </w:tcBorders>
            <w:shd w:val="clear" w:color="auto" w:fill="C5E0B3" w:themeFill="accent6" w:themeFillTint="66"/>
            <w:noWrap/>
            <w:vAlign w:val="center"/>
            <w:hideMark/>
          </w:tcPr>
          <w:p w14:paraId="5F525084"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0.08</w:t>
            </w:r>
          </w:p>
        </w:tc>
        <w:tc>
          <w:tcPr>
            <w:tcW w:w="1116" w:type="dxa"/>
            <w:tcBorders>
              <w:top w:val="nil"/>
              <w:left w:val="nil"/>
              <w:bottom w:val="single" w:sz="4" w:space="0" w:color="auto"/>
              <w:right w:val="single" w:sz="4" w:space="0" w:color="auto"/>
            </w:tcBorders>
            <w:shd w:val="clear" w:color="auto" w:fill="C5E0B3" w:themeFill="accent6" w:themeFillTint="66"/>
            <w:noWrap/>
            <w:vAlign w:val="center"/>
            <w:hideMark/>
          </w:tcPr>
          <w:p w14:paraId="73E7B563"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25,022</w:t>
            </w:r>
          </w:p>
        </w:tc>
        <w:tc>
          <w:tcPr>
            <w:tcW w:w="1226" w:type="dxa"/>
            <w:tcBorders>
              <w:top w:val="nil"/>
              <w:left w:val="nil"/>
              <w:bottom w:val="single" w:sz="4" w:space="0" w:color="auto"/>
              <w:right w:val="single" w:sz="4" w:space="0" w:color="auto"/>
            </w:tcBorders>
            <w:shd w:val="clear" w:color="auto" w:fill="C5E0B3" w:themeFill="accent6" w:themeFillTint="66"/>
            <w:noWrap/>
            <w:vAlign w:val="center"/>
            <w:hideMark/>
          </w:tcPr>
          <w:p w14:paraId="1B268436"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w:t>
            </w:r>
          </w:p>
        </w:tc>
        <w:tc>
          <w:tcPr>
            <w:tcW w:w="1109" w:type="dxa"/>
            <w:tcBorders>
              <w:top w:val="nil"/>
              <w:left w:val="nil"/>
              <w:bottom w:val="single" w:sz="4" w:space="0" w:color="auto"/>
              <w:right w:val="single" w:sz="4" w:space="0" w:color="auto"/>
            </w:tcBorders>
            <w:shd w:val="clear" w:color="auto" w:fill="C5E0B3" w:themeFill="accent6" w:themeFillTint="66"/>
            <w:noWrap/>
            <w:vAlign w:val="center"/>
            <w:hideMark/>
          </w:tcPr>
          <w:p w14:paraId="2FAADF2A"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w:t>
            </w:r>
          </w:p>
        </w:tc>
        <w:tc>
          <w:tcPr>
            <w:tcW w:w="1149" w:type="dxa"/>
            <w:tcBorders>
              <w:top w:val="nil"/>
              <w:left w:val="nil"/>
              <w:bottom w:val="single" w:sz="4" w:space="0" w:color="auto"/>
              <w:right w:val="single" w:sz="4" w:space="0" w:color="auto"/>
            </w:tcBorders>
            <w:shd w:val="clear" w:color="auto" w:fill="C5E0B3" w:themeFill="accent6" w:themeFillTint="66"/>
            <w:noWrap/>
            <w:vAlign w:val="center"/>
            <w:hideMark/>
          </w:tcPr>
          <w:p w14:paraId="4940160A"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Secondary</w:t>
            </w:r>
          </w:p>
        </w:tc>
        <w:tc>
          <w:tcPr>
            <w:tcW w:w="2653" w:type="dxa"/>
            <w:tcBorders>
              <w:top w:val="nil"/>
              <w:left w:val="nil"/>
              <w:bottom w:val="single" w:sz="4" w:space="0" w:color="auto"/>
              <w:right w:val="single" w:sz="4" w:space="0" w:color="auto"/>
            </w:tcBorders>
            <w:shd w:val="clear" w:color="auto" w:fill="C5E0B3" w:themeFill="accent6" w:themeFillTint="66"/>
            <w:vAlign w:val="center"/>
            <w:hideMark/>
          </w:tcPr>
          <w:p w14:paraId="3A9A57EC"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Stock in subareas 1-10, 12 and 14. ICES category 3. Precautionary approach</w:t>
            </w:r>
          </w:p>
        </w:tc>
      </w:tr>
      <w:tr w:rsidR="003C4EE5" w:rsidRPr="00A95F5F" w14:paraId="4D5591D8" w14:textId="77777777" w:rsidTr="003C4EE5">
        <w:trPr>
          <w:trHeight w:val="285"/>
        </w:trPr>
        <w:tc>
          <w:tcPr>
            <w:tcW w:w="88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1850B3A"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Netters</w:t>
            </w:r>
          </w:p>
        </w:tc>
        <w:tc>
          <w:tcPr>
            <w:tcW w:w="1611" w:type="dxa"/>
            <w:tcBorders>
              <w:top w:val="nil"/>
              <w:left w:val="nil"/>
              <w:bottom w:val="single" w:sz="4" w:space="0" w:color="auto"/>
              <w:right w:val="single" w:sz="4" w:space="0" w:color="auto"/>
            </w:tcBorders>
            <w:shd w:val="clear" w:color="auto" w:fill="C5E0B3" w:themeFill="accent6" w:themeFillTint="66"/>
            <w:noWrap/>
            <w:vAlign w:val="center"/>
            <w:hideMark/>
          </w:tcPr>
          <w:p w14:paraId="680C5A2E"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Undulate ray</w:t>
            </w:r>
          </w:p>
        </w:tc>
        <w:tc>
          <w:tcPr>
            <w:tcW w:w="1465" w:type="dxa"/>
            <w:tcBorders>
              <w:top w:val="nil"/>
              <w:left w:val="nil"/>
              <w:bottom w:val="single" w:sz="4" w:space="0" w:color="auto"/>
              <w:right w:val="single" w:sz="4" w:space="0" w:color="auto"/>
            </w:tcBorders>
            <w:shd w:val="clear" w:color="auto" w:fill="C5E0B3" w:themeFill="accent6" w:themeFillTint="66"/>
            <w:noWrap/>
            <w:vAlign w:val="center"/>
            <w:hideMark/>
          </w:tcPr>
          <w:p w14:paraId="3CEC73B3"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w:t>
            </w:r>
          </w:p>
        </w:tc>
        <w:tc>
          <w:tcPr>
            <w:tcW w:w="1418" w:type="dxa"/>
            <w:tcBorders>
              <w:top w:val="nil"/>
              <w:left w:val="nil"/>
              <w:bottom w:val="single" w:sz="4" w:space="0" w:color="auto"/>
              <w:right w:val="single" w:sz="4" w:space="0" w:color="auto"/>
            </w:tcBorders>
            <w:shd w:val="clear" w:color="auto" w:fill="C5E0B3" w:themeFill="accent6" w:themeFillTint="66"/>
            <w:noWrap/>
            <w:vAlign w:val="center"/>
            <w:hideMark/>
          </w:tcPr>
          <w:p w14:paraId="561F68ED"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25,697</w:t>
            </w:r>
          </w:p>
        </w:tc>
        <w:tc>
          <w:tcPr>
            <w:tcW w:w="879" w:type="dxa"/>
            <w:tcBorders>
              <w:top w:val="nil"/>
              <w:left w:val="nil"/>
              <w:bottom w:val="single" w:sz="4" w:space="0" w:color="auto"/>
              <w:right w:val="single" w:sz="4" w:space="0" w:color="auto"/>
            </w:tcBorders>
            <w:shd w:val="clear" w:color="auto" w:fill="C5E0B3" w:themeFill="accent6" w:themeFillTint="66"/>
            <w:noWrap/>
            <w:vAlign w:val="center"/>
            <w:hideMark/>
          </w:tcPr>
          <w:p w14:paraId="0E093035"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1.00</w:t>
            </w:r>
          </w:p>
        </w:tc>
        <w:tc>
          <w:tcPr>
            <w:tcW w:w="1116" w:type="dxa"/>
            <w:tcBorders>
              <w:top w:val="nil"/>
              <w:left w:val="nil"/>
              <w:bottom w:val="single" w:sz="4" w:space="0" w:color="auto"/>
              <w:right w:val="single" w:sz="4" w:space="0" w:color="auto"/>
            </w:tcBorders>
            <w:shd w:val="clear" w:color="auto" w:fill="C5E0B3" w:themeFill="accent6" w:themeFillTint="66"/>
            <w:noWrap/>
            <w:vAlign w:val="center"/>
            <w:hideMark/>
          </w:tcPr>
          <w:p w14:paraId="118B0825"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25,697</w:t>
            </w:r>
          </w:p>
        </w:tc>
        <w:tc>
          <w:tcPr>
            <w:tcW w:w="1226" w:type="dxa"/>
            <w:tcBorders>
              <w:top w:val="nil"/>
              <w:left w:val="nil"/>
              <w:bottom w:val="single" w:sz="4" w:space="0" w:color="auto"/>
              <w:right w:val="single" w:sz="4" w:space="0" w:color="auto"/>
            </w:tcBorders>
            <w:shd w:val="clear" w:color="auto" w:fill="C5E0B3" w:themeFill="accent6" w:themeFillTint="66"/>
            <w:noWrap/>
            <w:vAlign w:val="center"/>
            <w:hideMark/>
          </w:tcPr>
          <w:p w14:paraId="1DC43156"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3%</w:t>
            </w:r>
          </w:p>
        </w:tc>
        <w:tc>
          <w:tcPr>
            <w:tcW w:w="1109" w:type="dxa"/>
            <w:tcBorders>
              <w:top w:val="nil"/>
              <w:left w:val="nil"/>
              <w:bottom w:val="single" w:sz="4" w:space="0" w:color="auto"/>
              <w:right w:val="single" w:sz="4" w:space="0" w:color="auto"/>
            </w:tcBorders>
            <w:shd w:val="clear" w:color="auto" w:fill="C5E0B3" w:themeFill="accent6" w:themeFillTint="66"/>
            <w:noWrap/>
            <w:vAlign w:val="center"/>
            <w:hideMark/>
          </w:tcPr>
          <w:p w14:paraId="0AA56512"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w:t>
            </w:r>
          </w:p>
        </w:tc>
        <w:tc>
          <w:tcPr>
            <w:tcW w:w="1149" w:type="dxa"/>
            <w:tcBorders>
              <w:top w:val="nil"/>
              <w:left w:val="nil"/>
              <w:bottom w:val="single" w:sz="4" w:space="0" w:color="auto"/>
              <w:right w:val="single" w:sz="4" w:space="0" w:color="auto"/>
            </w:tcBorders>
            <w:shd w:val="clear" w:color="auto" w:fill="C5E0B3" w:themeFill="accent6" w:themeFillTint="66"/>
            <w:noWrap/>
            <w:vAlign w:val="center"/>
            <w:hideMark/>
          </w:tcPr>
          <w:p w14:paraId="06231931"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Secondary</w:t>
            </w:r>
          </w:p>
        </w:tc>
        <w:tc>
          <w:tcPr>
            <w:tcW w:w="2653" w:type="dxa"/>
            <w:tcBorders>
              <w:top w:val="nil"/>
              <w:left w:val="nil"/>
              <w:bottom w:val="single" w:sz="4" w:space="0" w:color="auto"/>
              <w:right w:val="single" w:sz="4" w:space="0" w:color="auto"/>
            </w:tcBorders>
            <w:shd w:val="clear" w:color="auto" w:fill="C5E0B3" w:themeFill="accent6" w:themeFillTint="66"/>
            <w:vAlign w:val="center"/>
            <w:hideMark/>
          </w:tcPr>
          <w:p w14:paraId="0B8A2261"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Stock not Assessed by ICES in area VII.</w:t>
            </w:r>
          </w:p>
        </w:tc>
      </w:tr>
      <w:tr w:rsidR="003C4EE5" w:rsidRPr="00A95F5F" w14:paraId="4E99DB2D" w14:textId="77777777" w:rsidTr="003C4EE5">
        <w:trPr>
          <w:trHeight w:val="285"/>
        </w:trPr>
        <w:tc>
          <w:tcPr>
            <w:tcW w:w="88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6C8E48E"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Netters</w:t>
            </w:r>
          </w:p>
        </w:tc>
        <w:tc>
          <w:tcPr>
            <w:tcW w:w="1611" w:type="dxa"/>
            <w:tcBorders>
              <w:top w:val="nil"/>
              <w:left w:val="nil"/>
              <w:bottom w:val="single" w:sz="4" w:space="0" w:color="auto"/>
              <w:right w:val="single" w:sz="4" w:space="0" w:color="auto"/>
            </w:tcBorders>
            <w:shd w:val="clear" w:color="auto" w:fill="C5E0B3" w:themeFill="accent6" w:themeFillTint="66"/>
            <w:noWrap/>
            <w:vAlign w:val="center"/>
            <w:hideMark/>
          </w:tcPr>
          <w:p w14:paraId="43F51AAA"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Common spider crab</w:t>
            </w:r>
          </w:p>
        </w:tc>
        <w:tc>
          <w:tcPr>
            <w:tcW w:w="1465" w:type="dxa"/>
            <w:tcBorders>
              <w:top w:val="nil"/>
              <w:left w:val="nil"/>
              <w:bottom w:val="single" w:sz="4" w:space="0" w:color="auto"/>
              <w:right w:val="single" w:sz="4" w:space="0" w:color="auto"/>
            </w:tcBorders>
            <w:shd w:val="clear" w:color="auto" w:fill="C5E0B3" w:themeFill="accent6" w:themeFillTint="66"/>
            <w:noWrap/>
            <w:vAlign w:val="center"/>
            <w:hideMark/>
          </w:tcPr>
          <w:p w14:paraId="2D0CC7FF"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w:t>
            </w:r>
          </w:p>
        </w:tc>
        <w:tc>
          <w:tcPr>
            <w:tcW w:w="1418" w:type="dxa"/>
            <w:tcBorders>
              <w:top w:val="nil"/>
              <w:left w:val="nil"/>
              <w:bottom w:val="single" w:sz="4" w:space="0" w:color="auto"/>
              <w:right w:val="single" w:sz="4" w:space="0" w:color="auto"/>
            </w:tcBorders>
            <w:shd w:val="clear" w:color="auto" w:fill="C5E0B3" w:themeFill="accent6" w:themeFillTint="66"/>
            <w:noWrap/>
            <w:vAlign w:val="center"/>
            <w:hideMark/>
          </w:tcPr>
          <w:p w14:paraId="5E614C1D"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16,685</w:t>
            </w:r>
          </w:p>
        </w:tc>
        <w:tc>
          <w:tcPr>
            <w:tcW w:w="879" w:type="dxa"/>
            <w:tcBorders>
              <w:top w:val="nil"/>
              <w:left w:val="nil"/>
              <w:bottom w:val="single" w:sz="4" w:space="0" w:color="auto"/>
              <w:right w:val="single" w:sz="4" w:space="0" w:color="auto"/>
            </w:tcBorders>
            <w:shd w:val="clear" w:color="auto" w:fill="C5E0B3" w:themeFill="accent6" w:themeFillTint="66"/>
            <w:noWrap/>
            <w:vAlign w:val="center"/>
            <w:hideMark/>
          </w:tcPr>
          <w:p w14:paraId="55B1E381"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0.52</w:t>
            </w:r>
          </w:p>
        </w:tc>
        <w:tc>
          <w:tcPr>
            <w:tcW w:w="1116" w:type="dxa"/>
            <w:tcBorders>
              <w:top w:val="nil"/>
              <w:left w:val="nil"/>
              <w:bottom w:val="single" w:sz="4" w:space="0" w:color="auto"/>
              <w:right w:val="single" w:sz="4" w:space="0" w:color="auto"/>
            </w:tcBorders>
            <w:shd w:val="clear" w:color="auto" w:fill="C5E0B3" w:themeFill="accent6" w:themeFillTint="66"/>
            <w:noWrap/>
            <w:vAlign w:val="center"/>
            <w:hideMark/>
          </w:tcPr>
          <w:p w14:paraId="2471A614"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16,685</w:t>
            </w:r>
          </w:p>
        </w:tc>
        <w:tc>
          <w:tcPr>
            <w:tcW w:w="1226" w:type="dxa"/>
            <w:tcBorders>
              <w:top w:val="nil"/>
              <w:left w:val="nil"/>
              <w:bottom w:val="single" w:sz="4" w:space="0" w:color="auto"/>
              <w:right w:val="single" w:sz="4" w:space="0" w:color="auto"/>
            </w:tcBorders>
            <w:shd w:val="clear" w:color="auto" w:fill="C5E0B3" w:themeFill="accent6" w:themeFillTint="66"/>
            <w:noWrap/>
            <w:vAlign w:val="center"/>
            <w:hideMark/>
          </w:tcPr>
          <w:p w14:paraId="36FD1B6B"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4%</w:t>
            </w:r>
          </w:p>
        </w:tc>
        <w:tc>
          <w:tcPr>
            <w:tcW w:w="1109" w:type="dxa"/>
            <w:tcBorders>
              <w:top w:val="nil"/>
              <w:left w:val="nil"/>
              <w:bottom w:val="single" w:sz="4" w:space="0" w:color="auto"/>
              <w:right w:val="single" w:sz="4" w:space="0" w:color="auto"/>
            </w:tcBorders>
            <w:shd w:val="clear" w:color="auto" w:fill="C5E0B3" w:themeFill="accent6" w:themeFillTint="66"/>
            <w:noWrap/>
            <w:vAlign w:val="center"/>
            <w:hideMark/>
          </w:tcPr>
          <w:p w14:paraId="27119CA8"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C5E0B3" w:themeFill="accent6" w:themeFillTint="66"/>
            <w:noWrap/>
            <w:vAlign w:val="center"/>
            <w:hideMark/>
          </w:tcPr>
          <w:p w14:paraId="69B3A921"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Secondary</w:t>
            </w:r>
          </w:p>
        </w:tc>
        <w:tc>
          <w:tcPr>
            <w:tcW w:w="2653" w:type="dxa"/>
            <w:tcBorders>
              <w:top w:val="nil"/>
              <w:left w:val="nil"/>
              <w:bottom w:val="single" w:sz="4" w:space="0" w:color="auto"/>
              <w:right w:val="single" w:sz="4" w:space="0" w:color="auto"/>
            </w:tcBorders>
            <w:shd w:val="clear" w:color="auto" w:fill="C5E0B3" w:themeFill="accent6" w:themeFillTint="66"/>
            <w:vAlign w:val="center"/>
            <w:hideMark/>
          </w:tcPr>
          <w:p w14:paraId="2C6C377F"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Stock not Assessed by ICES in area VII.</w:t>
            </w:r>
          </w:p>
        </w:tc>
      </w:tr>
      <w:tr w:rsidR="003C4EE5" w:rsidRPr="00A95F5F" w14:paraId="5BFBA667" w14:textId="77777777" w:rsidTr="003C4EE5">
        <w:trPr>
          <w:trHeight w:val="285"/>
        </w:trPr>
        <w:tc>
          <w:tcPr>
            <w:tcW w:w="888"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F7A3798"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OTB</w:t>
            </w:r>
          </w:p>
        </w:tc>
        <w:tc>
          <w:tcPr>
            <w:tcW w:w="1611" w:type="dxa"/>
            <w:tcBorders>
              <w:top w:val="nil"/>
              <w:left w:val="nil"/>
              <w:bottom w:val="single" w:sz="4" w:space="0" w:color="auto"/>
              <w:right w:val="single" w:sz="4" w:space="0" w:color="auto"/>
            </w:tcBorders>
            <w:shd w:val="clear" w:color="auto" w:fill="FFF2CC" w:themeFill="accent4" w:themeFillTint="33"/>
            <w:noWrap/>
            <w:vAlign w:val="center"/>
            <w:hideMark/>
          </w:tcPr>
          <w:p w14:paraId="0EB3B1CA"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Cuttlefish</w:t>
            </w:r>
          </w:p>
        </w:tc>
        <w:tc>
          <w:tcPr>
            <w:tcW w:w="1465" w:type="dxa"/>
            <w:tcBorders>
              <w:top w:val="nil"/>
              <w:left w:val="nil"/>
              <w:bottom w:val="single" w:sz="4" w:space="0" w:color="auto"/>
              <w:right w:val="single" w:sz="4" w:space="0" w:color="auto"/>
            </w:tcBorders>
            <w:shd w:val="clear" w:color="auto" w:fill="FFF2CC" w:themeFill="accent4" w:themeFillTint="33"/>
            <w:noWrap/>
            <w:vAlign w:val="center"/>
            <w:hideMark/>
          </w:tcPr>
          <w:p w14:paraId="1EB857B2"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500,665</w:t>
            </w:r>
          </w:p>
        </w:tc>
        <w:tc>
          <w:tcPr>
            <w:tcW w:w="1418" w:type="dxa"/>
            <w:tcBorders>
              <w:top w:val="nil"/>
              <w:left w:val="nil"/>
              <w:bottom w:val="single" w:sz="4" w:space="0" w:color="auto"/>
              <w:right w:val="single" w:sz="4" w:space="0" w:color="auto"/>
            </w:tcBorders>
            <w:shd w:val="clear" w:color="auto" w:fill="FFF2CC" w:themeFill="accent4" w:themeFillTint="33"/>
            <w:noWrap/>
            <w:vAlign w:val="center"/>
            <w:hideMark/>
          </w:tcPr>
          <w:p w14:paraId="2108FBD1"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4,556</w:t>
            </w:r>
          </w:p>
        </w:tc>
        <w:tc>
          <w:tcPr>
            <w:tcW w:w="879" w:type="dxa"/>
            <w:tcBorders>
              <w:top w:val="nil"/>
              <w:left w:val="nil"/>
              <w:bottom w:val="single" w:sz="4" w:space="0" w:color="auto"/>
              <w:right w:val="single" w:sz="4" w:space="0" w:color="auto"/>
            </w:tcBorders>
            <w:shd w:val="clear" w:color="auto" w:fill="FFF2CC" w:themeFill="accent4" w:themeFillTint="33"/>
            <w:noWrap/>
            <w:vAlign w:val="center"/>
            <w:hideMark/>
          </w:tcPr>
          <w:p w14:paraId="70B14495"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0.00</w:t>
            </w:r>
          </w:p>
        </w:tc>
        <w:tc>
          <w:tcPr>
            <w:tcW w:w="1116" w:type="dxa"/>
            <w:tcBorders>
              <w:top w:val="nil"/>
              <w:left w:val="nil"/>
              <w:bottom w:val="single" w:sz="4" w:space="0" w:color="auto"/>
              <w:right w:val="single" w:sz="4" w:space="0" w:color="auto"/>
            </w:tcBorders>
            <w:shd w:val="clear" w:color="auto" w:fill="FFF2CC" w:themeFill="accent4" w:themeFillTint="33"/>
            <w:noWrap/>
            <w:vAlign w:val="center"/>
            <w:hideMark/>
          </w:tcPr>
          <w:p w14:paraId="5BA10927"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505,221</w:t>
            </w:r>
          </w:p>
        </w:tc>
        <w:tc>
          <w:tcPr>
            <w:tcW w:w="1226" w:type="dxa"/>
            <w:tcBorders>
              <w:top w:val="nil"/>
              <w:left w:val="nil"/>
              <w:bottom w:val="single" w:sz="4" w:space="0" w:color="auto"/>
              <w:right w:val="single" w:sz="4" w:space="0" w:color="auto"/>
            </w:tcBorders>
            <w:shd w:val="clear" w:color="auto" w:fill="FFF2CC" w:themeFill="accent4" w:themeFillTint="33"/>
            <w:noWrap/>
            <w:vAlign w:val="center"/>
            <w:hideMark/>
          </w:tcPr>
          <w:p w14:paraId="4BE91547"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22%</w:t>
            </w:r>
          </w:p>
        </w:tc>
        <w:tc>
          <w:tcPr>
            <w:tcW w:w="1109" w:type="dxa"/>
            <w:tcBorders>
              <w:top w:val="nil"/>
              <w:left w:val="nil"/>
              <w:bottom w:val="single" w:sz="4" w:space="0" w:color="auto"/>
              <w:right w:val="single" w:sz="4" w:space="0" w:color="auto"/>
            </w:tcBorders>
            <w:shd w:val="clear" w:color="auto" w:fill="FFF2CC" w:themeFill="accent4" w:themeFillTint="33"/>
            <w:noWrap/>
            <w:vAlign w:val="center"/>
            <w:hideMark/>
          </w:tcPr>
          <w:p w14:paraId="47E22527"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FFF2CC" w:themeFill="accent4" w:themeFillTint="33"/>
            <w:noWrap/>
            <w:vAlign w:val="center"/>
            <w:hideMark/>
          </w:tcPr>
          <w:p w14:paraId="49B81346"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Secondary</w:t>
            </w:r>
          </w:p>
        </w:tc>
        <w:tc>
          <w:tcPr>
            <w:tcW w:w="2653" w:type="dxa"/>
            <w:tcBorders>
              <w:top w:val="nil"/>
              <w:left w:val="nil"/>
              <w:bottom w:val="single" w:sz="4" w:space="0" w:color="auto"/>
              <w:right w:val="single" w:sz="4" w:space="0" w:color="auto"/>
            </w:tcBorders>
            <w:shd w:val="clear" w:color="auto" w:fill="FFF2CC" w:themeFill="accent4" w:themeFillTint="33"/>
            <w:vAlign w:val="center"/>
            <w:hideMark/>
          </w:tcPr>
          <w:p w14:paraId="35C8308F"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Stock not Assessed by ICES in area VII.</w:t>
            </w:r>
          </w:p>
        </w:tc>
      </w:tr>
      <w:tr w:rsidR="003C4EE5" w:rsidRPr="00A95F5F" w14:paraId="624FC72D" w14:textId="77777777" w:rsidTr="003C4EE5">
        <w:trPr>
          <w:trHeight w:val="285"/>
        </w:trPr>
        <w:tc>
          <w:tcPr>
            <w:tcW w:w="888"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602BB00E"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lastRenderedPageBreak/>
              <w:t>OTB</w:t>
            </w:r>
          </w:p>
        </w:tc>
        <w:tc>
          <w:tcPr>
            <w:tcW w:w="1611" w:type="dxa"/>
            <w:tcBorders>
              <w:top w:val="nil"/>
              <w:left w:val="nil"/>
              <w:bottom w:val="single" w:sz="4" w:space="0" w:color="auto"/>
              <w:right w:val="single" w:sz="4" w:space="0" w:color="auto"/>
            </w:tcBorders>
            <w:shd w:val="clear" w:color="auto" w:fill="FFF2CC" w:themeFill="accent4" w:themeFillTint="33"/>
            <w:noWrap/>
            <w:vAlign w:val="center"/>
            <w:hideMark/>
          </w:tcPr>
          <w:p w14:paraId="070E05D8"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Angler fishes</w:t>
            </w:r>
          </w:p>
        </w:tc>
        <w:tc>
          <w:tcPr>
            <w:tcW w:w="1465" w:type="dxa"/>
            <w:tcBorders>
              <w:top w:val="nil"/>
              <w:left w:val="nil"/>
              <w:bottom w:val="single" w:sz="4" w:space="0" w:color="auto"/>
              <w:right w:val="single" w:sz="4" w:space="0" w:color="auto"/>
            </w:tcBorders>
            <w:shd w:val="clear" w:color="auto" w:fill="FFF2CC" w:themeFill="accent4" w:themeFillTint="33"/>
            <w:noWrap/>
            <w:vAlign w:val="center"/>
            <w:hideMark/>
          </w:tcPr>
          <w:p w14:paraId="4002F381"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350,342</w:t>
            </w:r>
          </w:p>
        </w:tc>
        <w:tc>
          <w:tcPr>
            <w:tcW w:w="1418" w:type="dxa"/>
            <w:tcBorders>
              <w:top w:val="nil"/>
              <w:left w:val="nil"/>
              <w:bottom w:val="single" w:sz="4" w:space="0" w:color="auto"/>
              <w:right w:val="single" w:sz="4" w:space="0" w:color="auto"/>
            </w:tcBorders>
            <w:shd w:val="clear" w:color="auto" w:fill="FFF2CC" w:themeFill="accent4" w:themeFillTint="33"/>
            <w:noWrap/>
            <w:vAlign w:val="center"/>
            <w:hideMark/>
          </w:tcPr>
          <w:p w14:paraId="4C447301"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9,570</w:t>
            </w:r>
          </w:p>
        </w:tc>
        <w:tc>
          <w:tcPr>
            <w:tcW w:w="879" w:type="dxa"/>
            <w:tcBorders>
              <w:top w:val="nil"/>
              <w:left w:val="nil"/>
              <w:bottom w:val="single" w:sz="4" w:space="0" w:color="auto"/>
              <w:right w:val="single" w:sz="4" w:space="0" w:color="auto"/>
            </w:tcBorders>
            <w:shd w:val="clear" w:color="auto" w:fill="FFF2CC" w:themeFill="accent4" w:themeFillTint="33"/>
            <w:noWrap/>
            <w:vAlign w:val="center"/>
            <w:hideMark/>
          </w:tcPr>
          <w:p w14:paraId="78FCD0B7"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0.01</w:t>
            </w:r>
          </w:p>
        </w:tc>
        <w:tc>
          <w:tcPr>
            <w:tcW w:w="1116" w:type="dxa"/>
            <w:tcBorders>
              <w:top w:val="nil"/>
              <w:left w:val="nil"/>
              <w:bottom w:val="single" w:sz="4" w:space="0" w:color="auto"/>
              <w:right w:val="single" w:sz="4" w:space="0" w:color="auto"/>
            </w:tcBorders>
            <w:shd w:val="clear" w:color="auto" w:fill="FFF2CC" w:themeFill="accent4" w:themeFillTint="33"/>
            <w:noWrap/>
            <w:vAlign w:val="center"/>
            <w:hideMark/>
          </w:tcPr>
          <w:p w14:paraId="15DFF724"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359,912</w:t>
            </w:r>
          </w:p>
        </w:tc>
        <w:tc>
          <w:tcPr>
            <w:tcW w:w="1226" w:type="dxa"/>
            <w:tcBorders>
              <w:top w:val="nil"/>
              <w:left w:val="nil"/>
              <w:bottom w:val="single" w:sz="4" w:space="0" w:color="auto"/>
              <w:right w:val="single" w:sz="4" w:space="0" w:color="auto"/>
            </w:tcBorders>
            <w:shd w:val="clear" w:color="auto" w:fill="FFF2CC" w:themeFill="accent4" w:themeFillTint="33"/>
            <w:noWrap/>
            <w:vAlign w:val="center"/>
            <w:hideMark/>
          </w:tcPr>
          <w:p w14:paraId="4C18E0E4"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16%</w:t>
            </w:r>
          </w:p>
        </w:tc>
        <w:tc>
          <w:tcPr>
            <w:tcW w:w="1109" w:type="dxa"/>
            <w:tcBorders>
              <w:top w:val="nil"/>
              <w:left w:val="nil"/>
              <w:bottom w:val="single" w:sz="4" w:space="0" w:color="auto"/>
              <w:right w:val="single" w:sz="4" w:space="0" w:color="auto"/>
            </w:tcBorders>
            <w:shd w:val="clear" w:color="auto" w:fill="FFF2CC" w:themeFill="accent4" w:themeFillTint="33"/>
            <w:noWrap/>
            <w:vAlign w:val="center"/>
            <w:hideMark/>
          </w:tcPr>
          <w:p w14:paraId="7178693C"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FFF2CC" w:themeFill="accent4" w:themeFillTint="33"/>
            <w:noWrap/>
            <w:vAlign w:val="center"/>
            <w:hideMark/>
          </w:tcPr>
          <w:p w14:paraId="336A1DE8"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targeted spp</w:t>
            </w:r>
          </w:p>
        </w:tc>
        <w:tc>
          <w:tcPr>
            <w:tcW w:w="2653" w:type="dxa"/>
            <w:tcBorders>
              <w:top w:val="nil"/>
              <w:left w:val="nil"/>
              <w:bottom w:val="single" w:sz="4" w:space="0" w:color="auto"/>
              <w:right w:val="single" w:sz="4" w:space="0" w:color="auto"/>
            </w:tcBorders>
            <w:shd w:val="clear" w:color="auto" w:fill="FFF2CC" w:themeFill="accent4" w:themeFillTint="33"/>
            <w:vAlign w:val="center"/>
            <w:hideMark/>
          </w:tcPr>
          <w:p w14:paraId="090A118B" w14:textId="77777777" w:rsidR="003C4EE5" w:rsidRPr="00A95F5F" w:rsidRDefault="003C4EE5" w:rsidP="003C4EE5">
            <w:pPr>
              <w:spacing w:after="0" w:line="240" w:lineRule="auto"/>
              <w:ind w:left="0"/>
              <w:jc w:val="center"/>
              <w:rPr>
                <w:rFonts w:ascii="Calibri" w:eastAsia="Times New Roman" w:hAnsi="Calibri" w:cs="Times New Roman"/>
                <w:lang w:eastAsia="en-GB"/>
              </w:rPr>
            </w:pPr>
          </w:p>
        </w:tc>
      </w:tr>
      <w:tr w:rsidR="003C4EE5" w:rsidRPr="00A95F5F" w14:paraId="1BB64384" w14:textId="77777777" w:rsidTr="003C4EE5">
        <w:trPr>
          <w:trHeight w:val="285"/>
        </w:trPr>
        <w:tc>
          <w:tcPr>
            <w:tcW w:w="888"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299906B4"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OTB</w:t>
            </w:r>
          </w:p>
        </w:tc>
        <w:tc>
          <w:tcPr>
            <w:tcW w:w="1611" w:type="dxa"/>
            <w:tcBorders>
              <w:top w:val="nil"/>
              <w:left w:val="nil"/>
              <w:bottom w:val="single" w:sz="4" w:space="0" w:color="auto"/>
              <w:right w:val="single" w:sz="4" w:space="0" w:color="auto"/>
            </w:tcBorders>
            <w:shd w:val="clear" w:color="auto" w:fill="FFF2CC" w:themeFill="accent4" w:themeFillTint="33"/>
            <w:noWrap/>
            <w:vAlign w:val="center"/>
            <w:hideMark/>
          </w:tcPr>
          <w:p w14:paraId="6EA2FCCE"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Lemon sole</w:t>
            </w:r>
          </w:p>
        </w:tc>
        <w:tc>
          <w:tcPr>
            <w:tcW w:w="1465" w:type="dxa"/>
            <w:tcBorders>
              <w:top w:val="nil"/>
              <w:left w:val="nil"/>
              <w:bottom w:val="single" w:sz="4" w:space="0" w:color="auto"/>
              <w:right w:val="single" w:sz="4" w:space="0" w:color="auto"/>
            </w:tcBorders>
            <w:shd w:val="clear" w:color="auto" w:fill="FFF2CC" w:themeFill="accent4" w:themeFillTint="33"/>
            <w:noWrap/>
            <w:vAlign w:val="center"/>
            <w:hideMark/>
          </w:tcPr>
          <w:p w14:paraId="7DC96DBB"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336,229</w:t>
            </w:r>
          </w:p>
        </w:tc>
        <w:tc>
          <w:tcPr>
            <w:tcW w:w="1418" w:type="dxa"/>
            <w:tcBorders>
              <w:top w:val="nil"/>
              <w:left w:val="nil"/>
              <w:bottom w:val="single" w:sz="4" w:space="0" w:color="auto"/>
              <w:right w:val="single" w:sz="4" w:space="0" w:color="auto"/>
            </w:tcBorders>
            <w:shd w:val="clear" w:color="auto" w:fill="FFF2CC" w:themeFill="accent4" w:themeFillTint="33"/>
            <w:noWrap/>
            <w:vAlign w:val="center"/>
            <w:hideMark/>
          </w:tcPr>
          <w:p w14:paraId="3383ABBA"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14,041</w:t>
            </w:r>
          </w:p>
        </w:tc>
        <w:tc>
          <w:tcPr>
            <w:tcW w:w="879" w:type="dxa"/>
            <w:tcBorders>
              <w:top w:val="nil"/>
              <w:left w:val="nil"/>
              <w:bottom w:val="single" w:sz="4" w:space="0" w:color="auto"/>
              <w:right w:val="single" w:sz="4" w:space="0" w:color="auto"/>
            </w:tcBorders>
            <w:shd w:val="clear" w:color="auto" w:fill="FFF2CC" w:themeFill="accent4" w:themeFillTint="33"/>
            <w:noWrap/>
            <w:vAlign w:val="center"/>
            <w:hideMark/>
          </w:tcPr>
          <w:p w14:paraId="5D5FBDBC"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0.02</w:t>
            </w:r>
          </w:p>
        </w:tc>
        <w:tc>
          <w:tcPr>
            <w:tcW w:w="1116" w:type="dxa"/>
            <w:tcBorders>
              <w:top w:val="nil"/>
              <w:left w:val="nil"/>
              <w:bottom w:val="single" w:sz="4" w:space="0" w:color="auto"/>
              <w:right w:val="single" w:sz="4" w:space="0" w:color="auto"/>
            </w:tcBorders>
            <w:shd w:val="clear" w:color="auto" w:fill="FFF2CC" w:themeFill="accent4" w:themeFillTint="33"/>
            <w:noWrap/>
            <w:vAlign w:val="center"/>
            <w:hideMark/>
          </w:tcPr>
          <w:p w14:paraId="3CFEB3DB"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350,270</w:t>
            </w:r>
          </w:p>
        </w:tc>
        <w:tc>
          <w:tcPr>
            <w:tcW w:w="1226" w:type="dxa"/>
            <w:tcBorders>
              <w:top w:val="nil"/>
              <w:left w:val="nil"/>
              <w:bottom w:val="single" w:sz="4" w:space="0" w:color="auto"/>
              <w:right w:val="single" w:sz="4" w:space="0" w:color="auto"/>
            </w:tcBorders>
            <w:shd w:val="clear" w:color="auto" w:fill="FFF2CC" w:themeFill="accent4" w:themeFillTint="33"/>
            <w:noWrap/>
            <w:vAlign w:val="center"/>
            <w:hideMark/>
          </w:tcPr>
          <w:p w14:paraId="1246BB3E"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15%</w:t>
            </w:r>
          </w:p>
        </w:tc>
        <w:tc>
          <w:tcPr>
            <w:tcW w:w="1109" w:type="dxa"/>
            <w:tcBorders>
              <w:top w:val="nil"/>
              <w:left w:val="nil"/>
              <w:bottom w:val="single" w:sz="4" w:space="0" w:color="auto"/>
              <w:right w:val="single" w:sz="4" w:space="0" w:color="auto"/>
            </w:tcBorders>
            <w:shd w:val="clear" w:color="auto" w:fill="FFF2CC" w:themeFill="accent4" w:themeFillTint="33"/>
            <w:noWrap/>
            <w:vAlign w:val="center"/>
            <w:hideMark/>
          </w:tcPr>
          <w:p w14:paraId="3E89F577"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FFF2CC" w:themeFill="accent4" w:themeFillTint="33"/>
            <w:noWrap/>
            <w:vAlign w:val="center"/>
            <w:hideMark/>
          </w:tcPr>
          <w:p w14:paraId="4D9ABC0F"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Secondary</w:t>
            </w:r>
          </w:p>
        </w:tc>
        <w:tc>
          <w:tcPr>
            <w:tcW w:w="2653" w:type="dxa"/>
            <w:tcBorders>
              <w:top w:val="nil"/>
              <w:left w:val="nil"/>
              <w:bottom w:val="single" w:sz="4" w:space="0" w:color="auto"/>
              <w:right w:val="single" w:sz="4" w:space="0" w:color="auto"/>
            </w:tcBorders>
            <w:shd w:val="clear" w:color="auto" w:fill="FFF2CC" w:themeFill="accent4" w:themeFillTint="33"/>
            <w:vAlign w:val="center"/>
            <w:hideMark/>
          </w:tcPr>
          <w:p w14:paraId="442D5F85"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Stock not Assessed by ICES in area VII (only in 7d).</w:t>
            </w:r>
          </w:p>
        </w:tc>
      </w:tr>
      <w:tr w:rsidR="003C4EE5" w:rsidRPr="00A95F5F" w14:paraId="43868B88" w14:textId="77777777" w:rsidTr="003C4EE5">
        <w:trPr>
          <w:trHeight w:val="285"/>
        </w:trPr>
        <w:tc>
          <w:tcPr>
            <w:tcW w:w="888"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3A48DC65"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OTB</w:t>
            </w:r>
          </w:p>
        </w:tc>
        <w:tc>
          <w:tcPr>
            <w:tcW w:w="1611" w:type="dxa"/>
            <w:tcBorders>
              <w:top w:val="nil"/>
              <w:left w:val="nil"/>
              <w:bottom w:val="single" w:sz="4" w:space="0" w:color="auto"/>
              <w:right w:val="single" w:sz="4" w:space="0" w:color="auto"/>
            </w:tcBorders>
            <w:shd w:val="clear" w:color="auto" w:fill="FFF2CC" w:themeFill="accent4" w:themeFillTint="33"/>
            <w:noWrap/>
            <w:vAlign w:val="center"/>
            <w:hideMark/>
          </w:tcPr>
          <w:p w14:paraId="183BE66F"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Whiting</w:t>
            </w:r>
          </w:p>
        </w:tc>
        <w:tc>
          <w:tcPr>
            <w:tcW w:w="1465" w:type="dxa"/>
            <w:tcBorders>
              <w:top w:val="nil"/>
              <w:left w:val="nil"/>
              <w:bottom w:val="single" w:sz="4" w:space="0" w:color="auto"/>
              <w:right w:val="single" w:sz="4" w:space="0" w:color="auto"/>
            </w:tcBorders>
            <w:shd w:val="clear" w:color="auto" w:fill="FFF2CC" w:themeFill="accent4" w:themeFillTint="33"/>
            <w:noWrap/>
            <w:vAlign w:val="center"/>
            <w:hideMark/>
          </w:tcPr>
          <w:p w14:paraId="4D03FEB3"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199,680</w:t>
            </w:r>
          </w:p>
        </w:tc>
        <w:tc>
          <w:tcPr>
            <w:tcW w:w="1418" w:type="dxa"/>
            <w:tcBorders>
              <w:top w:val="nil"/>
              <w:left w:val="nil"/>
              <w:bottom w:val="single" w:sz="4" w:space="0" w:color="auto"/>
              <w:right w:val="single" w:sz="4" w:space="0" w:color="auto"/>
            </w:tcBorders>
            <w:shd w:val="clear" w:color="auto" w:fill="FFF2CC" w:themeFill="accent4" w:themeFillTint="33"/>
            <w:noWrap/>
            <w:vAlign w:val="center"/>
            <w:hideMark/>
          </w:tcPr>
          <w:p w14:paraId="2D4EF2B8"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127,311</w:t>
            </w:r>
          </w:p>
        </w:tc>
        <w:tc>
          <w:tcPr>
            <w:tcW w:w="879" w:type="dxa"/>
            <w:tcBorders>
              <w:top w:val="nil"/>
              <w:left w:val="nil"/>
              <w:bottom w:val="single" w:sz="4" w:space="0" w:color="auto"/>
              <w:right w:val="single" w:sz="4" w:space="0" w:color="auto"/>
            </w:tcBorders>
            <w:shd w:val="clear" w:color="auto" w:fill="FFF2CC" w:themeFill="accent4" w:themeFillTint="33"/>
            <w:noWrap/>
            <w:vAlign w:val="center"/>
            <w:hideMark/>
          </w:tcPr>
          <w:p w14:paraId="48C24094"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0.24</w:t>
            </w:r>
          </w:p>
        </w:tc>
        <w:tc>
          <w:tcPr>
            <w:tcW w:w="1116" w:type="dxa"/>
            <w:tcBorders>
              <w:top w:val="nil"/>
              <w:left w:val="nil"/>
              <w:bottom w:val="single" w:sz="4" w:space="0" w:color="auto"/>
              <w:right w:val="single" w:sz="4" w:space="0" w:color="auto"/>
            </w:tcBorders>
            <w:shd w:val="clear" w:color="auto" w:fill="FFF2CC" w:themeFill="accent4" w:themeFillTint="33"/>
            <w:noWrap/>
            <w:vAlign w:val="center"/>
            <w:hideMark/>
          </w:tcPr>
          <w:p w14:paraId="5F344F65"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326,991</w:t>
            </w:r>
          </w:p>
        </w:tc>
        <w:tc>
          <w:tcPr>
            <w:tcW w:w="1226" w:type="dxa"/>
            <w:tcBorders>
              <w:top w:val="nil"/>
              <w:left w:val="nil"/>
              <w:bottom w:val="single" w:sz="4" w:space="0" w:color="auto"/>
              <w:right w:val="single" w:sz="4" w:space="0" w:color="auto"/>
            </w:tcBorders>
            <w:shd w:val="clear" w:color="auto" w:fill="FFF2CC" w:themeFill="accent4" w:themeFillTint="33"/>
            <w:noWrap/>
            <w:vAlign w:val="center"/>
            <w:hideMark/>
          </w:tcPr>
          <w:p w14:paraId="74D6C987"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9%</w:t>
            </w:r>
          </w:p>
        </w:tc>
        <w:tc>
          <w:tcPr>
            <w:tcW w:w="1109" w:type="dxa"/>
            <w:tcBorders>
              <w:top w:val="nil"/>
              <w:left w:val="nil"/>
              <w:bottom w:val="single" w:sz="4" w:space="0" w:color="auto"/>
              <w:right w:val="single" w:sz="4" w:space="0" w:color="auto"/>
            </w:tcBorders>
            <w:shd w:val="clear" w:color="auto" w:fill="FFF2CC" w:themeFill="accent4" w:themeFillTint="33"/>
            <w:noWrap/>
            <w:vAlign w:val="center"/>
            <w:hideMark/>
          </w:tcPr>
          <w:p w14:paraId="6EFE3933"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FFF2CC" w:themeFill="accent4" w:themeFillTint="33"/>
            <w:noWrap/>
            <w:vAlign w:val="center"/>
            <w:hideMark/>
          </w:tcPr>
          <w:p w14:paraId="29E54ECB"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Primary</w:t>
            </w:r>
          </w:p>
        </w:tc>
        <w:tc>
          <w:tcPr>
            <w:tcW w:w="2653" w:type="dxa"/>
            <w:tcBorders>
              <w:top w:val="nil"/>
              <w:left w:val="nil"/>
              <w:bottom w:val="single" w:sz="4" w:space="0" w:color="auto"/>
              <w:right w:val="single" w:sz="4" w:space="0" w:color="auto"/>
            </w:tcBorders>
            <w:shd w:val="clear" w:color="auto" w:fill="FFF2CC" w:themeFill="accent4" w:themeFillTint="33"/>
            <w:vAlign w:val="center"/>
            <w:hideMark/>
          </w:tcPr>
          <w:p w14:paraId="5D0C7F8F"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Stock 7b-c and 7e-k. Category 1. MSY approach</w:t>
            </w:r>
          </w:p>
        </w:tc>
      </w:tr>
      <w:tr w:rsidR="003C4EE5" w:rsidRPr="00A95F5F" w14:paraId="697E1486" w14:textId="77777777" w:rsidTr="003C4EE5">
        <w:trPr>
          <w:trHeight w:val="285"/>
        </w:trPr>
        <w:tc>
          <w:tcPr>
            <w:tcW w:w="888"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1BA3C08B"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OTB</w:t>
            </w:r>
          </w:p>
        </w:tc>
        <w:tc>
          <w:tcPr>
            <w:tcW w:w="1611" w:type="dxa"/>
            <w:tcBorders>
              <w:top w:val="nil"/>
              <w:left w:val="nil"/>
              <w:bottom w:val="single" w:sz="4" w:space="0" w:color="auto"/>
              <w:right w:val="single" w:sz="4" w:space="0" w:color="auto"/>
            </w:tcBorders>
            <w:shd w:val="clear" w:color="auto" w:fill="FFF2CC" w:themeFill="accent4" w:themeFillTint="33"/>
            <w:noWrap/>
            <w:vAlign w:val="center"/>
            <w:hideMark/>
          </w:tcPr>
          <w:p w14:paraId="741E49B1"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Haddock</w:t>
            </w:r>
          </w:p>
        </w:tc>
        <w:tc>
          <w:tcPr>
            <w:tcW w:w="1465" w:type="dxa"/>
            <w:tcBorders>
              <w:top w:val="nil"/>
              <w:left w:val="nil"/>
              <w:bottom w:val="single" w:sz="4" w:space="0" w:color="auto"/>
              <w:right w:val="single" w:sz="4" w:space="0" w:color="auto"/>
            </w:tcBorders>
            <w:shd w:val="clear" w:color="auto" w:fill="FFF2CC" w:themeFill="accent4" w:themeFillTint="33"/>
            <w:noWrap/>
            <w:vAlign w:val="center"/>
            <w:hideMark/>
          </w:tcPr>
          <w:p w14:paraId="48FE0A27"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150,121</w:t>
            </w:r>
          </w:p>
        </w:tc>
        <w:tc>
          <w:tcPr>
            <w:tcW w:w="1418" w:type="dxa"/>
            <w:tcBorders>
              <w:top w:val="nil"/>
              <w:left w:val="nil"/>
              <w:bottom w:val="single" w:sz="4" w:space="0" w:color="auto"/>
              <w:right w:val="single" w:sz="4" w:space="0" w:color="auto"/>
            </w:tcBorders>
            <w:shd w:val="clear" w:color="auto" w:fill="FFF2CC" w:themeFill="accent4" w:themeFillTint="33"/>
            <w:noWrap/>
            <w:vAlign w:val="center"/>
            <w:hideMark/>
          </w:tcPr>
          <w:p w14:paraId="54D867F0"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1,377,091</w:t>
            </w:r>
          </w:p>
        </w:tc>
        <w:tc>
          <w:tcPr>
            <w:tcW w:w="879" w:type="dxa"/>
            <w:tcBorders>
              <w:top w:val="nil"/>
              <w:left w:val="nil"/>
              <w:bottom w:val="single" w:sz="4" w:space="0" w:color="auto"/>
              <w:right w:val="single" w:sz="4" w:space="0" w:color="auto"/>
            </w:tcBorders>
            <w:shd w:val="clear" w:color="auto" w:fill="FFF2CC" w:themeFill="accent4" w:themeFillTint="33"/>
            <w:noWrap/>
            <w:vAlign w:val="center"/>
            <w:hideMark/>
          </w:tcPr>
          <w:p w14:paraId="0D184000"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0.68</w:t>
            </w:r>
          </w:p>
        </w:tc>
        <w:tc>
          <w:tcPr>
            <w:tcW w:w="1116" w:type="dxa"/>
            <w:tcBorders>
              <w:top w:val="nil"/>
              <w:left w:val="nil"/>
              <w:bottom w:val="single" w:sz="4" w:space="0" w:color="auto"/>
              <w:right w:val="single" w:sz="4" w:space="0" w:color="auto"/>
            </w:tcBorders>
            <w:shd w:val="clear" w:color="auto" w:fill="FFF2CC" w:themeFill="accent4" w:themeFillTint="33"/>
            <w:noWrap/>
            <w:vAlign w:val="center"/>
            <w:hideMark/>
          </w:tcPr>
          <w:p w14:paraId="765C035C"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1,527,212</w:t>
            </w:r>
          </w:p>
        </w:tc>
        <w:tc>
          <w:tcPr>
            <w:tcW w:w="1226" w:type="dxa"/>
            <w:tcBorders>
              <w:top w:val="nil"/>
              <w:left w:val="nil"/>
              <w:bottom w:val="single" w:sz="4" w:space="0" w:color="auto"/>
              <w:right w:val="single" w:sz="4" w:space="0" w:color="auto"/>
            </w:tcBorders>
            <w:shd w:val="clear" w:color="auto" w:fill="FFF2CC" w:themeFill="accent4" w:themeFillTint="33"/>
            <w:noWrap/>
            <w:vAlign w:val="center"/>
            <w:hideMark/>
          </w:tcPr>
          <w:p w14:paraId="42F9C593"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7%</w:t>
            </w:r>
          </w:p>
        </w:tc>
        <w:tc>
          <w:tcPr>
            <w:tcW w:w="1109" w:type="dxa"/>
            <w:tcBorders>
              <w:top w:val="nil"/>
              <w:left w:val="nil"/>
              <w:bottom w:val="single" w:sz="4" w:space="0" w:color="auto"/>
              <w:right w:val="single" w:sz="4" w:space="0" w:color="auto"/>
            </w:tcBorders>
            <w:shd w:val="clear" w:color="auto" w:fill="FFF2CC" w:themeFill="accent4" w:themeFillTint="33"/>
            <w:noWrap/>
            <w:vAlign w:val="center"/>
            <w:hideMark/>
          </w:tcPr>
          <w:p w14:paraId="031D7AA3"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FFF2CC" w:themeFill="accent4" w:themeFillTint="33"/>
            <w:noWrap/>
            <w:vAlign w:val="center"/>
            <w:hideMark/>
          </w:tcPr>
          <w:p w14:paraId="1CF677B7"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primary</w:t>
            </w:r>
          </w:p>
        </w:tc>
        <w:tc>
          <w:tcPr>
            <w:tcW w:w="2653" w:type="dxa"/>
            <w:tcBorders>
              <w:top w:val="nil"/>
              <w:left w:val="nil"/>
              <w:bottom w:val="single" w:sz="4" w:space="0" w:color="auto"/>
              <w:right w:val="single" w:sz="4" w:space="0" w:color="auto"/>
            </w:tcBorders>
            <w:shd w:val="clear" w:color="auto" w:fill="FFF2CC" w:themeFill="accent4" w:themeFillTint="33"/>
            <w:vAlign w:val="center"/>
            <w:hideMark/>
          </w:tcPr>
          <w:p w14:paraId="365B5950"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Stocks: 7a and 7b-k. Category 1. MSY approach</w:t>
            </w:r>
          </w:p>
        </w:tc>
      </w:tr>
      <w:tr w:rsidR="003C4EE5" w:rsidRPr="00A95F5F" w14:paraId="242634A5" w14:textId="77777777" w:rsidTr="003C4EE5">
        <w:trPr>
          <w:trHeight w:val="285"/>
        </w:trPr>
        <w:tc>
          <w:tcPr>
            <w:tcW w:w="888"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24E636F1"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OTB</w:t>
            </w:r>
          </w:p>
        </w:tc>
        <w:tc>
          <w:tcPr>
            <w:tcW w:w="1611" w:type="dxa"/>
            <w:tcBorders>
              <w:top w:val="nil"/>
              <w:left w:val="nil"/>
              <w:bottom w:val="single" w:sz="4" w:space="0" w:color="auto"/>
              <w:right w:val="single" w:sz="4" w:space="0" w:color="auto"/>
            </w:tcBorders>
            <w:shd w:val="clear" w:color="auto" w:fill="FFF2CC" w:themeFill="accent4" w:themeFillTint="33"/>
            <w:noWrap/>
            <w:vAlign w:val="center"/>
            <w:hideMark/>
          </w:tcPr>
          <w:p w14:paraId="2ED6825C"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Lesser spotted dogfish</w:t>
            </w:r>
          </w:p>
        </w:tc>
        <w:tc>
          <w:tcPr>
            <w:tcW w:w="1465" w:type="dxa"/>
            <w:tcBorders>
              <w:top w:val="nil"/>
              <w:left w:val="nil"/>
              <w:bottom w:val="single" w:sz="4" w:space="0" w:color="auto"/>
              <w:right w:val="single" w:sz="4" w:space="0" w:color="auto"/>
            </w:tcBorders>
            <w:shd w:val="clear" w:color="auto" w:fill="FFF2CC" w:themeFill="accent4" w:themeFillTint="33"/>
            <w:noWrap/>
            <w:vAlign w:val="center"/>
            <w:hideMark/>
          </w:tcPr>
          <w:p w14:paraId="7653CFD9"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w:t>
            </w:r>
          </w:p>
        </w:tc>
        <w:tc>
          <w:tcPr>
            <w:tcW w:w="1418" w:type="dxa"/>
            <w:tcBorders>
              <w:top w:val="nil"/>
              <w:left w:val="nil"/>
              <w:bottom w:val="single" w:sz="4" w:space="0" w:color="auto"/>
              <w:right w:val="single" w:sz="4" w:space="0" w:color="auto"/>
            </w:tcBorders>
            <w:shd w:val="clear" w:color="auto" w:fill="FFF2CC" w:themeFill="accent4" w:themeFillTint="33"/>
            <w:noWrap/>
            <w:vAlign w:val="center"/>
            <w:hideMark/>
          </w:tcPr>
          <w:p w14:paraId="08599C2A"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1,021,753</w:t>
            </w:r>
          </w:p>
        </w:tc>
        <w:tc>
          <w:tcPr>
            <w:tcW w:w="879" w:type="dxa"/>
            <w:tcBorders>
              <w:top w:val="nil"/>
              <w:left w:val="nil"/>
              <w:bottom w:val="single" w:sz="4" w:space="0" w:color="auto"/>
              <w:right w:val="single" w:sz="4" w:space="0" w:color="auto"/>
            </w:tcBorders>
            <w:shd w:val="clear" w:color="auto" w:fill="FFF2CC" w:themeFill="accent4" w:themeFillTint="33"/>
            <w:noWrap/>
            <w:vAlign w:val="center"/>
            <w:hideMark/>
          </w:tcPr>
          <w:p w14:paraId="70C8B31F"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0.80</w:t>
            </w:r>
          </w:p>
        </w:tc>
        <w:tc>
          <w:tcPr>
            <w:tcW w:w="1116" w:type="dxa"/>
            <w:tcBorders>
              <w:top w:val="nil"/>
              <w:left w:val="nil"/>
              <w:bottom w:val="single" w:sz="4" w:space="0" w:color="auto"/>
              <w:right w:val="single" w:sz="4" w:space="0" w:color="auto"/>
            </w:tcBorders>
            <w:shd w:val="clear" w:color="auto" w:fill="FFF2CC" w:themeFill="accent4" w:themeFillTint="33"/>
            <w:noWrap/>
            <w:vAlign w:val="center"/>
            <w:hideMark/>
          </w:tcPr>
          <w:p w14:paraId="5E8CB17C"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1,021,753</w:t>
            </w:r>
          </w:p>
        </w:tc>
        <w:tc>
          <w:tcPr>
            <w:tcW w:w="1226" w:type="dxa"/>
            <w:tcBorders>
              <w:top w:val="nil"/>
              <w:left w:val="nil"/>
              <w:bottom w:val="single" w:sz="4" w:space="0" w:color="auto"/>
              <w:right w:val="single" w:sz="4" w:space="0" w:color="auto"/>
            </w:tcBorders>
            <w:shd w:val="clear" w:color="auto" w:fill="FFF2CC" w:themeFill="accent4" w:themeFillTint="33"/>
            <w:noWrap/>
            <w:vAlign w:val="center"/>
            <w:hideMark/>
          </w:tcPr>
          <w:p w14:paraId="5681BA63"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13%</w:t>
            </w:r>
          </w:p>
        </w:tc>
        <w:tc>
          <w:tcPr>
            <w:tcW w:w="1109" w:type="dxa"/>
            <w:tcBorders>
              <w:top w:val="nil"/>
              <w:left w:val="nil"/>
              <w:bottom w:val="single" w:sz="4" w:space="0" w:color="auto"/>
              <w:right w:val="single" w:sz="4" w:space="0" w:color="auto"/>
            </w:tcBorders>
            <w:shd w:val="clear" w:color="auto" w:fill="FFF2CC" w:themeFill="accent4" w:themeFillTint="33"/>
            <w:noWrap/>
            <w:vAlign w:val="center"/>
            <w:hideMark/>
          </w:tcPr>
          <w:p w14:paraId="49D847B9"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w:t>
            </w:r>
          </w:p>
        </w:tc>
        <w:tc>
          <w:tcPr>
            <w:tcW w:w="1149" w:type="dxa"/>
            <w:tcBorders>
              <w:top w:val="nil"/>
              <w:left w:val="nil"/>
              <w:bottom w:val="single" w:sz="4" w:space="0" w:color="auto"/>
              <w:right w:val="single" w:sz="4" w:space="0" w:color="auto"/>
            </w:tcBorders>
            <w:shd w:val="clear" w:color="auto" w:fill="FFF2CC" w:themeFill="accent4" w:themeFillTint="33"/>
            <w:noWrap/>
            <w:vAlign w:val="center"/>
            <w:hideMark/>
          </w:tcPr>
          <w:p w14:paraId="0944634B"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Secondary</w:t>
            </w:r>
          </w:p>
        </w:tc>
        <w:tc>
          <w:tcPr>
            <w:tcW w:w="2653" w:type="dxa"/>
            <w:tcBorders>
              <w:top w:val="nil"/>
              <w:left w:val="nil"/>
              <w:bottom w:val="single" w:sz="4" w:space="0" w:color="auto"/>
              <w:right w:val="single" w:sz="4" w:space="0" w:color="auto"/>
            </w:tcBorders>
            <w:shd w:val="clear" w:color="auto" w:fill="FFF2CC" w:themeFill="accent4" w:themeFillTint="33"/>
            <w:vAlign w:val="center"/>
            <w:hideMark/>
          </w:tcPr>
          <w:p w14:paraId="1FA1FAFB"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Stock 7.a–c and 7.e–j, Category 3. Precautionary approach</w:t>
            </w:r>
          </w:p>
        </w:tc>
      </w:tr>
      <w:tr w:rsidR="003C4EE5" w:rsidRPr="00A95F5F" w14:paraId="25B4CD14" w14:textId="77777777" w:rsidTr="003C4EE5">
        <w:trPr>
          <w:trHeight w:val="285"/>
        </w:trPr>
        <w:tc>
          <w:tcPr>
            <w:tcW w:w="888" w:type="dxa"/>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68BE6007"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TBB</w:t>
            </w:r>
          </w:p>
        </w:tc>
        <w:tc>
          <w:tcPr>
            <w:tcW w:w="1611" w:type="dxa"/>
            <w:tcBorders>
              <w:top w:val="nil"/>
              <w:left w:val="nil"/>
              <w:bottom w:val="single" w:sz="4" w:space="0" w:color="auto"/>
              <w:right w:val="single" w:sz="4" w:space="0" w:color="auto"/>
            </w:tcBorders>
            <w:shd w:val="clear" w:color="auto" w:fill="D9E2F3" w:themeFill="accent5" w:themeFillTint="33"/>
            <w:noWrap/>
            <w:vAlign w:val="center"/>
            <w:hideMark/>
          </w:tcPr>
          <w:p w14:paraId="6A76CE52"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Cuttlefish</w:t>
            </w:r>
          </w:p>
        </w:tc>
        <w:tc>
          <w:tcPr>
            <w:tcW w:w="1465" w:type="dxa"/>
            <w:tcBorders>
              <w:top w:val="nil"/>
              <w:left w:val="nil"/>
              <w:bottom w:val="single" w:sz="4" w:space="0" w:color="auto"/>
              <w:right w:val="single" w:sz="4" w:space="0" w:color="auto"/>
            </w:tcBorders>
            <w:shd w:val="clear" w:color="auto" w:fill="D9E2F3" w:themeFill="accent5" w:themeFillTint="33"/>
            <w:noWrap/>
            <w:vAlign w:val="center"/>
            <w:hideMark/>
          </w:tcPr>
          <w:p w14:paraId="6AD62190"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3,130,909</w:t>
            </w:r>
          </w:p>
        </w:tc>
        <w:tc>
          <w:tcPr>
            <w:tcW w:w="1418" w:type="dxa"/>
            <w:tcBorders>
              <w:top w:val="nil"/>
              <w:left w:val="nil"/>
              <w:bottom w:val="single" w:sz="4" w:space="0" w:color="auto"/>
              <w:right w:val="single" w:sz="4" w:space="0" w:color="auto"/>
            </w:tcBorders>
            <w:shd w:val="clear" w:color="auto" w:fill="D9E2F3" w:themeFill="accent5" w:themeFillTint="33"/>
            <w:noWrap/>
            <w:vAlign w:val="center"/>
            <w:hideMark/>
          </w:tcPr>
          <w:p w14:paraId="33D2823B"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38,983</w:t>
            </w:r>
          </w:p>
        </w:tc>
        <w:tc>
          <w:tcPr>
            <w:tcW w:w="879" w:type="dxa"/>
            <w:tcBorders>
              <w:top w:val="nil"/>
              <w:left w:val="nil"/>
              <w:bottom w:val="single" w:sz="4" w:space="0" w:color="auto"/>
              <w:right w:val="single" w:sz="4" w:space="0" w:color="auto"/>
            </w:tcBorders>
            <w:shd w:val="clear" w:color="auto" w:fill="D9E2F3" w:themeFill="accent5" w:themeFillTint="33"/>
            <w:noWrap/>
            <w:vAlign w:val="center"/>
            <w:hideMark/>
          </w:tcPr>
          <w:p w14:paraId="2DDAE115"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0.01</w:t>
            </w:r>
          </w:p>
        </w:tc>
        <w:tc>
          <w:tcPr>
            <w:tcW w:w="1116" w:type="dxa"/>
            <w:tcBorders>
              <w:top w:val="nil"/>
              <w:left w:val="nil"/>
              <w:bottom w:val="single" w:sz="4" w:space="0" w:color="auto"/>
              <w:right w:val="single" w:sz="4" w:space="0" w:color="auto"/>
            </w:tcBorders>
            <w:shd w:val="clear" w:color="auto" w:fill="D9E2F3" w:themeFill="accent5" w:themeFillTint="33"/>
            <w:noWrap/>
            <w:vAlign w:val="center"/>
            <w:hideMark/>
          </w:tcPr>
          <w:p w14:paraId="40F9BFB1"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3,169,892</w:t>
            </w:r>
          </w:p>
        </w:tc>
        <w:tc>
          <w:tcPr>
            <w:tcW w:w="1226" w:type="dxa"/>
            <w:tcBorders>
              <w:top w:val="nil"/>
              <w:left w:val="nil"/>
              <w:bottom w:val="single" w:sz="4" w:space="0" w:color="auto"/>
              <w:right w:val="single" w:sz="4" w:space="0" w:color="auto"/>
            </w:tcBorders>
            <w:shd w:val="clear" w:color="auto" w:fill="D9E2F3" w:themeFill="accent5" w:themeFillTint="33"/>
            <w:noWrap/>
            <w:vAlign w:val="center"/>
            <w:hideMark/>
          </w:tcPr>
          <w:p w14:paraId="483BB3B4"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26%</w:t>
            </w:r>
          </w:p>
        </w:tc>
        <w:tc>
          <w:tcPr>
            <w:tcW w:w="1109" w:type="dxa"/>
            <w:tcBorders>
              <w:top w:val="nil"/>
              <w:left w:val="nil"/>
              <w:bottom w:val="single" w:sz="4" w:space="0" w:color="auto"/>
              <w:right w:val="single" w:sz="4" w:space="0" w:color="auto"/>
            </w:tcBorders>
            <w:shd w:val="clear" w:color="auto" w:fill="D9E2F3" w:themeFill="accent5" w:themeFillTint="33"/>
            <w:noWrap/>
            <w:vAlign w:val="center"/>
            <w:hideMark/>
          </w:tcPr>
          <w:p w14:paraId="3569E864"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D9E2F3" w:themeFill="accent5" w:themeFillTint="33"/>
            <w:noWrap/>
            <w:vAlign w:val="center"/>
            <w:hideMark/>
          </w:tcPr>
          <w:p w14:paraId="3B0522AA"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Secondary</w:t>
            </w:r>
          </w:p>
        </w:tc>
        <w:tc>
          <w:tcPr>
            <w:tcW w:w="2653" w:type="dxa"/>
            <w:tcBorders>
              <w:top w:val="nil"/>
              <w:left w:val="nil"/>
              <w:bottom w:val="single" w:sz="4" w:space="0" w:color="auto"/>
              <w:right w:val="single" w:sz="4" w:space="0" w:color="auto"/>
            </w:tcBorders>
            <w:shd w:val="clear" w:color="auto" w:fill="D9E2F3" w:themeFill="accent5" w:themeFillTint="33"/>
            <w:vAlign w:val="center"/>
            <w:hideMark/>
          </w:tcPr>
          <w:p w14:paraId="4F0FA188"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Stock not Assessed by ICES in area VII.</w:t>
            </w:r>
          </w:p>
        </w:tc>
      </w:tr>
      <w:tr w:rsidR="003C4EE5" w:rsidRPr="00A95F5F" w14:paraId="0D72698D" w14:textId="77777777" w:rsidTr="003C4EE5">
        <w:trPr>
          <w:trHeight w:val="285"/>
        </w:trPr>
        <w:tc>
          <w:tcPr>
            <w:tcW w:w="888" w:type="dxa"/>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242C369C"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TBB</w:t>
            </w:r>
          </w:p>
        </w:tc>
        <w:tc>
          <w:tcPr>
            <w:tcW w:w="1611" w:type="dxa"/>
            <w:tcBorders>
              <w:top w:val="nil"/>
              <w:left w:val="nil"/>
              <w:bottom w:val="single" w:sz="4" w:space="0" w:color="auto"/>
              <w:right w:val="single" w:sz="4" w:space="0" w:color="auto"/>
            </w:tcBorders>
            <w:shd w:val="clear" w:color="auto" w:fill="D9E2F3" w:themeFill="accent5" w:themeFillTint="33"/>
            <w:noWrap/>
            <w:vAlign w:val="center"/>
            <w:hideMark/>
          </w:tcPr>
          <w:p w14:paraId="4F37B6F1"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Angler fishes</w:t>
            </w:r>
          </w:p>
        </w:tc>
        <w:tc>
          <w:tcPr>
            <w:tcW w:w="1465" w:type="dxa"/>
            <w:tcBorders>
              <w:top w:val="nil"/>
              <w:left w:val="nil"/>
              <w:bottom w:val="single" w:sz="4" w:space="0" w:color="auto"/>
              <w:right w:val="single" w:sz="4" w:space="0" w:color="auto"/>
            </w:tcBorders>
            <w:shd w:val="clear" w:color="auto" w:fill="D9E2F3" w:themeFill="accent5" w:themeFillTint="33"/>
            <w:noWrap/>
            <w:vAlign w:val="center"/>
            <w:hideMark/>
          </w:tcPr>
          <w:p w14:paraId="27722534"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2,782,993</w:t>
            </w:r>
          </w:p>
        </w:tc>
        <w:tc>
          <w:tcPr>
            <w:tcW w:w="1418" w:type="dxa"/>
            <w:tcBorders>
              <w:top w:val="nil"/>
              <w:left w:val="nil"/>
              <w:bottom w:val="single" w:sz="4" w:space="0" w:color="auto"/>
              <w:right w:val="single" w:sz="4" w:space="0" w:color="auto"/>
            </w:tcBorders>
            <w:shd w:val="clear" w:color="auto" w:fill="D9E2F3" w:themeFill="accent5" w:themeFillTint="33"/>
            <w:noWrap/>
            <w:vAlign w:val="center"/>
            <w:hideMark/>
          </w:tcPr>
          <w:p w14:paraId="6109F3B6"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267,055</w:t>
            </w:r>
          </w:p>
        </w:tc>
        <w:tc>
          <w:tcPr>
            <w:tcW w:w="879" w:type="dxa"/>
            <w:tcBorders>
              <w:top w:val="nil"/>
              <w:left w:val="nil"/>
              <w:bottom w:val="single" w:sz="4" w:space="0" w:color="auto"/>
              <w:right w:val="single" w:sz="4" w:space="0" w:color="auto"/>
            </w:tcBorders>
            <w:shd w:val="clear" w:color="auto" w:fill="D9E2F3" w:themeFill="accent5" w:themeFillTint="33"/>
            <w:noWrap/>
            <w:vAlign w:val="center"/>
            <w:hideMark/>
          </w:tcPr>
          <w:p w14:paraId="55D77352"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0.07</w:t>
            </w:r>
          </w:p>
        </w:tc>
        <w:tc>
          <w:tcPr>
            <w:tcW w:w="1116" w:type="dxa"/>
            <w:tcBorders>
              <w:top w:val="nil"/>
              <w:left w:val="nil"/>
              <w:bottom w:val="single" w:sz="4" w:space="0" w:color="auto"/>
              <w:right w:val="single" w:sz="4" w:space="0" w:color="auto"/>
            </w:tcBorders>
            <w:shd w:val="clear" w:color="auto" w:fill="D9E2F3" w:themeFill="accent5" w:themeFillTint="33"/>
            <w:noWrap/>
            <w:vAlign w:val="center"/>
            <w:hideMark/>
          </w:tcPr>
          <w:p w14:paraId="456FE156"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3,050,048</w:t>
            </w:r>
          </w:p>
        </w:tc>
        <w:tc>
          <w:tcPr>
            <w:tcW w:w="1226" w:type="dxa"/>
            <w:tcBorders>
              <w:top w:val="nil"/>
              <w:left w:val="nil"/>
              <w:bottom w:val="single" w:sz="4" w:space="0" w:color="auto"/>
              <w:right w:val="single" w:sz="4" w:space="0" w:color="auto"/>
            </w:tcBorders>
            <w:shd w:val="clear" w:color="auto" w:fill="D9E2F3" w:themeFill="accent5" w:themeFillTint="33"/>
            <w:noWrap/>
            <w:vAlign w:val="center"/>
            <w:hideMark/>
          </w:tcPr>
          <w:p w14:paraId="70248432"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23%</w:t>
            </w:r>
          </w:p>
        </w:tc>
        <w:tc>
          <w:tcPr>
            <w:tcW w:w="1109" w:type="dxa"/>
            <w:tcBorders>
              <w:top w:val="nil"/>
              <w:left w:val="nil"/>
              <w:bottom w:val="single" w:sz="4" w:space="0" w:color="auto"/>
              <w:right w:val="single" w:sz="4" w:space="0" w:color="auto"/>
            </w:tcBorders>
            <w:shd w:val="clear" w:color="auto" w:fill="D9E2F3" w:themeFill="accent5" w:themeFillTint="33"/>
            <w:noWrap/>
            <w:vAlign w:val="center"/>
            <w:hideMark/>
          </w:tcPr>
          <w:p w14:paraId="43F057D8"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D9E2F3" w:themeFill="accent5" w:themeFillTint="33"/>
            <w:noWrap/>
            <w:vAlign w:val="center"/>
            <w:hideMark/>
          </w:tcPr>
          <w:p w14:paraId="7666BFAC" w14:textId="05A9A5A0" w:rsidR="003C4EE5" w:rsidRPr="00A95F5F" w:rsidRDefault="0041734C" w:rsidP="003C4EE5">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T</w:t>
            </w:r>
            <w:r w:rsidR="003C4EE5" w:rsidRPr="00A95F5F">
              <w:rPr>
                <w:rFonts w:ascii="Calibri" w:eastAsia="Times New Roman" w:hAnsi="Calibri" w:cs="Times New Roman"/>
                <w:lang w:eastAsia="en-GB"/>
              </w:rPr>
              <w:t>argeted spp</w:t>
            </w:r>
          </w:p>
        </w:tc>
        <w:tc>
          <w:tcPr>
            <w:tcW w:w="2653" w:type="dxa"/>
            <w:tcBorders>
              <w:top w:val="nil"/>
              <w:left w:val="nil"/>
              <w:bottom w:val="single" w:sz="4" w:space="0" w:color="auto"/>
              <w:right w:val="single" w:sz="4" w:space="0" w:color="auto"/>
            </w:tcBorders>
            <w:shd w:val="clear" w:color="auto" w:fill="D9E2F3" w:themeFill="accent5" w:themeFillTint="33"/>
            <w:vAlign w:val="center"/>
            <w:hideMark/>
          </w:tcPr>
          <w:p w14:paraId="5ED43141" w14:textId="77777777" w:rsidR="003C4EE5" w:rsidRPr="00A95F5F" w:rsidRDefault="003C4EE5" w:rsidP="003C4EE5">
            <w:pPr>
              <w:spacing w:after="0" w:line="240" w:lineRule="auto"/>
              <w:ind w:left="0"/>
              <w:jc w:val="center"/>
              <w:rPr>
                <w:rFonts w:ascii="Calibri" w:eastAsia="Times New Roman" w:hAnsi="Calibri" w:cs="Times New Roman"/>
                <w:lang w:eastAsia="en-GB"/>
              </w:rPr>
            </w:pPr>
          </w:p>
        </w:tc>
      </w:tr>
      <w:tr w:rsidR="003C4EE5" w:rsidRPr="00A95F5F" w14:paraId="1C10337E" w14:textId="77777777" w:rsidTr="003C4EE5">
        <w:trPr>
          <w:trHeight w:val="571"/>
        </w:trPr>
        <w:tc>
          <w:tcPr>
            <w:tcW w:w="888" w:type="dxa"/>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7947FF04"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TBB</w:t>
            </w:r>
          </w:p>
        </w:tc>
        <w:tc>
          <w:tcPr>
            <w:tcW w:w="1611" w:type="dxa"/>
            <w:tcBorders>
              <w:top w:val="nil"/>
              <w:left w:val="nil"/>
              <w:bottom w:val="single" w:sz="4" w:space="0" w:color="auto"/>
              <w:right w:val="single" w:sz="4" w:space="0" w:color="auto"/>
            </w:tcBorders>
            <w:shd w:val="clear" w:color="auto" w:fill="D9E2F3" w:themeFill="accent5" w:themeFillTint="33"/>
            <w:noWrap/>
            <w:vAlign w:val="center"/>
            <w:hideMark/>
          </w:tcPr>
          <w:p w14:paraId="5A0F3084"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Megrims</w:t>
            </w:r>
          </w:p>
        </w:tc>
        <w:tc>
          <w:tcPr>
            <w:tcW w:w="1465" w:type="dxa"/>
            <w:tcBorders>
              <w:top w:val="nil"/>
              <w:left w:val="nil"/>
              <w:bottom w:val="single" w:sz="4" w:space="0" w:color="auto"/>
              <w:right w:val="single" w:sz="4" w:space="0" w:color="auto"/>
            </w:tcBorders>
            <w:shd w:val="clear" w:color="auto" w:fill="D9E2F3" w:themeFill="accent5" w:themeFillTint="33"/>
            <w:noWrap/>
            <w:vAlign w:val="center"/>
            <w:hideMark/>
          </w:tcPr>
          <w:p w14:paraId="13C51FBB"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998,992</w:t>
            </w:r>
          </w:p>
        </w:tc>
        <w:tc>
          <w:tcPr>
            <w:tcW w:w="1418" w:type="dxa"/>
            <w:tcBorders>
              <w:top w:val="nil"/>
              <w:left w:val="nil"/>
              <w:bottom w:val="single" w:sz="4" w:space="0" w:color="auto"/>
              <w:right w:val="single" w:sz="4" w:space="0" w:color="auto"/>
            </w:tcBorders>
            <w:shd w:val="clear" w:color="auto" w:fill="D9E2F3" w:themeFill="accent5" w:themeFillTint="33"/>
            <w:noWrap/>
            <w:vAlign w:val="center"/>
            <w:hideMark/>
          </w:tcPr>
          <w:p w14:paraId="0C5F125E"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142,502</w:t>
            </w:r>
          </w:p>
        </w:tc>
        <w:tc>
          <w:tcPr>
            <w:tcW w:w="879" w:type="dxa"/>
            <w:tcBorders>
              <w:top w:val="nil"/>
              <w:left w:val="nil"/>
              <w:bottom w:val="single" w:sz="4" w:space="0" w:color="auto"/>
              <w:right w:val="single" w:sz="4" w:space="0" w:color="auto"/>
            </w:tcBorders>
            <w:shd w:val="clear" w:color="auto" w:fill="D9E2F3" w:themeFill="accent5" w:themeFillTint="33"/>
            <w:noWrap/>
            <w:vAlign w:val="center"/>
            <w:hideMark/>
          </w:tcPr>
          <w:p w14:paraId="365053ED"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0.09</w:t>
            </w:r>
          </w:p>
        </w:tc>
        <w:tc>
          <w:tcPr>
            <w:tcW w:w="1116" w:type="dxa"/>
            <w:tcBorders>
              <w:top w:val="nil"/>
              <w:left w:val="nil"/>
              <w:bottom w:val="single" w:sz="4" w:space="0" w:color="auto"/>
              <w:right w:val="single" w:sz="4" w:space="0" w:color="auto"/>
            </w:tcBorders>
            <w:shd w:val="clear" w:color="auto" w:fill="D9E2F3" w:themeFill="accent5" w:themeFillTint="33"/>
            <w:noWrap/>
            <w:vAlign w:val="center"/>
            <w:hideMark/>
          </w:tcPr>
          <w:p w14:paraId="42B07248"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1,141,494</w:t>
            </w:r>
          </w:p>
        </w:tc>
        <w:tc>
          <w:tcPr>
            <w:tcW w:w="1226" w:type="dxa"/>
            <w:tcBorders>
              <w:top w:val="nil"/>
              <w:left w:val="nil"/>
              <w:bottom w:val="single" w:sz="4" w:space="0" w:color="auto"/>
              <w:right w:val="single" w:sz="4" w:space="0" w:color="auto"/>
            </w:tcBorders>
            <w:shd w:val="clear" w:color="auto" w:fill="D9E2F3" w:themeFill="accent5" w:themeFillTint="33"/>
            <w:noWrap/>
            <w:vAlign w:val="center"/>
            <w:hideMark/>
          </w:tcPr>
          <w:p w14:paraId="061CFD11"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8%</w:t>
            </w:r>
          </w:p>
        </w:tc>
        <w:tc>
          <w:tcPr>
            <w:tcW w:w="1109" w:type="dxa"/>
            <w:tcBorders>
              <w:top w:val="nil"/>
              <w:left w:val="nil"/>
              <w:bottom w:val="single" w:sz="4" w:space="0" w:color="auto"/>
              <w:right w:val="single" w:sz="4" w:space="0" w:color="auto"/>
            </w:tcBorders>
            <w:shd w:val="clear" w:color="auto" w:fill="D9E2F3" w:themeFill="accent5" w:themeFillTint="33"/>
            <w:noWrap/>
            <w:vAlign w:val="center"/>
            <w:hideMark/>
          </w:tcPr>
          <w:p w14:paraId="21251E8A"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D9E2F3" w:themeFill="accent5" w:themeFillTint="33"/>
            <w:noWrap/>
            <w:vAlign w:val="center"/>
            <w:hideMark/>
          </w:tcPr>
          <w:p w14:paraId="281151CD"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Secondary</w:t>
            </w:r>
          </w:p>
        </w:tc>
        <w:tc>
          <w:tcPr>
            <w:tcW w:w="2653" w:type="dxa"/>
            <w:tcBorders>
              <w:top w:val="nil"/>
              <w:left w:val="nil"/>
              <w:bottom w:val="single" w:sz="4" w:space="0" w:color="auto"/>
              <w:right w:val="single" w:sz="4" w:space="0" w:color="auto"/>
            </w:tcBorders>
            <w:shd w:val="clear" w:color="auto" w:fill="D9E2F3" w:themeFill="accent5" w:themeFillTint="33"/>
            <w:vAlign w:val="center"/>
            <w:hideMark/>
          </w:tcPr>
          <w:p w14:paraId="3B7BEBC2"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 Species stocks: four-spot megrim - category 5 Precautionary approach. Megrim - category1 MY approach</w:t>
            </w:r>
          </w:p>
        </w:tc>
      </w:tr>
      <w:tr w:rsidR="003C4EE5" w:rsidRPr="00A95F5F" w14:paraId="0E67C693" w14:textId="77777777" w:rsidTr="003C4EE5">
        <w:trPr>
          <w:trHeight w:val="857"/>
        </w:trPr>
        <w:tc>
          <w:tcPr>
            <w:tcW w:w="888" w:type="dxa"/>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34941D39"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TBB</w:t>
            </w:r>
          </w:p>
        </w:tc>
        <w:tc>
          <w:tcPr>
            <w:tcW w:w="1611" w:type="dxa"/>
            <w:tcBorders>
              <w:top w:val="nil"/>
              <w:left w:val="nil"/>
              <w:bottom w:val="single" w:sz="4" w:space="0" w:color="auto"/>
              <w:right w:val="single" w:sz="4" w:space="0" w:color="auto"/>
            </w:tcBorders>
            <w:shd w:val="clear" w:color="auto" w:fill="D9E2F3" w:themeFill="accent5" w:themeFillTint="33"/>
            <w:noWrap/>
            <w:vAlign w:val="center"/>
            <w:hideMark/>
          </w:tcPr>
          <w:p w14:paraId="3131F33E"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European plaice</w:t>
            </w:r>
          </w:p>
        </w:tc>
        <w:tc>
          <w:tcPr>
            <w:tcW w:w="1465" w:type="dxa"/>
            <w:tcBorders>
              <w:top w:val="nil"/>
              <w:left w:val="nil"/>
              <w:bottom w:val="single" w:sz="4" w:space="0" w:color="auto"/>
              <w:right w:val="single" w:sz="4" w:space="0" w:color="auto"/>
            </w:tcBorders>
            <w:shd w:val="clear" w:color="auto" w:fill="D9E2F3" w:themeFill="accent5" w:themeFillTint="33"/>
            <w:noWrap/>
            <w:vAlign w:val="center"/>
            <w:hideMark/>
          </w:tcPr>
          <w:p w14:paraId="644D5BB3"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926,023</w:t>
            </w:r>
          </w:p>
        </w:tc>
        <w:tc>
          <w:tcPr>
            <w:tcW w:w="1418" w:type="dxa"/>
            <w:tcBorders>
              <w:top w:val="nil"/>
              <w:left w:val="nil"/>
              <w:bottom w:val="single" w:sz="4" w:space="0" w:color="auto"/>
              <w:right w:val="single" w:sz="4" w:space="0" w:color="auto"/>
            </w:tcBorders>
            <w:shd w:val="clear" w:color="auto" w:fill="D9E2F3" w:themeFill="accent5" w:themeFillTint="33"/>
            <w:noWrap/>
            <w:vAlign w:val="center"/>
            <w:hideMark/>
          </w:tcPr>
          <w:p w14:paraId="06C3DB7D"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322,925</w:t>
            </w:r>
          </w:p>
        </w:tc>
        <w:tc>
          <w:tcPr>
            <w:tcW w:w="879" w:type="dxa"/>
            <w:tcBorders>
              <w:top w:val="nil"/>
              <w:left w:val="nil"/>
              <w:bottom w:val="single" w:sz="4" w:space="0" w:color="auto"/>
              <w:right w:val="single" w:sz="4" w:space="0" w:color="auto"/>
            </w:tcBorders>
            <w:shd w:val="clear" w:color="auto" w:fill="D9E2F3" w:themeFill="accent5" w:themeFillTint="33"/>
            <w:noWrap/>
            <w:vAlign w:val="center"/>
            <w:hideMark/>
          </w:tcPr>
          <w:p w14:paraId="22C80EBF"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0.37</w:t>
            </w:r>
          </w:p>
        </w:tc>
        <w:tc>
          <w:tcPr>
            <w:tcW w:w="1116" w:type="dxa"/>
            <w:tcBorders>
              <w:top w:val="nil"/>
              <w:left w:val="nil"/>
              <w:bottom w:val="single" w:sz="4" w:space="0" w:color="auto"/>
              <w:right w:val="single" w:sz="4" w:space="0" w:color="auto"/>
            </w:tcBorders>
            <w:shd w:val="clear" w:color="auto" w:fill="D9E2F3" w:themeFill="accent5" w:themeFillTint="33"/>
            <w:noWrap/>
            <w:vAlign w:val="center"/>
            <w:hideMark/>
          </w:tcPr>
          <w:p w14:paraId="6FEA8209"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1,248,947</w:t>
            </w:r>
          </w:p>
        </w:tc>
        <w:tc>
          <w:tcPr>
            <w:tcW w:w="1226" w:type="dxa"/>
            <w:tcBorders>
              <w:top w:val="nil"/>
              <w:left w:val="nil"/>
              <w:bottom w:val="single" w:sz="4" w:space="0" w:color="auto"/>
              <w:right w:val="single" w:sz="4" w:space="0" w:color="auto"/>
            </w:tcBorders>
            <w:shd w:val="clear" w:color="auto" w:fill="D9E2F3" w:themeFill="accent5" w:themeFillTint="33"/>
            <w:noWrap/>
            <w:vAlign w:val="center"/>
            <w:hideMark/>
          </w:tcPr>
          <w:p w14:paraId="128B8C82"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8%</w:t>
            </w:r>
          </w:p>
        </w:tc>
        <w:tc>
          <w:tcPr>
            <w:tcW w:w="1109" w:type="dxa"/>
            <w:tcBorders>
              <w:top w:val="nil"/>
              <w:left w:val="nil"/>
              <w:bottom w:val="single" w:sz="4" w:space="0" w:color="auto"/>
              <w:right w:val="single" w:sz="4" w:space="0" w:color="auto"/>
            </w:tcBorders>
            <w:shd w:val="clear" w:color="auto" w:fill="D9E2F3" w:themeFill="accent5" w:themeFillTint="33"/>
            <w:noWrap/>
            <w:vAlign w:val="center"/>
            <w:hideMark/>
          </w:tcPr>
          <w:p w14:paraId="0E9A06CF"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D9E2F3" w:themeFill="accent5" w:themeFillTint="33"/>
            <w:noWrap/>
            <w:vAlign w:val="center"/>
            <w:hideMark/>
          </w:tcPr>
          <w:p w14:paraId="4603F3CA"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Secondary</w:t>
            </w:r>
          </w:p>
        </w:tc>
        <w:tc>
          <w:tcPr>
            <w:tcW w:w="2653" w:type="dxa"/>
            <w:tcBorders>
              <w:top w:val="nil"/>
              <w:left w:val="nil"/>
              <w:bottom w:val="single" w:sz="4" w:space="0" w:color="auto"/>
              <w:right w:val="single" w:sz="4" w:space="0" w:color="auto"/>
            </w:tcBorders>
            <w:shd w:val="clear" w:color="auto" w:fill="D9E2F3" w:themeFill="accent5" w:themeFillTint="33"/>
            <w:vAlign w:val="center"/>
            <w:hideMark/>
          </w:tcPr>
          <w:p w14:paraId="20AC55E4"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Stocks: 7a, 7e, 7b-c, 7f-</w:t>
            </w:r>
            <w:r>
              <w:rPr>
                <w:rFonts w:ascii="Calibri" w:eastAsia="Times New Roman" w:hAnsi="Calibri" w:cs="Times New Roman"/>
                <w:lang w:eastAsia="en-GB"/>
              </w:rPr>
              <w:t>g and 7h-k. Only stock 7a and 7e</w:t>
            </w:r>
            <w:r w:rsidRPr="00A95F5F">
              <w:rPr>
                <w:rFonts w:ascii="Calibri" w:eastAsia="Times New Roman" w:hAnsi="Calibri" w:cs="Times New Roman"/>
                <w:lang w:eastAsia="en-GB"/>
              </w:rPr>
              <w:t xml:space="preserve"> are categroy1 and MSY approach. The rest are category 3-6 - Precautionary approach</w:t>
            </w:r>
          </w:p>
        </w:tc>
      </w:tr>
      <w:tr w:rsidR="003C4EE5" w:rsidRPr="00A95F5F" w14:paraId="13E7738D" w14:textId="77777777" w:rsidTr="003C4EE5">
        <w:trPr>
          <w:trHeight w:val="285"/>
        </w:trPr>
        <w:tc>
          <w:tcPr>
            <w:tcW w:w="888" w:type="dxa"/>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3E39B877"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TBB</w:t>
            </w:r>
          </w:p>
        </w:tc>
        <w:tc>
          <w:tcPr>
            <w:tcW w:w="1611" w:type="dxa"/>
            <w:tcBorders>
              <w:top w:val="nil"/>
              <w:left w:val="nil"/>
              <w:bottom w:val="single" w:sz="4" w:space="0" w:color="auto"/>
              <w:right w:val="single" w:sz="4" w:space="0" w:color="auto"/>
            </w:tcBorders>
            <w:shd w:val="clear" w:color="auto" w:fill="D9E2F3" w:themeFill="accent5" w:themeFillTint="33"/>
            <w:noWrap/>
            <w:vAlign w:val="center"/>
            <w:hideMark/>
          </w:tcPr>
          <w:p w14:paraId="47667683"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Gurnards</w:t>
            </w:r>
          </w:p>
        </w:tc>
        <w:tc>
          <w:tcPr>
            <w:tcW w:w="1465" w:type="dxa"/>
            <w:tcBorders>
              <w:top w:val="nil"/>
              <w:left w:val="nil"/>
              <w:bottom w:val="single" w:sz="4" w:space="0" w:color="auto"/>
              <w:right w:val="single" w:sz="4" w:space="0" w:color="auto"/>
            </w:tcBorders>
            <w:shd w:val="clear" w:color="auto" w:fill="D9E2F3" w:themeFill="accent5" w:themeFillTint="33"/>
            <w:noWrap/>
            <w:vAlign w:val="center"/>
            <w:hideMark/>
          </w:tcPr>
          <w:p w14:paraId="40DD4BCB"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686,167</w:t>
            </w:r>
          </w:p>
        </w:tc>
        <w:tc>
          <w:tcPr>
            <w:tcW w:w="1418" w:type="dxa"/>
            <w:tcBorders>
              <w:top w:val="nil"/>
              <w:left w:val="nil"/>
              <w:bottom w:val="single" w:sz="4" w:space="0" w:color="auto"/>
              <w:right w:val="single" w:sz="4" w:space="0" w:color="auto"/>
            </w:tcBorders>
            <w:shd w:val="clear" w:color="auto" w:fill="D9E2F3" w:themeFill="accent5" w:themeFillTint="33"/>
            <w:noWrap/>
            <w:vAlign w:val="center"/>
            <w:hideMark/>
          </w:tcPr>
          <w:p w14:paraId="04B17A2D"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324,760</w:t>
            </w:r>
          </w:p>
        </w:tc>
        <w:tc>
          <w:tcPr>
            <w:tcW w:w="879" w:type="dxa"/>
            <w:tcBorders>
              <w:top w:val="nil"/>
              <w:left w:val="nil"/>
              <w:bottom w:val="single" w:sz="4" w:space="0" w:color="auto"/>
              <w:right w:val="single" w:sz="4" w:space="0" w:color="auto"/>
            </w:tcBorders>
            <w:shd w:val="clear" w:color="auto" w:fill="D9E2F3" w:themeFill="accent5" w:themeFillTint="33"/>
            <w:noWrap/>
            <w:vAlign w:val="center"/>
            <w:hideMark/>
          </w:tcPr>
          <w:p w14:paraId="27A8B224"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0.59</w:t>
            </w:r>
          </w:p>
        </w:tc>
        <w:tc>
          <w:tcPr>
            <w:tcW w:w="1116" w:type="dxa"/>
            <w:tcBorders>
              <w:top w:val="nil"/>
              <w:left w:val="nil"/>
              <w:bottom w:val="single" w:sz="4" w:space="0" w:color="auto"/>
              <w:right w:val="single" w:sz="4" w:space="0" w:color="auto"/>
            </w:tcBorders>
            <w:shd w:val="clear" w:color="auto" w:fill="D9E2F3" w:themeFill="accent5" w:themeFillTint="33"/>
            <w:noWrap/>
            <w:vAlign w:val="center"/>
            <w:hideMark/>
          </w:tcPr>
          <w:p w14:paraId="0DC6E5D9"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1,010,927</w:t>
            </w:r>
          </w:p>
        </w:tc>
        <w:tc>
          <w:tcPr>
            <w:tcW w:w="1226" w:type="dxa"/>
            <w:tcBorders>
              <w:top w:val="nil"/>
              <w:left w:val="nil"/>
              <w:bottom w:val="single" w:sz="4" w:space="0" w:color="auto"/>
              <w:right w:val="single" w:sz="4" w:space="0" w:color="auto"/>
            </w:tcBorders>
            <w:shd w:val="clear" w:color="auto" w:fill="D9E2F3" w:themeFill="accent5" w:themeFillTint="33"/>
            <w:noWrap/>
            <w:vAlign w:val="center"/>
            <w:hideMark/>
          </w:tcPr>
          <w:p w14:paraId="226C7659"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6%</w:t>
            </w:r>
          </w:p>
        </w:tc>
        <w:tc>
          <w:tcPr>
            <w:tcW w:w="1109" w:type="dxa"/>
            <w:tcBorders>
              <w:top w:val="nil"/>
              <w:left w:val="nil"/>
              <w:bottom w:val="single" w:sz="4" w:space="0" w:color="auto"/>
              <w:right w:val="single" w:sz="4" w:space="0" w:color="auto"/>
            </w:tcBorders>
            <w:shd w:val="clear" w:color="auto" w:fill="D9E2F3" w:themeFill="accent5" w:themeFillTint="33"/>
            <w:noWrap/>
            <w:vAlign w:val="center"/>
            <w:hideMark/>
          </w:tcPr>
          <w:p w14:paraId="3604F6DF"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D9E2F3" w:themeFill="accent5" w:themeFillTint="33"/>
            <w:noWrap/>
            <w:vAlign w:val="center"/>
            <w:hideMark/>
          </w:tcPr>
          <w:p w14:paraId="777F87E0"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Secondary</w:t>
            </w:r>
          </w:p>
        </w:tc>
        <w:tc>
          <w:tcPr>
            <w:tcW w:w="2653" w:type="dxa"/>
            <w:tcBorders>
              <w:top w:val="nil"/>
              <w:left w:val="nil"/>
              <w:bottom w:val="single" w:sz="4" w:space="0" w:color="auto"/>
              <w:right w:val="single" w:sz="4" w:space="0" w:color="auto"/>
            </w:tcBorders>
            <w:shd w:val="clear" w:color="auto" w:fill="D9E2F3" w:themeFill="accent5" w:themeFillTint="33"/>
            <w:vAlign w:val="center"/>
            <w:hideMark/>
          </w:tcPr>
          <w:p w14:paraId="728C856C"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Stock not Assessed by ICES in area VII.</w:t>
            </w:r>
          </w:p>
        </w:tc>
      </w:tr>
      <w:tr w:rsidR="003C4EE5" w:rsidRPr="00A95F5F" w14:paraId="53E918B6" w14:textId="77777777" w:rsidTr="003C4EE5">
        <w:trPr>
          <w:trHeight w:val="857"/>
        </w:trPr>
        <w:tc>
          <w:tcPr>
            <w:tcW w:w="888" w:type="dxa"/>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3148B0AE"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TBB</w:t>
            </w:r>
          </w:p>
        </w:tc>
        <w:tc>
          <w:tcPr>
            <w:tcW w:w="1611" w:type="dxa"/>
            <w:tcBorders>
              <w:top w:val="nil"/>
              <w:left w:val="nil"/>
              <w:bottom w:val="single" w:sz="4" w:space="0" w:color="auto"/>
              <w:right w:val="single" w:sz="4" w:space="0" w:color="auto"/>
            </w:tcBorders>
            <w:shd w:val="clear" w:color="auto" w:fill="D9E2F3" w:themeFill="accent5" w:themeFillTint="33"/>
            <w:noWrap/>
            <w:vAlign w:val="center"/>
            <w:hideMark/>
          </w:tcPr>
          <w:p w14:paraId="4CAECF7D"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Dover Sole</w:t>
            </w:r>
          </w:p>
        </w:tc>
        <w:tc>
          <w:tcPr>
            <w:tcW w:w="1465" w:type="dxa"/>
            <w:tcBorders>
              <w:top w:val="nil"/>
              <w:left w:val="nil"/>
              <w:bottom w:val="single" w:sz="4" w:space="0" w:color="auto"/>
              <w:right w:val="single" w:sz="4" w:space="0" w:color="auto"/>
            </w:tcBorders>
            <w:shd w:val="clear" w:color="auto" w:fill="D9E2F3" w:themeFill="accent5" w:themeFillTint="33"/>
            <w:noWrap/>
            <w:vAlign w:val="center"/>
            <w:hideMark/>
          </w:tcPr>
          <w:p w14:paraId="695AC4CD"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681,154</w:t>
            </w:r>
          </w:p>
        </w:tc>
        <w:tc>
          <w:tcPr>
            <w:tcW w:w="1418" w:type="dxa"/>
            <w:tcBorders>
              <w:top w:val="nil"/>
              <w:left w:val="nil"/>
              <w:bottom w:val="single" w:sz="4" w:space="0" w:color="auto"/>
              <w:right w:val="single" w:sz="4" w:space="0" w:color="auto"/>
            </w:tcBorders>
            <w:shd w:val="clear" w:color="auto" w:fill="D9E2F3" w:themeFill="accent5" w:themeFillTint="33"/>
            <w:noWrap/>
            <w:vAlign w:val="center"/>
            <w:hideMark/>
          </w:tcPr>
          <w:p w14:paraId="5A3CD6DF"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13,442</w:t>
            </w:r>
          </w:p>
        </w:tc>
        <w:tc>
          <w:tcPr>
            <w:tcW w:w="879" w:type="dxa"/>
            <w:tcBorders>
              <w:top w:val="nil"/>
              <w:left w:val="nil"/>
              <w:bottom w:val="single" w:sz="4" w:space="0" w:color="auto"/>
              <w:right w:val="single" w:sz="4" w:space="0" w:color="auto"/>
            </w:tcBorders>
            <w:shd w:val="clear" w:color="auto" w:fill="D9E2F3" w:themeFill="accent5" w:themeFillTint="33"/>
            <w:noWrap/>
            <w:vAlign w:val="center"/>
            <w:hideMark/>
          </w:tcPr>
          <w:p w14:paraId="6B0C0027"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0.02</w:t>
            </w:r>
          </w:p>
        </w:tc>
        <w:tc>
          <w:tcPr>
            <w:tcW w:w="1116" w:type="dxa"/>
            <w:tcBorders>
              <w:top w:val="nil"/>
              <w:left w:val="nil"/>
              <w:bottom w:val="single" w:sz="4" w:space="0" w:color="auto"/>
              <w:right w:val="single" w:sz="4" w:space="0" w:color="auto"/>
            </w:tcBorders>
            <w:shd w:val="clear" w:color="auto" w:fill="D9E2F3" w:themeFill="accent5" w:themeFillTint="33"/>
            <w:noWrap/>
            <w:vAlign w:val="center"/>
            <w:hideMark/>
          </w:tcPr>
          <w:p w14:paraId="466EBB86"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694,596</w:t>
            </w:r>
          </w:p>
        </w:tc>
        <w:tc>
          <w:tcPr>
            <w:tcW w:w="1226" w:type="dxa"/>
            <w:tcBorders>
              <w:top w:val="nil"/>
              <w:left w:val="nil"/>
              <w:bottom w:val="single" w:sz="4" w:space="0" w:color="auto"/>
              <w:right w:val="single" w:sz="4" w:space="0" w:color="auto"/>
            </w:tcBorders>
            <w:shd w:val="clear" w:color="auto" w:fill="D9E2F3" w:themeFill="accent5" w:themeFillTint="33"/>
            <w:noWrap/>
            <w:vAlign w:val="center"/>
            <w:hideMark/>
          </w:tcPr>
          <w:p w14:paraId="211CD820"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6%</w:t>
            </w:r>
          </w:p>
        </w:tc>
        <w:tc>
          <w:tcPr>
            <w:tcW w:w="1109" w:type="dxa"/>
            <w:tcBorders>
              <w:top w:val="nil"/>
              <w:left w:val="nil"/>
              <w:bottom w:val="single" w:sz="4" w:space="0" w:color="auto"/>
              <w:right w:val="single" w:sz="4" w:space="0" w:color="auto"/>
            </w:tcBorders>
            <w:shd w:val="clear" w:color="auto" w:fill="D9E2F3" w:themeFill="accent5" w:themeFillTint="33"/>
            <w:noWrap/>
            <w:vAlign w:val="center"/>
            <w:hideMark/>
          </w:tcPr>
          <w:p w14:paraId="6A9C124C"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D9E2F3" w:themeFill="accent5" w:themeFillTint="33"/>
            <w:noWrap/>
            <w:vAlign w:val="center"/>
            <w:hideMark/>
          </w:tcPr>
          <w:p w14:paraId="0076E32D"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Secondary</w:t>
            </w:r>
          </w:p>
        </w:tc>
        <w:tc>
          <w:tcPr>
            <w:tcW w:w="2653" w:type="dxa"/>
            <w:tcBorders>
              <w:top w:val="nil"/>
              <w:left w:val="nil"/>
              <w:bottom w:val="single" w:sz="4" w:space="0" w:color="auto"/>
              <w:right w:val="single" w:sz="4" w:space="0" w:color="auto"/>
            </w:tcBorders>
            <w:shd w:val="clear" w:color="auto" w:fill="D9E2F3" w:themeFill="accent5" w:themeFillTint="33"/>
            <w:vAlign w:val="center"/>
            <w:hideMark/>
          </w:tcPr>
          <w:p w14:paraId="6BF5E899"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 xml:space="preserve">Stocks: 7a, 7e, 7d, 7b-c, 7f-g and 7h-k. Stocks 7a, 7e, 7d and 7f-g are category1 and MSY. 7b-c and 7h-k </w:t>
            </w:r>
            <w:r w:rsidRPr="00A95F5F">
              <w:rPr>
                <w:rFonts w:ascii="Calibri" w:eastAsia="Times New Roman" w:hAnsi="Calibri" w:cs="Times New Roman"/>
                <w:lang w:eastAsia="en-GB"/>
              </w:rPr>
              <w:lastRenderedPageBreak/>
              <w:t>are 3 and 6, precautionary approach.</w:t>
            </w:r>
          </w:p>
        </w:tc>
      </w:tr>
      <w:tr w:rsidR="003C4EE5" w:rsidRPr="00A95F5F" w14:paraId="53D99941" w14:textId="77777777" w:rsidTr="003C4EE5">
        <w:trPr>
          <w:trHeight w:val="285"/>
        </w:trPr>
        <w:tc>
          <w:tcPr>
            <w:tcW w:w="888" w:type="dxa"/>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3065EF7C"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lastRenderedPageBreak/>
              <w:t>TBB</w:t>
            </w:r>
          </w:p>
        </w:tc>
        <w:tc>
          <w:tcPr>
            <w:tcW w:w="1611" w:type="dxa"/>
            <w:tcBorders>
              <w:top w:val="nil"/>
              <w:left w:val="nil"/>
              <w:bottom w:val="single" w:sz="4" w:space="0" w:color="auto"/>
              <w:right w:val="single" w:sz="4" w:space="0" w:color="auto"/>
            </w:tcBorders>
            <w:shd w:val="clear" w:color="auto" w:fill="D9E2F3" w:themeFill="accent5" w:themeFillTint="33"/>
            <w:noWrap/>
            <w:vAlign w:val="center"/>
            <w:hideMark/>
          </w:tcPr>
          <w:p w14:paraId="51A13B11"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Whiting-pout (Bib)</w:t>
            </w:r>
          </w:p>
        </w:tc>
        <w:tc>
          <w:tcPr>
            <w:tcW w:w="1465" w:type="dxa"/>
            <w:tcBorders>
              <w:top w:val="nil"/>
              <w:left w:val="nil"/>
              <w:bottom w:val="single" w:sz="4" w:space="0" w:color="auto"/>
              <w:right w:val="single" w:sz="4" w:space="0" w:color="auto"/>
            </w:tcBorders>
            <w:shd w:val="clear" w:color="auto" w:fill="D9E2F3" w:themeFill="accent5" w:themeFillTint="33"/>
            <w:noWrap/>
            <w:vAlign w:val="center"/>
            <w:hideMark/>
          </w:tcPr>
          <w:p w14:paraId="3163DEE8"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571,852</w:t>
            </w:r>
          </w:p>
        </w:tc>
        <w:tc>
          <w:tcPr>
            <w:tcW w:w="1418" w:type="dxa"/>
            <w:tcBorders>
              <w:top w:val="nil"/>
              <w:left w:val="nil"/>
              <w:bottom w:val="single" w:sz="4" w:space="0" w:color="auto"/>
              <w:right w:val="single" w:sz="4" w:space="0" w:color="auto"/>
            </w:tcBorders>
            <w:shd w:val="clear" w:color="auto" w:fill="D9E2F3" w:themeFill="accent5" w:themeFillTint="33"/>
            <w:noWrap/>
            <w:vAlign w:val="center"/>
            <w:hideMark/>
          </w:tcPr>
          <w:p w14:paraId="5F6B3B0D"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431,350</w:t>
            </w:r>
          </w:p>
        </w:tc>
        <w:tc>
          <w:tcPr>
            <w:tcW w:w="879" w:type="dxa"/>
            <w:tcBorders>
              <w:top w:val="nil"/>
              <w:left w:val="nil"/>
              <w:bottom w:val="single" w:sz="4" w:space="0" w:color="auto"/>
              <w:right w:val="single" w:sz="4" w:space="0" w:color="auto"/>
            </w:tcBorders>
            <w:shd w:val="clear" w:color="auto" w:fill="D9E2F3" w:themeFill="accent5" w:themeFillTint="33"/>
            <w:noWrap/>
            <w:vAlign w:val="center"/>
            <w:hideMark/>
          </w:tcPr>
          <w:p w14:paraId="2FC55A95"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0.64</w:t>
            </w:r>
          </w:p>
        </w:tc>
        <w:tc>
          <w:tcPr>
            <w:tcW w:w="1116" w:type="dxa"/>
            <w:tcBorders>
              <w:top w:val="nil"/>
              <w:left w:val="nil"/>
              <w:bottom w:val="single" w:sz="4" w:space="0" w:color="auto"/>
              <w:right w:val="single" w:sz="4" w:space="0" w:color="auto"/>
            </w:tcBorders>
            <w:shd w:val="clear" w:color="auto" w:fill="D9E2F3" w:themeFill="accent5" w:themeFillTint="33"/>
            <w:noWrap/>
            <w:vAlign w:val="center"/>
            <w:hideMark/>
          </w:tcPr>
          <w:p w14:paraId="4130DF72"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1,003,203</w:t>
            </w:r>
          </w:p>
        </w:tc>
        <w:tc>
          <w:tcPr>
            <w:tcW w:w="1226" w:type="dxa"/>
            <w:tcBorders>
              <w:top w:val="nil"/>
              <w:left w:val="nil"/>
              <w:bottom w:val="single" w:sz="4" w:space="0" w:color="auto"/>
              <w:right w:val="single" w:sz="4" w:space="0" w:color="auto"/>
            </w:tcBorders>
            <w:shd w:val="clear" w:color="auto" w:fill="D9E2F3" w:themeFill="accent5" w:themeFillTint="33"/>
            <w:noWrap/>
            <w:vAlign w:val="center"/>
            <w:hideMark/>
          </w:tcPr>
          <w:p w14:paraId="0AF8DFAD"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09" w:type="dxa"/>
            <w:tcBorders>
              <w:top w:val="nil"/>
              <w:left w:val="nil"/>
              <w:bottom w:val="single" w:sz="4" w:space="0" w:color="auto"/>
              <w:right w:val="single" w:sz="4" w:space="0" w:color="auto"/>
            </w:tcBorders>
            <w:shd w:val="clear" w:color="auto" w:fill="D9E2F3" w:themeFill="accent5" w:themeFillTint="33"/>
            <w:noWrap/>
            <w:vAlign w:val="center"/>
            <w:hideMark/>
          </w:tcPr>
          <w:p w14:paraId="08A9995D"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D9E2F3" w:themeFill="accent5" w:themeFillTint="33"/>
            <w:noWrap/>
            <w:vAlign w:val="center"/>
            <w:hideMark/>
          </w:tcPr>
          <w:p w14:paraId="6D6D2A06"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Secondary</w:t>
            </w:r>
          </w:p>
        </w:tc>
        <w:tc>
          <w:tcPr>
            <w:tcW w:w="2653" w:type="dxa"/>
            <w:tcBorders>
              <w:top w:val="nil"/>
              <w:left w:val="nil"/>
              <w:bottom w:val="single" w:sz="4" w:space="0" w:color="auto"/>
              <w:right w:val="single" w:sz="4" w:space="0" w:color="auto"/>
            </w:tcBorders>
            <w:shd w:val="clear" w:color="auto" w:fill="D9E2F3" w:themeFill="accent5" w:themeFillTint="33"/>
            <w:vAlign w:val="center"/>
            <w:hideMark/>
          </w:tcPr>
          <w:p w14:paraId="0FF20C96"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Stock not Assessed by ICES in area VII.</w:t>
            </w:r>
          </w:p>
        </w:tc>
      </w:tr>
      <w:tr w:rsidR="003C4EE5" w:rsidRPr="00A95F5F" w14:paraId="698978FD" w14:textId="77777777" w:rsidTr="003C4EE5">
        <w:trPr>
          <w:trHeight w:val="285"/>
        </w:trPr>
        <w:tc>
          <w:tcPr>
            <w:tcW w:w="888" w:type="dxa"/>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5DD92662"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TBB</w:t>
            </w:r>
          </w:p>
        </w:tc>
        <w:tc>
          <w:tcPr>
            <w:tcW w:w="1611" w:type="dxa"/>
            <w:tcBorders>
              <w:top w:val="nil"/>
              <w:left w:val="nil"/>
              <w:bottom w:val="single" w:sz="4" w:space="0" w:color="auto"/>
              <w:right w:val="single" w:sz="4" w:space="0" w:color="auto"/>
            </w:tcBorders>
            <w:shd w:val="clear" w:color="auto" w:fill="D9E2F3" w:themeFill="accent5" w:themeFillTint="33"/>
            <w:noWrap/>
            <w:vAlign w:val="center"/>
            <w:hideMark/>
          </w:tcPr>
          <w:p w14:paraId="6EA25A49"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Lesser Spotted dogfish</w:t>
            </w:r>
          </w:p>
        </w:tc>
        <w:tc>
          <w:tcPr>
            <w:tcW w:w="1465" w:type="dxa"/>
            <w:tcBorders>
              <w:top w:val="nil"/>
              <w:left w:val="nil"/>
              <w:bottom w:val="single" w:sz="4" w:space="0" w:color="auto"/>
              <w:right w:val="single" w:sz="4" w:space="0" w:color="auto"/>
            </w:tcBorders>
            <w:shd w:val="clear" w:color="auto" w:fill="D9E2F3" w:themeFill="accent5" w:themeFillTint="33"/>
            <w:noWrap/>
            <w:vAlign w:val="center"/>
            <w:hideMark/>
          </w:tcPr>
          <w:p w14:paraId="656E96CE"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w:t>
            </w:r>
          </w:p>
        </w:tc>
        <w:tc>
          <w:tcPr>
            <w:tcW w:w="1418" w:type="dxa"/>
            <w:tcBorders>
              <w:top w:val="nil"/>
              <w:left w:val="nil"/>
              <w:bottom w:val="single" w:sz="4" w:space="0" w:color="auto"/>
              <w:right w:val="single" w:sz="4" w:space="0" w:color="auto"/>
            </w:tcBorders>
            <w:shd w:val="clear" w:color="auto" w:fill="D9E2F3" w:themeFill="accent5" w:themeFillTint="33"/>
            <w:noWrap/>
            <w:vAlign w:val="center"/>
            <w:hideMark/>
          </w:tcPr>
          <w:p w14:paraId="5E9C5971"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1,203,153</w:t>
            </w:r>
          </w:p>
        </w:tc>
        <w:tc>
          <w:tcPr>
            <w:tcW w:w="879" w:type="dxa"/>
            <w:tcBorders>
              <w:top w:val="nil"/>
              <w:left w:val="nil"/>
              <w:bottom w:val="single" w:sz="4" w:space="0" w:color="auto"/>
              <w:right w:val="single" w:sz="4" w:space="0" w:color="auto"/>
            </w:tcBorders>
            <w:shd w:val="clear" w:color="auto" w:fill="D9E2F3" w:themeFill="accent5" w:themeFillTint="33"/>
            <w:noWrap/>
            <w:vAlign w:val="center"/>
            <w:hideMark/>
          </w:tcPr>
          <w:p w14:paraId="2F202083"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0.93</w:t>
            </w:r>
          </w:p>
        </w:tc>
        <w:tc>
          <w:tcPr>
            <w:tcW w:w="1116" w:type="dxa"/>
            <w:tcBorders>
              <w:top w:val="nil"/>
              <w:left w:val="nil"/>
              <w:bottom w:val="single" w:sz="4" w:space="0" w:color="auto"/>
              <w:right w:val="single" w:sz="4" w:space="0" w:color="auto"/>
            </w:tcBorders>
            <w:shd w:val="clear" w:color="auto" w:fill="D9E2F3" w:themeFill="accent5" w:themeFillTint="33"/>
            <w:noWrap/>
            <w:vAlign w:val="center"/>
            <w:hideMark/>
          </w:tcPr>
          <w:p w14:paraId="7E8C20F8"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1,203,153</w:t>
            </w:r>
          </w:p>
        </w:tc>
        <w:tc>
          <w:tcPr>
            <w:tcW w:w="1226" w:type="dxa"/>
            <w:tcBorders>
              <w:top w:val="nil"/>
              <w:left w:val="nil"/>
              <w:bottom w:val="single" w:sz="4" w:space="0" w:color="auto"/>
              <w:right w:val="single" w:sz="4" w:space="0" w:color="auto"/>
            </w:tcBorders>
            <w:shd w:val="clear" w:color="auto" w:fill="D9E2F3" w:themeFill="accent5" w:themeFillTint="33"/>
            <w:noWrap/>
            <w:vAlign w:val="center"/>
            <w:hideMark/>
          </w:tcPr>
          <w:p w14:paraId="60D9D310"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8%</w:t>
            </w:r>
          </w:p>
        </w:tc>
        <w:tc>
          <w:tcPr>
            <w:tcW w:w="1109" w:type="dxa"/>
            <w:tcBorders>
              <w:top w:val="nil"/>
              <w:left w:val="nil"/>
              <w:bottom w:val="single" w:sz="4" w:space="0" w:color="auto"/>
              <w:right w:val="single" w:sz="4" w:space="0" w:color="auto"/>
            </w:tcBorders>
            <w:shd w:val="clear" w:color="auto" w:fill="D9E2F3" w:themeFill="accent5" w:themeFillTint="33"/>
            <w:noWrap/>
            <w:vAlign w:val="center"/>
            <w:hideMark/>
          </w:tcPr>
          <w:p w14:paraId="1F82E827"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w:t>
            </w:r>
          </w:p>
        </w:tc>
        <w:tc>
          <w:tcPr>
            <w:tcW w:w="1149" w:type="dxa"/>
            <w:tcBorders>
              <w:top w:val="nil"/>
              <w:left w:val="nil"/>
              <w:bottom w:val="single" w:sz="4" w:space="0" w:color="auto"/>
              <w:right w:val="single" w:sz="4" w:space="0" w:color="auto"/>
            </w:tcBorders>
            <w:shd w:val="clear" w:color="auto" w:fill="D9E2F3" w:themeFill="accent5" w:themeFillTint="33"/>
            <w:noWrap/>
            <w:vAlign w:val="center"/>
            <w:hideMark/>
          </w:tcPr>
          <w:p w14:paraId="7C10E3C0"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Secondary</w:t>
            </w:r>
          </w:p>
        </w:tc>
        <w:tc>
          <w:tcPr>
            <w:tcW w:w="2653" w:type="dxa"/>
            <w:tcBorders>
              <w:top w:val="nil"/>
              <w:left w:val="nil"/>
              <w:bottom w:val="single" w:sz="4" w:space="0" w:color="auto"/>
              <w:right w:val="single" w:sz="4" w:space="0" w:color="auto"/>
            </w:tcBorders>
            <w:shd w:val="clear" w:color="auto" w:fill="D9E2F3" w:themeFill="accent5" w:themeFillTint="33"/>
            <w:vAlign w:val="center"/>
            <w:hideMark/>
          </w:tcPr>
          <w:p w14:paraId="2EFE36CF" w14:textId="77777777" w:rsidR="003C4EE5" w:rsidRPr="00A95F5F" w:rsidRDefault="003C4EE5" w:rsidP="003C4EE5">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Stock 7.a–c and 7.e–j, Category 3. Precautionary approach</w:t>
            </w:r>
          </w:p>
        </w:tc>
      </w:tr>
    </w:tbl>
    <w:p w14:paraId="59F38149" w14:textId="77777777" w:rsidR="003C4EE5" w:rsidRDefault="003C4EE5" w:rsidP="003C4EE5">
      <w:pPr>
        <w:pStyle w:val="ListParagraph"/>
        <w:jc w:val="left"/>
      </w:pPr>
    </w:p>
    <w:p w14:paraId="6DB3C5A1" w14:textId="77777777" w:rsidR="003C4EE5" w:rsidRDefault="003C4EE5" w:rsidP="003C4EE5">
      <w:pPr>
        <w:spacing w:after="160" w:line="259" w:lineRule="auto"/>
        <w:ind w:left="0"/>
        <w:jc w:val="left"/>
        <w:rPr>
          <w:rFonts w:eastAsiaTheme="majorEastAsia" w:cstheme="majorBidi"/>
          <w:color w:val="004C6F"/>
          <w:sz w:val="28"/>
          <w:szCs w:val="28"/>
        </w:rPr>
      </w:pPr>
      <w:r>
        <w:br w:type="page"/>
      </w:r>
    </w:p>
    <w:p w14:paraId="24B191D9" w14:textId="77777777" w:rsidR="003C4EE5" w:rsidRDefault="003C4EE5" w:rsidP="003C4EE5">
      <w:pPr>
        <w:pStyle w:val="Heading2"/>
        <w:numPr>
          <w:ilvl w:val="0"/>
          <w:numId w:val="0"/>
        </w:numPr>
        <w:sectPr w:rsidR="003C4EE5" w:rsidSect="003C4EE5">
          <w:pgSz w:w="16838" w:h="11906" w:orient="landscape"/>
          <w:pgMar w:top="1440" w:right="1440" w:bottom="1440" w:left="1440" w:header="709" w:footer="709" w:gutter="0"/>
          <w:cols w:space="708"/>
          <w:docGrid w:linePitch="360"/>
        </w:sectPr>
      </w:pPr>
    </w:p>
    <w:p w14:paraId="4B34FC16" w14:textId="77777777" w:rsidR="003C4EE5" w:rsidRDefault="003C4EE5" w:rsidP="003C4EE5">
      <w:pPr>
        <w:pStyle w:val="Heading2"/>
      </w:pPr>
      <w:bookmarkStart w:id="62" w:name="_Toc516750546"/>
      <w:bookmarkStart w:id="63" w:name="_Toc518658152"/>
      <w:r>
        <w:lastRenderedPageBreak/>
        <w:t>Productivity scoring</w:t>
      </w:r>
      <w:bookmarkEnd w:id="62"/>
      <w:bookmarkEnd w:id="63"/>
    </w:p>
    <w:p w14:paraId="4AB7B20E" w14:textId="3048DF09" w:rsidR="003C4EE5" w:rsidRDefault="003C4EE5" w:rsidP="003C4EE5">
      <w:pPr>
        <w:pStyle w:val="Caption"/>
      </w:pPr>
      <w:bookmarkStart w:id="64" w:name="_Ref518564318"/>
      <w:bookmarkStart w:id="65" w:name="_Toc516669268"/>
      <w:bookmarkStart w:id="66" w:name="_Toc516669280"/>
      <w:bookmarkStart w:id="67" w:name="_Toc518658164"/>
      <w:bookmarkStart w:id="68" w:name="_Toc518658176"/>
      <w:r>
        <w:t xml:space="preserve">Table </w:t>
      </w:r>
      <w:r w:rsidR="00DB2E87">
        <w:rPr>
          <w:noProof/>
        </w:rPr>
        <w:fldChar w:fldCharType="begin"/>
      </w:r>
      <w:r w:rsidR="00DB2E87">
        <w:rPr>
          <w:noProof/>
        </w:rPr>
        <w:instrText xml:space="preserve"> SEQ Table \* ARABIC </w:instrText>
      </w:r>
      <w:r w:rsidR="00DB2E87">
        <w:rPr>
          <w:noProof/>
        </w:rPr>
        <w:fldChar w:fldCharType="separate"/>
      </w:r>
      <w:r>
        <w:rPr>
          <w:noProof/>
        </w:rPr>
        <w:t>6</w:t>
      </w:r>
      <w:r w:rsidR="00DB2E87">
        <w:rPr>
          <w:noProof/>
        </w:rPr>
        <w:fldChar w:fldCharType="end"/>
      </w:r>
      <w:bookmarkEnd w:id="64"/>
      <w:r>
        <w:t>. Productivity score for each Secondary species identified for the monkfish species, demersal trawl, beam trawl and netters.</w:t>
      </w:r>
      <w:bookmarkEnd w:id="65"/>
      <w:bookmarkEnd w:id="66"/>
      <w:bookmarkEnd w:id="67"/>
      <w:bookmarkEnd w:id="68"/>
      <w:r>
        <w:rPr>
          <w:rFonts w:eastAsiaTheme="majorEastAsia" w:cstheme="majorBidi"/>
          <w:color w:val="004C6F"/>
          <w:sz w:val="28"/>
          <w:szCs w:val="28"/>
        </w:rPr>
        <w:fldChar w:fldCharType="begin"/>
      </w:r>
      <w:r>
        <w:instrText xml:space="preserve"> LINK </w:instrText>
      </w:r>
      <w:r w:rsidR="00765935">
        <w:instrText xml:space="preserve">Excel.Sheet.12 "\\\\lowfilecdr\\CDP\\C7488_MSC Project UK\\Working_Area\\TASK 6 (Ana) Monkfish sec species status\\Analysis\\Productivity tables.xlsx" Productivity!R1C1:R16C12 </w:instrText>
      </w:r>
      <w:r>
        <w:instrText xml:space="preserve">\a \f 4 \h  \* MERGEFORMAT </w:instrText>
      </w:r>
      <w:r>
        <w:rPr>
          <w:rFonts w:eastAsiaTheme="majorEastAsia" w:cstheme="majorBidi"/>
          <w:color w:val="004C6F"/>
          <w:sz w:val="28"/>
          <w:szCs w:val="28"/>
        </w:rPr>
        <w:fldChar w:fldCharType="separate"/>
      </w:r>
      <w:bookmarkStart w:id="69" w:name="_1591179725"/>
      <w:bookmarkEnd w:id="69"/>
    </w:p>
    <w:tbl>
      <w:tblPr>
        <w:tblW w:w="15168" w:type="dxa"/>
        <w:jc w:val="center"/>
        <w:tblLayout w:type="fixed"/>
        <w:tblLook w:val="04A0" w:firstRow="1" w:lastRow="0" w:firstColumn="1" w:lastColumn="0" w:noHBand="0" w:noVBand="1"/>
      </w:tblPr>
      <w:tblGrid>
        <w:gridCol w:w="1135"/>
        <w:gridCol w:w="1417"/>
        <w:gridCol w:w="987"/>
        <w:gridCol w:w="992"/>
        <w:gridCol w:w="1140"/>
        <w:gridCol w:w="1046"/>
        <w:gridCol w:w="1075"/>
        <w:gridCol w:w="1417"/>
        <w:gridCol w:w="851"/>
        <w:gridCol w:w="1281"/>
        <w:gridCol w:w="1275"/>
        <w:gridCol w:w="2552"/>
      </w:tblGrid>
      <w:tr w:rsidR="003C4EE5" w:rsidRPr="00FD39D1" w14:paraId="52743B36" w14:textId="77777777" w:rsidTr="003C4EE5">
        <w:trPr>
          <w:trHeight w:val="707"/>
          <w:jc w:val="center"/>
        </w:trPr>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436A9AB" w14:textId="77777777" w:rsidR="003C4EE5" w:rsidRPr="00FD39D1" w:rsidRDefault="003C4EE5" w:rsidP="003C4EE5">
            <w:pPr>
              <w:spacing w:after="0" w:line="240" w:lineRule="auto"/>
              <w:ind w:left="0"/>
              <w:jc w:val="center"/>
              <w:rPr>
                <w:rFonts w:eastAsia="Times New Roman" w:cs="Times New Roman"/>
                <w:b/>
                <w:color w:val="000000"/>
                <w:sz w:val="20"/>
                <w:szCs w:val="20"/>
                <w:lang w:eastAsia="en-GB"/>
              </w:rPr>
            </w:pPr>
            <w:r w:rsidRPr="00FD39D1">
              <w:rPr>
                <w:rFonts w:eastAsia="Times New Roman" w:cs="Times New Roman"/>
                <w:b/>
                <w:color w:val="000000"/>
                <w:sz w:val="20"/>
                <w:szCs w:val="20"/>
                <w:lang w:eastAsia="en-GB"/>
              </w:rPr>
              <w:t>Species</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017ABC9" w14:textId="77777777" w:rsidR="003C4EE5" w:rsidRPr="00FD39D1" w:rsidRDefault="003C4EE5" w:rsidP="003C4EE5">
            <w:pPr>
              <w:spacing w:after="0" w:line="240" w:lineRule="auto"/>
              <w:ind w:left="0"/>
              <w:jc w:val="center"/>
              <w:rPr>
                <w:rFonts w:eastAsia="Times New Roman" w:cs="Times New Roman"/>
                <w:b/>
                <w:color w:val="000000"/>
                <w:sz w:val="20"/>
                <w:szCs w:val="20"/>
                <w:lang w:eastAsia="en-GB"/>
              </w:rPr>
            </w:pPr>
            <w:r w:rsidRPr="00FD39D1">
              <w:rPr>
                <w:rFonts w:eastAsia="Times New Roman" w:cs="Times New Roman"/>
                <w:b/>
                <w:color w:val="000000"/>
                <w:sz w:val="20"/>
                <w:szCs w:val="20"/>
                <w:lang w:eastAsia="en-GB"/>
              </w:rPr>
              <w:t>Group</w:t>
            </w:r>
          </w:p>
        </w:tc>
        <w:tc>
          <w:tcPr>
            <w:tcW w:w="98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7260D5E" w14:textId="77777777" w:rsidR="003C4EE5" w:rsidRPr="00FD39D1" w:rsidRDefault="003C4EE5" w:rsidP="003C4EE5">
            <w:pPr>
              <w:spacing w:after="0" w:line="240" w:lineRule="auto"/>
              <w:ind w:left="0"/>
              <w:jc w:val="center"/>
              <w:rPr>
                <w:rFonts w:eastAsia="Times New Roman" w:cs="Arial"/>
                <w:b/>
                <w:sz w:val="20"/>
                <w:szCs w:val="20"/>
                <w:lang w:eastAsia="en-GB"/>
              </w:rPr>
            </w:pPr>
            <w:r w:rsidRPr="00FD39D1">
              <w:rPr>
                <w:rFonts w:eastAsia="Times New Roman" w:cs="Arial"/>
                <w:b/>
                <w:sz w:val="20"/>
                <w:szCs w:val="20"/>
                <w:lang w:eastAsia="en-GB"/>
              </w:rPr>
              <w:t>Average age at maturity (years)</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9DBB6B3" w14:textId="77777777" w:rsidR="003C4EE5" w:rsidRPr="00FD39D1" w:rsidRDefault="003C4EE5" w:rsidP="003C4EE5">
            <w:pPr>
              <w:spacing w:after="0" w:line="240" w:lineRule="auto"/>
              <w:ind w:left="0"/>
              <w:jc w:val="center"/>
              <w:rPr>
                <w:rFonts w:eastAsia="Times New Roman" w:cs="Arial"/>
                <w:b/>
                <w:sz w:val="20"/>
                <w:szCs w:val="20"/>
                <w:lang w:eastAsia="en-GB"/>
              </w:rPr>
            </w:pPr>
            <w:r w:rsidRPr="00FD39D1">
              <w:rPr>
                <w:rFonts w:eastAsia="Times New Roman" w:cs="Arial"/>
                <w:b/>
                <w:sz w:val="20"/>
                <w:szCs w:val="20"/>
                <w:lang w:eastAsia="en-GB"/>
              </w:rPr>
              <w:t>Average max age</w:t>
            </w:r>
          </w:p>
        </w:tc>
        <w:tc>
          <w:tcPr>
            <w:tcW w:w="11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CFCCBEA" w14:textId="77777777" w:rsidR="003C4EE5" w:rsidRPr="00FD39D1" w:rsidRDefault="003C4EE5" w:rsidP="003C4EE5">
            <w:pPr>
              <w:spacing w:after="0" w:line="240" w:lineRule="auto"/>
              <w:ind w:left="0"/>
              <w:jc w:val="center"/>
              <w:rPr>
                <w:rFonts w:eastAsia="Times New Roman" w:cs="Arial"/>
                <w:b/>
                <w:sz w:val="20"/>
                <w:szCs w:val="20"/>
                <w:lang w:eastAsia="en-GB"/>
              </w:rPr>
            </w:pPr>
            <w:r w:rsidRPr="00FD39D1">
              <w:rPr>
                <w:rFonts w:eastAsia="Times New Roman" w:cs="Arial"/>
                <w:b/>
                <w:sz w:val="20"/>
                <w:szCs w:val="20"/>
                <w:lang w:eastAsia="en-GB"/>
              </w:rPr>
              <w:t>Fecundity</w:t>
            </w:r>
          </w:p>
        </w:tc>
        <w:tc>
          <w:tcPr>
            <w:tcW w:w="104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927B682" w14:textId="77777777" w:rsidR="003C4EE5" w:rsidRPr="00FD39D1" w:rsidRDefault="003C4EE5" w:rsidP="003C4EE5">
            <w:pPr>
              <w:spacing w:after="0" w:line="240" w:lineRule="auto"/>
              <w:ind w:left="0"/>
              <w:jc w:val="center"/>
              <w:rPr>
                <w:rFonts w:eastAsia="Times New Roman" w:cs="Arial"/>
                <w:b/>
                <w:sz w:val="20"/>
                <w:szCs w:val="20"/>
                <w:lang w:eastAsia="en-GB"/>
              </w:rPr>
            </w:pPr>
            <w:r w:rsidRPr="00FD39D1">
              <w:rPr>
                <w:rFonts w:eastAsia="Times New Roman" w:cs="Arial"/>
                <w:b/>
                <w:sz w:val="20"/>
                <w:szCs w:val="20"/>
                <w:lang w:eastAsia="en-GB"/>
              </w:rPr>
              <w:t>Average max size (cm)</w:t>
            </w:r>
          </w:p>
        </w:tc>
        <w:tc>
          <w:tcPr>
            <w:tcW w:w="10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39185A7" w14:textId="77777777" w:rsidR="003C4EE5" w:rsidRPr="00FD39D1" w:rsidRDefault="003C4EE5" w:rsidP="003C4EE5">
            <w:pPr>
              <w:spacing w:after="0" w:line="240" w:lineRule="auto"/>
              <w:ind w:left="0"/>
              <w:jc w:val="center"/>
              <w:rPr>
                <w:rFonts w:eastAsia="Times New Roman" w:cs="Arial"/>
                <w:b/>
                <w:sz w:val="20"/>
                <w:szCs w:val="20"/>
                <w:lang w:eastAsia="en-GB"/>
              </w:rPr>
            </w:pPr>
            <w:r w:rsidRPr="00FD39D1">
              <w:rPr>
                <w:rFonts w:eastAsia="Times New Roman" w:cs="Arial"/>
                <w:b/>
                <w:sz w:val="20"/>
                <w:szCs w:val="20"/>
                <w:lang w:eastAsia="en-GB"/>
              </w:rPr>
              <w:t>Average size at Maturity</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0C104C6" w14:textId="77777777" w:rsidR="003C4EE5" w:rsidRPr="00FD39D1" w:rsidRDefault="003C4EE5" w:rsidP="003C4EE5">
            <w:pPr>
              <w:spacing w:after="0" w:line="240" w:lineRule="auto"/>
              <w:ind w:left="0"/>
              <w:jc w:val="center"/>
              <w:rPr>
                <w:rFonts w:eastAsia="Times New Roman" w:cs="Arial"/>
                <w:b/>
                <w:sz w:val="20"/>
                <w:szCs w:val="20"/>
                <w:lang w:eastAsia="en-GB"/>
              </w:rPr>
            </w:pPr>
            <w:r w:rsidRPr="00FD39D1">
              <w:rPr>
                <w:rFonts w:eastAsia="Times New Roman" w:cs="Arial"/>
                <w:b/>
                <w:sz w:val="20"/>
                <w:szCs w:val="20"/>
                <w:lang w:eastAsia="en-GB"/>
              </w:rPr>
              <w:t>Reproductive strategy</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7E1071C" w14:textId="77777777" w:rsidR="003C4EE5" w:rsidRPr="00FD39D1" w:rsidRDefault="003C4EE5" w:rsidP="003C4EE5">
            <w:pPr>
              <w:spacing w:after="0" w:line="240" w:lineRule="auto"/>
              <w:ind w:left="0"/>
              <w:jc w:val="center"/>
              <w:rPr>
                <w:rFonts w:eastAsia="Times New Roman" w:cs="Arial"/>
                <w:b/>
                <w:sz w:val="20"/>
                <w:szCs w:val="20"/>
                <w:lang w:eastAsia="en-GB"/>
              </w:rPr>
            </w:pPr>
            <w:r w:rsidRPr="00FD39D1">
              <w:rPr>
                <w:rFonts w:eastAsia="Times New Roman" w:cs="Arial"/>
                <w:b/>
                <w:sz w:val="20"/>
                <w:szCs w:val="20"/>
                <w:lang w:eastAsia="en-GB"/>
              </w:rPr>
              <w:t>Trophic level</w:t>
            </w:r>
          </w:p>
        </w:tc>
        <w:tc>
          <w:tcPr>
            <w:tcW w:w="128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DA7538" w14:textId="77777777" w:rsidR="003C4EE5" w:rsidRPr="00FD39D1" w:rsidRDefault="003C4EE5" w:rsidP="003C4EE5">
            <w:pPr>
              <w:spacing w:after="0" w:line="240" w:lineRule="auto"/>
              <w:ind w:left="0"/>
              <w:jc w:val="center"/>
              <w:rPr>
                <w:rFonts w:eastAsia="Times New Roman" w:cs="Arial"/>
                <w:b/>
                <w:sz w:val="20"/>
                <w:szCs w:val="20"/>
                <w:lang w:eastAsia="en-GB"/>
              </w:rPr>
            </w:pPr>
            <w:r w:rsidRPr="00FD39D1">
              <w:rPr>
                <w:rFonts w:eastAsia="Times New Roman" w:cs="Arial"/>
                <w:b/>
                <w:sz w:val="20"/>
                <w:szCs w:val="20"/>
                <w:lang w:eastAsia="en-GB"/>
              </w:rPr>
              <w:t>Density Dependence</w:t>
            </w:r>
          </w:p>
        </w:tc>
        <w:tc>
          <w:tcPr>
            <w:tcW w:w="1275" w:type="dxa"/>
            <w:tcBorders>
              <w:top w:val="single" w:sz="4" w:space="0" w:color="auto"/>
              <w:left w:val="nil"/>
              <w:bottom w:val="single" w:sz="4" w:space="0" w:color="auto"/>
              <w:right w:val="single" w:sz="4" w:space="0" w:color="auto"/>
            </w:tcBorders>
            <w:shd w:val="clear" w:color="auto" w:fill="C45911" w:themeFill="accent2" w:themeFillShade="BF"/>
            <w:vAlign w:val="center"/>
            <w:hideMark/>
          </w:tcPr>
          <w:p w14:paraId="0DCFBA17" w14:textId="77777777" w:rsidR="003C4EE5" w:rsidRPr="00FD39D1" w:rsidRDefault="003C4EE5" w:rsidP="003C4EE5">
            <w:pPr>
              <w:spacing w:after="0" w:line="240" w:lineRule="auto"/>
              <w:ind w:left="0"/>
              <w:jc w:val="center"/>
              <w:rPr>
                <w:rFonts w:eastAsia="Times New Roman" w:cs="Arial"/>
                <w:b/>
                <w:sz w:val="20"/>
                <w:szCs w:val="20"/>
                <w:lang w:eastAsia="en-GB"/>
              </w:rPr>
            </w:pPr>
            <w:r w:rsidRPr="00FD39D1">
              <w:rPr>
                <w:rFonts w:eastAsia="Times New Roman" w:cs="Arial"/>
                <w:b/>
                <w:sz w:val="20"/>
                <w:szCs w:val="20"/>
                <w:lang w:eastAsia="en-GB"/>
              </w:rPr>
              <w:t>Total productivity</w:t>
            </w:r>
          </w:p>
        </w:tc>
        <w:tc>
          <w:tcPr>
            <w:tcW w:w="2552" w:type="dxa"/>
            <w:tcBorders>
              <w:top w:val="single" w:sz="4" w:space="0" w:color="auto"/>
              <w:left w:val="nil"/>
              <w:bottom w:val="single" w:sz="4" w:space="0" w:color="auto"/>
              <w:right w:val="single" w:sz="4" w:space="0" w:color="auto"/>
            </w:tcBorders>
            <w:shd w:val="clear" w:color="000000" w:fill="EDEDED"/>
            <w:vAlign w:val="center"/>
            <w:hideMark/>
          </w:tcPr>
          <w:p w14:paraId="7522C88A" w14:textId="77777777" w:rsidR="003C4EE5" w:rsidRPr="00FD39D1" w:rsidRDefault="003C4EE5" w:rsidP="003C4EE5">
            <w:pPr>
              <w:spacing w:after="0" w:line="240" w:lineRule="auto"/>
              <w:ind w:left="0"/>
              <w:jc w:val="center"/>
              <w:rPr>
                <w:rFonts w:eastAsia="Times New Roman" w:cs="Arial"/>
                <w:b/>
                <w:sz w:val="20"/>
                <w:szCs w:val="20"/>
                <w:lang w:eastAsia="en-GB"/>
              </w:rPr>
            </w:pPr>
            <w:r w:rsidRPr="00FD39D1">
              <w:rPr>
                <w:rFonts w:eastAsia="Times New Roman" w:cs="Arial"/>
                <w:b/>
                <w:sz w:val="20"/>
                <w:szCs w:val="20"/>
                <w:lang w:eastAsia="en-GB"/>
              </w:rPr>
              <w:t>Source</w:t>
            </w:r>
          </w:p>
        </w:tc>
      </w:tr>
      <w:tr w:rsidR="003C4EE5" w:rsidRPr="00FD39D1" w14:paraId="61F6D28E" w14:textId="77777777" w:rsidTr="003C4EE5">
        <w:trPr>
          <w:trHeight w:val="320"/>
          <w:jc w:val="center"/>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501061CE"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Turbot</w:t>
            </w:r>
          </w:p>
        </w:tc>
        <w:tc>
          <w:tcPr>
            <w:tcW w:w="1417" w:type="dxa"/>
            <w:tcBorders>
              <w:top w:val="nil"/>
              <w:left w:val="nil"/>
              <w:bottom w:val="single" w:sz="4" w:space="0" w:color="auto"/>
              <w:right w:val="single" w:sz="4" w:space="0" w:color="auto"/>
            </w:tcBorders>
            <w:shd w:val="clear" w:color="auto" w:fill="auto"/>
            <w:noWrap/>
            <w:vAlign w:val="center"/>
            <w:hideMark/>
          </w:tcPr>
          <w:p w14:paraId="1F84F7DA"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Teleost</w:t>
            </w:r>
          </w:p>
        </w:tc>
        <w:tc>
          <w:tcPr>
            <w:tcW w:w="987" w:type="dxa"/>
            <w:tcBorders>
              <w:top w:val="nil"/>
              <w:left w:val="nil"/>
              <w:bottom w:val="single" w:sz="4" w:space="0" w:color="auto"/>
              <w:right w:val="single" w:sz="4" w:space="0" w:color="auto"/>
            </w:tcBorders>
            <w:shd w:val="clear" w:color="auto" w:fill="C5E0B3" w:themeFill="accent6" w:themeFillTint="66"/>
            <w:noWrap/>
            <w:vAlign w:val="center"/>
            <w:hideMark/>
          </w:tcPr>
          <w:p w14:paraId="4B251BC5" w14:textId="77777777" w:rsidR="003C4EE5" w:rsidRPr="00FD39D1" w:rsidRDefault="003C4EE5" w:rsidP="003C4EE5">
            <w:pPr>
              <w:spacing w:after="0" w:line="240" w:lineRule="auto"/>
              <w:ind w:left="0"/>
              <w:jc w:val="center"/>
              <w:rPr>
                <w:rFonts w:ascii="Calibri" w:eastAsia="Times New Roman" w:hAnsi="Calibri" w:cs="Times New Roman"/>
                <w:lang w:eastAsia="en-GB"/>
              </w:rPr>
            </w:pPr>
            <w:r w:rsidRPr="00FD39D1">
              <w:rPr>
                <w:rFonts w:ascii="Calibri" w:eastAsia="Times New Roman" w:hAnsi="Calibri" w:cs="Times New Roman"/>
                <w:lang w:eastAsia="en-GB"/>
              </w:rPr>
              <w:t>2</w:t>
            </w:r>
          </w:p>
        </w:tc>
        <w:tc>
          <w:tcPr>
            <w:tcW w:w="992" w:type="dxa"/>
            <w:tcBorders>
              <w:top w:val="nil"/>
              <w:left w:val="nil"/>
              <w:bottom w:val="single" w:sz="4" w:space="0" w:color="auto"/>
              <w:right w:val="single" w:sz="4" w:space="0" w:color="auto"/>
            </w:tcBorders>
            <w:shd w:val="clear" w:color="000000" w:fill="FFE699"/>
            <w:noWrap/>
            <w:vAlign w:val="center"/>
            <w:hideMark/>
          </w:tcPr>
          <w:p w14:paraId="69A72988"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18</w:t>
            </w:r>
          </w:p>
        </w:tc>
        <w:tc>
          <w:tcPr>
            <w:tcW w:w="1140" w:type="dxa"/>
            <w:tcBorders>
              <w:top w:val="nil"/>
              <w:left w:val="nil"/>
              <w:bottom w:val="single" w:sz="4" w:space="0" w:color="auto"/>
              <w:right w:val="single" w:sz="4" w:space="0" w:color="auto"/>
            </w:tcBorders>
            <w:shd w:val="clear" w:color="000000" w:fill="C6E0B4"/>
            <w:noWrap/>
            <w:vAlign w:val="center"/>
            <w:hideMark/>
          </w:tcPr>
          <w:p w14:paraId="4CF145DC"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1,000,000</w:t>
            </w:r>
          </w:p>
        </w:tc>
        <w:tc>
          <w:tcPr>
            <w:tcW w:w="1046" w:type="dxa"/>
            <w:tcBorders>
              <w:top w:val="nil"/>
              <w:left w:val="nil"/>
              <w:bottom w:val="single" w:sz="4" w:space="0" w:color="auto"/>
              <w:right w:val="single" w:sz="4" w:space="0" w:color="auto"/>
            </w:tcBorders>
            <w:shd w:val="clear" w:color="000000" w:fill="C6E0B4"/>
            <w:noWrap/>
            <w:vAlign w:val="center"/>
            <w:hideMark/>
          </w:tcPr>
          <w:p w14:paraId="5F11E1A3"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88</w:t>
            </w:r>
          </w:p>
        </w:tc>
        <w:tc>
          <w:tcPr>
            <w:tcW w:w="1075" w:type="dxa"/>
            <w:tcBorders>
              <w:top w:val="nil"/>
              <w:left w:val="nil"/>
              <w:bottom w:val="single" w:sz="4" w:space="0" w:color="auto"/>
              <w:right w:val="single" w:sz="4" w:space="0" w:color="auto"/>
            </w:tcBorders>
            <w:shd w:val="clear" w:color="000000" w:fill="C6E0B4"/>
            <w:noWrap/>
            <w:vAlign w:val="center"/>
            <w:hideMark/>
          </w:tcPr>
          <w:p w14:paraId="4C0A0673"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34.2</w:t>
            </w:r>
          </w:p>
        </w:tc>
        <w:tc>
          <w:tcPr>
            <w:tcW w:w="1417" w:type="dxa"/>
            <w:tcBorders>
              <w:top w:val="nil"/>
              <w:left w:val="nil"/>
              <w:bottom w:val="single" w:sz="4" w:space="0" w:color="auto"/>
              <w:right w:val="single" w:sz="4" w:space="0" w:color="auto"/>
            </w:tcBorders>
            <w:shd w:val="clear" w:color="000000" w:fill="C6E0B4"/>
            <w:noWrap/>
            <w:vAlign w:val="center"/>
            <w:hideMark/>
          </w:tcPr>
          <w:p w14:paraId="37A65A9F"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Batch-spawner</w:t>
            </w:r>
          </w:p>
        </w:tc>
        <w:tc>
          <w:tcPr>
            <w:tcW w:w="851" w:type="dxa"/>
            <w:tcBorders>
              <w:top w:val="nil"/>
              <w:left w:val="nil"/>
              <w:bottom w:val="single" w:sz="4" w:space="0" w:color="auto"/>
              <w:right w:val="single" w:sz="4" w:space="0" w:color="auto"/>
            </w:tcBorders>
            <w:shd w:val="clear" w:color="000000" w:fill="FF0000"/>
            <w:noWrap/>
            <w:vAlign w:val="center"/>
            <w:hideMark/>
          </w:tcPr>
          <w:p w14:paraId="03EF4E5F"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3.96</w:t>
            </w:r>
          </w:p>
        </w:tc>
        <w:tc>
          <w:tcPr>
            <w:tcW w:w="1281" w:type="dxa"/>
            <w:tcBorders>
              <w:top w:val="nil"/>
              <w:left w:val="nil"/>
              <w:bottom w:val="single" w:sz="4" w:space="0" w:color="auto"/>
              <w:right w:val="single" w:sz="4" w:space="0" w:color="auto"/>
            </w:tcBorders>
            <w:shd w:val="clear" w:color="auto" w:fill="auto"/>
            <w:noWrap/>
            <w:vAlign w:val="center"/>
            <w:hideMark/>
          </w:tcPr>
          <w:p w14:paraId="0E9E465E"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NA</w:t>
            </w:r>
          </w:p>
        </w:tc>
        <w:tc>
          <w:tcPr>
            <w:tcW w:w="1275" w:type="dxa"/>
            <w:tcBorders>
              <w:top w:val="nil"/>
              <w:left w:val="nil"/>
              <w:bottom w:val="single" w:sz="4" w:space="0" w:color="auto"/>
              <w:right w:val="single" w:sz="4" w:space="0" w:color="auto"/>
            </w:tcBorders>
            <w:shd w:val="clear" w:color="auto" w:fill="C45911" w:themeFill="accent2" w:themeFillShade="BF"/>
            <w:noWrap/>
            <w:vAlign w:val="center"/>
            <w:hideMark/>
          </w:tcPr>
          <w:p w14:paraId="68FE2BEF"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1.43</w:t>
            </w:r>
          </w:p>
        </w:tc>
        <w:tc>
          <w:tcPr>
            <w:tcW w:w="2552" w:type="dxa"/>
            <w:tcBorders>
              <w:top w:val="nil"/>
              <w:left w:val="nil"/>
              <w:bottom w:val="single" w:sz="4" w:space="0" w:color="auto"/>
              <w:right w:val="single" w:sz="4" w:space="0" w:color="auto"/>
            </w:tcBorders>
            <w:shd w:val="clear" w:color="auto" w:fill="auto"/>
            <w:noWrap/>
            <w:vAlign w:val="center"/>
            <w:hideMark/>
          </w:tcPr>
          <w:p w14:paraId="79E85AF8"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 xml:space="preserve">Fishbase; Erylmaz and Dalyan, 2015; Heesen </w:t>
            </w:r>
            <w:r w:rsidRPr="00FD39D1">
              <w:rPr>
                <w:rFonts w:ascii="Calibri" w:eastAsia="Times New Roman" w:hAnsi="Calibri" w:cs="Times New Roman"/>
                <w:i/>
                <w:iCs/>
                <w:color w:val="000000"/>
                <w:lang w:eastAsia="en-GB"/>
              </w:rPr>
              <w:t xml:space="preserve">et al, </w:t>
            </w:r>
            <w:r w:rsidRPr="00FD39D1">
              <w:rPr>
                <w:rFonts w:ascii="Calibri" w:eastAsia="Times New Roman" w:hAnsi="Calibri" w:cs="Times New Roman"/>
                <w:color w:val="000000"/>
                <w:lang w:eastAsia="en-GB"/>
              </w:rPr>
              <w:t>2015; WKLIFE, 2017</w:t>
            </w:r>
          </w:p>
        </w:tc>
      </w:tr>
      <w:tr w:rsidR="003C4EE5" w:rsidRPr="00FD39D1" w14:paraId="507B4B88" w14:textId="77777777" w:rsidTr="003C4EE5">
        <w:trPr>
          <w:trHeight w:val="320"/>
          <w:jc w:val="center"/>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54F8722B"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Pollack</w:t>
            </w:r>
          </w:p>
        </w:tc>
        <w:tc>
          <w:tcPr>
            <w:tcW w:w="1417" w:type="dxa"/>
            <w:tcBorders>
              <w:top w:val="nil"/>
              <w:left w:val="nil"/>
              <w:bottom w:val="single" w:sz="4" w:space="0" w:color="auto"/>
              <w:right w:val="single" w:sz="4" w:space="0" w:color="auto"/>
            </w:tcBorders>
            <w:shd w:val="clear" w:color="auto" w:fill="auto"/>
            <w:noWrap/>
            <w:vAlign w:val="center"/>
            <w:hideMark/>
          </w:tcPr>
          <w:p w14:paraId="5A40BAA1"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Teleost</w:t>
            </w:r>
          </w:p>
        </w:tc>
        <w:tc>
          <w:tcPr>
            <w:tcW w:w="987" w:type="dxa"/>
            <w:tcBorders>
              <w:top w:val="nil"/>
              <w:left w:val="nil"/>
              <w:bottom w:val="single" w:sz="4" w:space="0" w:color="auto"/>
              <w:right w:val="single" w:sz="4" w:space="0" w:color="auto"/>
            </w:tcBorders>
            <w:shd w:val="clear" w:color="auto" w:fill="C5E0B3" w:themeFill="accent6" w:themeFillTint="66"/>
            <w:noWrap/>
            <w:vAlign w:val="center"/>
            <w:hideMark/>
          </w:tcPr>
          <w:p w14:paraId="0044989F" w14:textId="77777777" w:rsidR="003C4EE5" w:rsidRPr="00FD39D1" w:rsidRDefault="003C4EE5" w:rsidP="003C4EE5">
            <w:pPr>
              <w:spacing w:after="0" w:line="240" w:lineRule="auto"/>
              <w:ind w:left="0"/>
              <w:jc w:val="center"/>
              <w:rPr>
                <w:rFonts w:ascii="Calibri" w:eastAsia="Times New Roman" w:hAnsi="Calibri" w:cs="Times New Roman"/>
                <w:lang w:eastAsia="en-GB"/>
              </w:rPr>
            </w:pPr>
            <w:r w:rsidRPr="00FD39D1">
              <w:rPr>
                <w:rFonts w:ascii="Calibri" w:eastAsia="Times New Roman" w:hAnsi="Calibri" w:cs="Times New Roman"/>
                <w:lang w:eastAsia="en-GB"/>
              </w:rPr>
              <w:t>3</w:t>
            </w:r>
          </w:p>
        </w:tc>
        <w:tc>
          <w:tcPr>
            <w:tcW w:w="992" w:type="dxa"/>
            <w:tcBorders>
              <w:top w:val="nil"/>
              <w:left w:val="nil"/>
              <w:bottom w:val="single" w:sz="4" w:space="0" w:color="auto"/>
              <w:right w:val="single" w:sz="4" w:space="0" w:color="auto"/>
            </w:tcBorders>
            <w:shd w:val="clear" w:color="000000" w:fill="FFE699"/>
            <w:noWrap/>
            <w:vAlign w:val="center"/>
            <w:hideMark/>
          </w:tcPr>
          <w:p w14:paraId="629FAEFA"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15</w:t>
            </w:r>
          </w:p>
        </w:tc>
        <w:tc>
          <w:tcPr>
            <w:tcW w:w="1140" w:type="dxa"/>
            <w:tcBorders>
              <w:top w:val="nil"/>
              <w:left w:val="nil"/>
              <w:bottom w:val="single" w:sz="4" w:space="0" w:color="auto"/>
              <w:right w:val="single" w:sz="4" w:space="0" w:color="auto"/>
            </w:tcBorders>
            <w:shd w:val="clear" w:color="000000" w:fill="C6E0B4"/>
            <w:noWrap/>
            <w:vAlign w:val="center"/>
            <w:hideMark/>
          </w:tcPr>
          <w:p w14:paraId="230894E6"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p>
        </w:tc>
        <w:tc>
          <w:tcPr>
            <w:tcW w:w="1046" w:type="dxa"/>
            <w:tcBorders>
              <w:top w:val="nil"/>
              <w:left w:val="nil"/>
              <w:bottom w:val="single" w:sz="4" w:space="0" w:color="auto"/>
              <w:right w:val="single" w:sz="4" w:space="0" w:color="auto"/>
            </w:tcBorders>
            <w:shd w:val="clear" w:color="000000" w:fill="FFE699"/>
            <w:noWrap/>
            <w:vAlign w:val="center"/>
            <w:hideMark/>
          </w:tcPr>
          <w:p w14:paraId="1B4508E2"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130</w:t>
            </w:r>
          </w:p>
        </w:tc>
        <w:tc>
          <w:tcPr>
            <w:tcW w:w="1075" w:type="dxa"/>
            <w:tcBorders>
              <w:top w:val="nil"/>
              <w:left w:val="nil"/>
              <w:bottom w:val="single" w:sz="4" w:space="0" w:color="auto"/>
              <w:right w:val="single" w:sz="4" w:space="0" w:color="auto"/>
            </w:tcBorders>
            <w:shd w:val="clear" w:color="000000" w:fill="FFE699"/>
            <w:noWrap/>
            <w:vAlign w:val="center"/>
            <w:hideMark/>
          </w:tcPr>
          <w:p w14:paraId="42728AF6"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46</w:t>
            </w:r>
          </w:p>
        </w:tc>
        <w:tc>
          <w:tcPr>
            <w:tcW w:w="1417" w:type="dxa"/>
            <w:tcBorders>
              <w:top w:val="nil"/>
              <w:left w:val="nil"/>
              <w:bottom w:val="single" w:sz="4" w:space="0" w:color="auto"/>
              <w:right w:val="single" w:sz="4" w:space="0" w:color="auto"/>
            </w:tcBorders>
            <w:shd w:val="clear" w:color="000000" w:fill="C6E0B4"/>
            <w:noWrap/>
            <w:vAlign w:val="center"/>
            <w:hideMark/>
          </w:tcPr>
          <w:p w14:paraId="3F49D66F"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Batch-spawner</w:t>
            </w:r>
          </w:p>
        </w:tc>
        <w:tc>
          <w:tcPr>
            <w:tcW w:w="851" w:type="dxa"/>
            <w:tcBorders>
              <w:top w:val="nil"/>
              <w:left w:val="nil"/>
              <w:bottom w:val="single" w:sz="4" w:space="0" w:color="auto"/>
              <w:right w:val="single" w:sz="4" w:space="0" w:color="auto"/>
            </w:tcBorders>
            <w:shd w:val="clear" w:color="000000" w:fill="FF0000"/>
            <w:noWrap/>
            <w:vAlign w:val="center"/>
            <w:hideMark/>
          </w:tcPr>
          <w:p w14:paraId="0EB43CB7"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4.3</w:t>
            </w:r>
          </w:p>
        </w:tc>
        <w:tc>
          <w:tcPr>
            <w:tcW w:w="1281" w:type="dxa"/>
            <w:tcBorders>
              <w:top w:val="nil"/>
              <w:left w:val="nil"/>
              <w:bottom w:val="single" w:sz="4" w:space="0" w:color="auto"/>
              <w:right w:val="single" w:sz="4" w:space="0" w:color="auto"/>
            </w:tcBorders>
            <w:shd w:val="clear" w:color="auto" w:fill="auto"/>
            <w:noWrap/>
            <w:vAlign w:val="center"/>
            <w:hideMark/>
          </w:tcPr>
          <w:p w14:paraId="3389EA89"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NA</w:t>
            </w:r>
          </w:p>
        </w:tc>
        <w:tc>
          <w:tcPr>
            <w:tcW w:w="1275" w:type="dxa"/>
            <w:tcBorders>
              <w:top w:val="nil"/>
              <w:left w:val="nil"/>
              <w:bottom w:val="single" w:sz="4" w:space="0" w:color="auto"/>
              <w:right w:val="single" w:sz="4" w:space="0" w:color="auto"/>
            </w:tcBorders>
            <w:shd w:val="clear" w:color="auto" w:fill="C45911" w:themeFill="accent2" w:themeFillShade="BF"/>
            <w:noWrap/>
            <w:vAlign w:val="center"/>
            <w:hideMark/>
          </w:tcPr>
          <w:p w14:paraId="4CF74A22"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1.71</w:t>
            </w:r>
          </w:p>
        </w:tc>
        <w:tc>
          <w:tcPr>
            <w:tcW w:w="2552" w:type="dxa"/>
            <w:tcBorders>
              <w:top w:val="nil"/>
              <w:left w:val="nil"/>
              <w:bottom w:val="single" w:sz="4" w:space="0" w:color="auto"/>
              <w:right w:val="single" w:sz="4" w:space="0" w:color="auto"/>
            </w:tcBorders>
            <w:shd w:val="clear" w:color="auto" w:fill="auto"/>
            <w:noWrap/>
            <w:vAlign w:val="center"/>
            <w:hideMark/>
          </w:tcPr>
          <w:p w14:paraId="45E3D551"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 xml:space="preserve">Fishbase; Heino </w:t>
            </w:r>
            <w:r w:rsidRPr="00FD39D1">
              <w:rPr>
                <w:rFonts w:ascii="Calibri" w:eastAsia="Times New Roman" w:hAnsi="Calibri" w:cs="Times New Roman"/>
                <w:i/>
                <w:iCs/>
                <w:color w:val="000000"/>
                <w:lang w:eastAsia="en-GB"/>
              </w:rPr>
              <w:t xml:space="preserve">et al., </w:t>
            </w:r>
            <w:r w:rsidRPr="00FD39D1">
              <w:rPr>
                <w:rFonts w:ascii="Calibri" w:eastAsia="Times New Roman" w:hAnsi="Calibri" w:cs="Times New Roman"/>
                <w:color w:val="000000"/>
                <w:lang w:eastAsia="en-GB"/>
              </w:rPr>
              <w:t>2012;  Heesen et al, 2015, ICES, 2017</w:t>
            </w:r>
          </w:p>
        </w:tc>
      </w:tr>
      <w:tr w:rsidR="003C4EE5" w:rsidRPr="00FD39D1" w14:paraId="0E0732BE" w14:textId="77777777" w:rsidTr="003C4EE5">
        <w:trPr>
          <w:trHeight w:val="320"/>
          <w:jc w:val="center"/>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250D88B5"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Lemon sole</w:t>
            </w:r>
          </w:p>
        </w:tc>
        <w:tc>
          <w:tcPr>
            <w:tcW w:w="1417" w:type="dxa"/>
            <w:tcBorders>
              <w:top w:val="nil"/>
              <w:left w:val="nil"/>
              <w:bottom w:val="single" w:sz="4" w:space="0" w:color="auto"/>
              <w:right w:val="single" w:sz="4" w:space="0" w:color="auto"/>
            </w:tcBorders>
            <w:shd w:val="clear" w:color="auto" w:fill="auto"/>
            <w:noWrap/>
            <w:vAlign w:val="center"/>
            <w:hideMark/>
          </w:tcPr>
          <w:p w14:paraId="13425B9A"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Teleost</w:t>
            </w:r>
          </w:p>
        </w:tc>
        <w:tc>
          <w:tcPr>
            <w:tcW w:w="987" w:type="dxa"/>
            <w:tcBorders>
              <w:top w:val="nil"/>
              <w:left w:val="nil"/>
              <w:bottom w:val="single" w:sz="4" w:space="0" w:color="auto"/>
              <w:right w:val="single" w:sz="4" w:space="0" w:color="auto"/>
            </w:tcBorders>
            <w:shd w:val="clear" w:color="000000" w:fill="C6E0B4"/>
            <w:noWrap/>
            <w:vAlign w:val="center"/>
            <w:hideMark/>
          </w:tcPr>
          <w:p w14:paraId="73C0E03C"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w:t>
            </w:r>
          </w:p>
        </w:tc>
        <w:tc>
          <w:tcPr>
            <w:tcW w:w="992" w:type="dxa"/>
            <w:tcBorders>
              <w:top w:val="nil"/>
              <w:left w:val="nil"/>
              <w:bottom w:val="single" w:sz="4" w:space="0" w:color="auto"/>
              <w:right w:val="single" w:sz="4" w:space="0" w:color="auto"/>
            </w:tcBorders>
            <w:shd w:val="clear" w:color="000000" w:fill="FFE699"/>
            <w:noWrap/>
            <w:vAlign w:val="center"/>
            <w:hideMark/>
          </w:tcPr>
          <w:p w14:paraId="49674DF7"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23</w:t>
            </w:r>
          </w:p>
        </w:tc>
        <w:tc>
          <w:tcPr>
            <w:tcW w:w="1140" w:type="dxa"/>
            <w:tcBorders>
              <w:top w:val="nil"/>
              <w:left w:val="nil"/>
              <w:bottom w:val="single" w:sz="4" w:space="0" w:color="auto"/>
              <w:right w:val="single" w:sz="4" w:space="0" w:color="auto"/>
            </w:tcBorders>
            <w:shd w:val="clear" w:color="000000" w:fill="C6E0B4"/>
            <w:noWrap/>
            <w:vAlign w:val="center"/>
            <w:hideMark/>
          </w:tcPr>
          <w:p w14:paraId="1B26D36D"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672,000</w:t>
            </w:r>
          </w:p>
        </w:tc>
        <w:tc>
          <w:tcPr>
            <w:tcW w:w="1046" w:type="dxa"/>
            <w:tcBorders>
              <w:top w:val="nil"/>
              <w:left w:val="nil"/>
              <w:bottom w:val="single" w:sz="4" w:space="0" w:color="auto"/>
              <w:right w:val="single" w:sz="4" w:space="0" w:color="auto"/>
            </w:tcBorders>
            <w:shd w:val="clear" w:color="000000" w:fill="C6E0B4"/>
            <w:noWrap/>
            <w:vAlign w:val="center"/>
            <w:hideMark/>
          </w:tcPr>
          <w:p w14:paraId="3B89B625"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66</w:t>
            </w:r>
          </w:p>
        </w:tc>
        <w:tc>
          <w:tcPr>
            <w:tcW w:w="1075" w:type="dxa"/>
            <w:tcBorders>
              <w:top w:val="nil"/>
              <w:left w:val="nil"/>
              <w:bottom w:val="single" w:sz="4" w:space="0" w:color="auto"/>
              <w:right w:val="single" w:sz="4" w:space="0" w:color="auto"/>
            </w:tcBorders>
            <w:shd w:val="clear" w:color="000000" w:fill="C6E0B4"/>
            <w:noWrap/>
            <w:vAlign w:val="center"/>
            <w:hideMark/>
          </w:tcPr>
          <w:p w14:paraId="2D1D701A"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27</w:t>
            </w:r>
          </w:p>
        </w:tc>
        <w:tc>
          <w:tcPr>
            <w:tcW w:w="1417" w:type="dxa"/>
            <w:tcBorders>
              <w:top w:val="nil"/>
              <w:left w:val="nil"/>
              <w:bottom w:val="single" w:sz="4" w:space="0" w:color="auto"/>
              <w:right w:val="single" w:sz="4" w:space="0" w:color="auto"/>
            </w:tcBorders>
            <w:shd w:val="clear" w:color="000000" w:fill="C6E0B4"/>
            <w:noWrap/>
            <w:vAlign w:val="center"/>
            <w:hideMark/>
          </w:tcPr>
          <w:p w14:paraId="5D6253EF"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Batch-spawner</w:t>
            </w:r>
          </w:p>
        </w:tc>
        <w:tc>
          <w:tcPr>
            <w:tcW w:w="851" w:type="dxa"/>
            <w:tcBorders>
              <w:top w:val="nil"/>
              <w:left w:val="nil"/>
              <w:bottom w:val="single" w:sz="4" w:space="0" w:color="auto"/>
              <w:right w:val="single" w:sz="4" w:space="0" w:color="auto"/>
            </w:tcBorders>
            <w:shd w:val="clear" w:color="000000" w:fill="FFE699"/>
            <w:noWrap/>
            <w:vAlign w:val="center"/>
            <w:hideMark/>
          </w:tcPr>
          <w:p w14:paraId="203AE466"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3.21</w:t>
            </w:r>
          </w:p>
        </w:tc>
        <w:tc>
          <w:tcPr>
            <w:tcW w:w="1281" w:type="dxa"/>
            <w:tcBorders>
              <w:top w:val="nil"/>
              <w:left w:val="nil"/>
              <w:bottom w:val="single" w:sz="4" w:space="0" w:color="auto"/>
              <w:right w:val="single" w:sz="4" w:space="0" w:color="auto"/>
            </w:tcBorders>
            <w:shd w:val="clear" w:color="auto" w:fill="auto"/>
            <w:noWrap/>
            <w:vAlign w:val="center"/>
            <w:hideMark/>
          </w:tcPr>
          <w:p w14:paraId="0E58D81A"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NA</w:t>
            </w:r>
          </w:p>
        </w:tc>
        <w:tc>
          <w:tcPr>
            <w:tcW w:w="1275" w:type="dxa"/>
            <w:tcBorders>
              <w:top w:val="nil"/>
              <w:left w:val="nil"/>
              <w:bottom w:val="single" w:sz="4" w:space="0" w:color="auto"/>
              <w:right w:val="single" w:sz="4" w:space="0" w:color="auto"/>
            </w:tcBorders>
            <w:shd w:val="clear" w:color="auto" w:fill="C45911" w:themeFill="accent2" w:themeFillShade="BF"/>
            <w:noWrap/>
            <w:vAlign w:val="center"/>
            <w:hideMark/>
          </w:tcPr>
          <w:p w14:paraId="01671605"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1.43</w:t>
            </w:r>
          </w:p>
        </w:tc>
        <w:tc>
          <w:tcPr>
            <w:tcW w:w="2552" w:type="dxa"/>
            <w:tcBorders>
              <w:top w:val="nil"/>
              <w:left w:val="nil"/>
              <w:bottom w:val="single" w:sz="4" w:space="0" w:color="auto"/>
              <w:right w:val="single" w:sz="4" w:space="0" w:color="auto"/>
            </w:tcBorders>
            <w:shd w:val="clear" w:color="auto" w:fill="auto"/>
            <w:noWrap/>
            <w:vAlign w:val="center"/>
            <w:hideMark/>
          </w:tcPr>
          <w:p w14:paraId="6AC4769C"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Fishbase; Heesen et al, 2015; WKLIFE, 2017</w:t>
            </w:r>
          </w:p>
        </w:tc>
      </w:tr>
      <w:tr w:rsidR="003C4EE5" w:rsidRPr="00FD39D1" w14:paraId="74E77046" w14:textId="77777777" w:rsidTr="003C4EE5">
        <w:trPr>
          <w:trHeight w:val="320"/>
          <w:jc w:val="center"/>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45324976"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Megrims</w:t>
            </w:r>
          </w:p>
        </w:tc>
        <w:tc>
          <w:tcPr>
            <w:tcW w:w="1417" w:type="dxa"/>
            <w:tcBorders>
              <w:top w:val="nil"/>
              <w:left w:val="nil"/>
              <w:bottom w:val="single" w:sz="4" w:space="0" w:color="auto"/>
              <w:right w:val="single" w:sz="4" w:space="0" w:color="auto"/>
            </w:tcBorders>
            <w:shd w:val="clear" w:color="auto" w:fill="auto"/>
            <w:noWrap/>
            <w:vAlign w:val="center"/>
            <w:hideMark/>
          </w:tcPr>
          <w:p w14:paraId="353914AD"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Teleost</w:t>
            </w:r>
          </w:p>
        </w:tc>
        <w:tc>
          <w:tcPr>
            <w:tcW w:w="987" w:type="dxa"/>
            <w:tcBorders>
              <w:top w:val="nil"/>
              <w:left w:val="nil"/>
              <w:bottom w:val="single" w:sz="4" w:space="0" w:color="auto"/>
              <w:right w:val="single" w:sz="4" w:space="0" w:color="auto"/>
            </w:tcBorders>
            <w:shd w:val="clear" w:color="000000" w:fill="C6E0B4"/>
            <w:noWrap/>
            <w:vAlign w:val="center"/>
            <w:hideMark/>
          </w:tcPr>
          <w:p w14:paraId="69DAFE65"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w:t>
            </w:r>
          </w:p>
        </w:tc>
        <w:tc>
          <w:tcPr>
            <w:tcW w:w="992" w:type="dxa"/>
            <w:tcBorders>
              <w:top w:val="nil"/>
              <w:left w:val="nil"/>
              <w:bottom w:val="single" w:sz="4" w:space="0" w:color="auto"/>
              <w:right w:val="single" w:sz="4" w:space="0" w:color="auto"/>
            </w:tcBorders>
            <w:shd w:val="clear" w:color="000000" w:fill="FFE699"/>
            <w:noWrap/>
            <w:vAlign w:val="center"/>
            <w:hideMark/>
          </w:tcPr>
          <w:p w14:paraId="115E68D2"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16</w:t>
            </w:r>
          </w:p>
        </w:tc>
        <w:tc>
          <w:tcPr>
            <w:tcW w:w="1140" w:type="dxa"/>
            <w:tcBorders>
              <w:top w:val="nil"/>
              <w:left w:val="nil"/>
              <w:bottom w:val="single" w:sz="4" w:space="0" w:color="auto"/>
              <w:right w:val="single" w:sz="4" w:space="0" w:color="auto"/>
            </w:tcBorders>
            <w:shd w:val="clear" w:color="000000" w:fill="C6E0B4"/>
            <w:noWrap/>
            <w:vAlign w:val="center"/>
            <w:hideMark/>
          </w:tcPr>
          <w:p w14:paraId="6DE80AFD"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27,000 - 640,000</w:t>
            </w:r>
          </w:p>
        </w:tc>
        <w:tc>
          <w:tcPr>
            <w:tcW w:w="1046" w:type="dxa"/>
            <w:tcBorders>
              <w:top w:val="nil"/>
              <w:left w:val="nil"/>
              <w:bottom w:val="single" w:sz="4" w:space="0" w:color="auto"/>
              <w:right w:val="single" w:sz="4" w:space="0" w:color="auto"/>
            </w:tcBorders>
            <w:shd w:val="clear" w:color="000000" w:fill="C6E0B4"/>
            <w:noWrap/>
            <w:vAlign w:val="center"/>
            <w:hideMark/>
          </w:tcPr>
          <w:p w14:paraId="79FA8FC8"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60</w:t>
            </w:r>
          </w:p>
        </w:tc>
        <w:tc>
          <w:tcPr>
            <w:tcW w:w="1075" w:type="dxa"/>
            <w:tcBorders>
              <w:top w:val="nil"/>
              <w:left w:val="nil"/>
              <w:bottom w:val="single" w:sz="4" w:space="0" w:color="auto"/>
              <w:right w:val="single" w:sz="4" w:space="0" w:color="auto"/>
            </w:tcBorders>
            <w:shd w:val="clear" w:color="000000" w:fill="C6E0B4"/>
            <w:noWrap/>
            <w:vAlign w:val="center"/>
            <w:hideMark/>
          </w:tcPr>
          <w:p w14:paraId="1C6ADFDF"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23</w:t>
            </w:r>
          </w:p>
        </w:tc>
        <w:tc>
          <w:tcPr>
            <w:tcW w:w="1417" w:type="dxa"/>
            <w:tcBorders>
              <w:top w:val="nil"/>
              <w:left w:val="nil"/>
              <w:bottom w:val="single" w:sz="4" w:space="0" w:color="auto"/>
              <w:right w:val="single" w:sz="4" w:space="0" w:color="auto"/>
            </w:tcBorders>
            <w:shd w:val="clear" w:color="000000" w:fill="C6E0B4"/>
            <w:noWrap/>
            <w:vAlign w:val="center"/>
            <w:hideMark/>
          </w:tcPr>
          <w:p w14:paraId="4B1B3D5C"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Batch-spawner</w:t>
            </w:r>
          </w:p>
        </w:tc>
        <w:tc>
          <w:tcPr>
            <w:tcW w:w="851" w:type="dxa"/>
            <w:tcBorders>
              <w:top w:val="nil"/>
              <w:left w:val="nil"/>
              <w:bottom w:val="single" w:sz="4" w:space="0" w:color="auto"/>
              <w:right w:val="single" w:sz="4" w:space="0" w:color="auto"/>
            </w:tcBorders>
            <w:shd w:val="clear" w:color="000000" w:fill="FF0000"/>
            <w:noWrap/>
            <w:vAlign w:val="center"/>
            <w:hideMark/>
          </w:tcPr>
          <w:p w14:paraId="6F0DD9F8"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4.3</w:t>
            </w:r>
          </w:p>
        </w:tc>
        <w:tc>
          <w:tcPr>
            <w:tcW w:w="1281" w:type="dxa"/>
            <w:tcBorders>
              <w:top w:val="nil"/>
              <w:left w:val="nil"/>
              <w:bottom w:val="single" w:sz="4" w:space="0" w:color="auto"/>
              <w:right w:val="single" w:sz="4" w:space="0" w:color="auto"/>
            </w:tcBorders>
            <w:shd w:val="clear" w:color="auto" w:fill="auto"/>
            <w:noWrap/>
            <w:vAlign w:val="center"/>
            <w:hideMark/>
          </w:tcPr>
          <w:p w14:paraId="01700059"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NA</w:t>
            </w:r>
          </w:p>
        </w:tc>
        <w:tc>
          <w:tcPr>
            <w:tcW w:w="1275" w:type="dxa"/>
            <w:tcBorders>
              <w:top w:val="nil"/>
              <w:left w:val="nil"/>
              <w:bottom w:val="single" w:sz="4" w:space="0" w:color="auto"/>
              <w:right w:val="single" w:sz="4" w:space="0" w:color="auto"/>
            </w:tcBorders>
            <w:shd w:val="clear" w:color="auto" w:fill="C45911" w:themeFill="accent2" w:themeFillShade="BF"/>
            <w:noWrap/>
            <w:vAlign w:val="center"/>
            <w:hideMark/>
          </w:tcPr>
          <w:p w14:paraId="40CA168C"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1.43</w:t>
            </w:r>
          </w:p>
        </w:tc>
        <w:tc>
          <w:tcPr>
            <w:tcW w:w="2552" w:type="dxa"/>
            <w:tcBorders>
              <w:top w:val="nil"/>
              <w:left w:val="nil"/>
              <w:bottom w:val="single" w:sz="4" w:space="0" w:color="auto"/>
              <w:right w:val="single" w:sz="4" w:space="0" w:color="auto"/>
            </w:tcBorders>
            <w:shd w:val="clear" w:color="auto" w:fill="auto"/>
            <w:noWrap/>
            <w:vAlign w:val="center"/>
            <w:hideMark/>
          </w:tcPr>
          <w:p w14:paraId="23CFC5E4"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Fishbase; WKLIFE, 2017</w:t>
            </w:r>
          </w:p>
        </w:tc>
      </w:tr>
      <w:tr w:rsidR="003C4EE5" w:rsidRPr="00FD39D1" w14:paraId="2B2A8B0C" w14:textId="77777777" w:rsidTr="003C4EE5">
        <w:trPr>
          <w:trHeight w:val="320"/>
          <w:jc w:val="center"/>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6DCB3353"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European plaice</w:t>
            </w:r>
          </w:p>
        </w:tc>
        <w:tc>
          <w:tcPr>
            <w:tcW w:w="1417" w:type="dxa"/>
            <w:tcBorders>
              <w:top w:val="nil"/>
              <w:left w:val="nil"/>
              <w:bottom w:val="single" w:sz="4" w:space="0" w:color="auto"/>
              <w:right w:val="single" w:sz="4" w:space="0" w:color="auto"/>
            </w:tcBorders>
            <w:shd w:val="clear" w:color="auto" w:fill="auto"/>
            <w:noWrap/>
            <w:vAlign w:val="center"/>
            <w:hideMark/>
          </w:tcPr>
          <w:p w14:paraId="277CE7C5"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Teleost</w:t>
            </w:r>
          </w:p>
        </w:tc>
        <w:tc>
          <w:tcPr>
            <w:tcW w:w="987" w:type="dxa"/>
            <w:tcBorders>
              <w:top w:val="nil"/>
              <w:left w:val="nil"/>
              <w:bottom w:val="single" w:sz="4" w:space="0" w:color="auto"/>
              <w:right w:val="single" w:sz="4" w:space="0" w:color="auto"/>
            </w:tcBorders>
            <w:shd w:val="clear" w:color="000000" w:fill="C6E0B4"/>
            <w:noWrap/>
            <w:vAlign w:val="center"/>
            <w:hideMark/>
          </w:tcPr>
          <w:p w14:paraId="7DD44AB4"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2.7</w:t>
            </w:r>
          </w:p>
        </w:tc>
        <w:tc>
          <w:tcPr>
            <w:tcW w:w="992" w:type="dxa"/>
            <w:tcBorders>
              <w:top w:val="nil"/>
              <w:left w:val="nil"/>
              <w:bottom w:val="single" w:sz="4" w:space="0" w:color="auto"/>
              <w:right w:val="single" w:sz="4" w:space="0" w:color="auto"/>
            </w:tcBorders>
            <w:shd w:val="clear" w:color="000000" w:fill="FF3300"/>
            <w:noWrap/>
            <w:vAlign w:val="center"/>
            <w:hideMark/>
          </w:tcPr>
          <w:p w14:paraId="5442C8EF"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30</w:t>
            </w:r>
          </w:p>
        </w:tc>
        <w:tc>
          <w:tcPr>
            <w:tcW w:w="1140" w:type="dxa"/>
            <w:tcBorders>
              <w:top w:val="nil"/>
              <w:left w:val="nil"/>
              <w:bottom w:val="single" w:sz="4" w:space="0" w:color="auto"/>
              <w:right w:val="single" w:sz="4" w:space="0" w:color="auto"/>
            </w:tcBorders>
            <w:shd w:val="clear" w:color="000000" w:fill="C6E0B4"/>
            <w:noWrap/>
            <w:vAlign w:val="center"/>
            <w:hideMark/>
          </w:tcPr>
          <w:p w14:paraId="2123683F"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700,000</w:t>
            </w:r>
          </w:p>
        </w:tc>
        <w:tc>
          <w:tcPr>
            <w:tcW w:w="1046" w:type="dxa"/>
            <w:tcBorders>
              <w:top w:val="nil"/>
              <w:left w:val="nil"/>
              <w:bottom w:val="single" w:sz="4" w:space="0" w:color="auto"/>
              <w:right w:val="single" w:sz="4" w:space="0" w:color="auto"/>
            </w:tcBorders>
            <w:shd w:val="clear" w:color="000000" w:fill="C6E0B4"/>
            <w:noWrap/>
            <w:vAlign w:val="center"/>
            <w:hideMark/>
          </w:tcPr>
          <w:p w14:paraId="6662F02F"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91</w:t>
            </w:r>
          </w:p>
        </w:tc>
        <w:tc>
          <w:tcPr>
            <w:tcW w:w="1075" w:type="dxa"/>
            <w:tcBorders>
              <w:top w:val="nil"/>
              <w:left w:val="nil"/>
              <w:bottom w:val="single" w:sz="4" w:space="0" w:color="auto"/>
              <w:right w:val="single" w:sz="4" w:space="0" w:color="auto"/>
            </w:tcBorders>
            <w:shd w:val="clear" w:color="000000" w:fill="C6E0B4"/>
            <w:noWrap/>
            <w:vAlign w:val="center"/>
            <w:hideMark/>
          </w:tcPr>
          <w:p w14:paraId="7CA516DC"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22.9</w:t>
            </w:r>
          </w:p>
        </w:tc>
        <w:tc>
          <w:tcPr>
            <w:tcW w:w="1417" w:type="dxa"/>
            <w:tcBorders>
              <w:top w:val="nil"/>
              <w:left w:val="nil"/>
              <w:bottom w:val="single" w:sz="4" w:space="0" w:color="auto"/>
              <w:right w:val="single" w:sz="4" w:space="0" w:color="auto"/>
            </w:tcBorders>
            <w:shd w:val="clear" w:color="000000" w:fill="C6E0B4"/>
            <w:noWrap/>
            <w:vAlign w:val="center"/>
            <w:hideMark/>
          </w:tcPr>
          <w:p w14:paraId="646AE351"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Batch-spawner</w:t>
            </w:r>
          </w:p>
        </w:tc>
        <w:tc>
          <w:tcPr>
            <w:tcW w:w="851" w:type="dxa"/>
            <w:tcBorders>
              <w:top w:val="nil"/>
              <w:left w:val="nil"/>
              <w:bottom w:val="single" w:sz="4" w:space="0" w:color="auto"/>
              <w:right w:val="single" w:sz="4" w:space="0" w:color="auto"/>
            </w:tcBorders>
            <w:shd w:val="clear" w:color="000000" w:fill="FFE699"/>
            <w:noWrap/>
            <w:vAlign w:val="center"/>
            <w:hideMark/>
          </w:tcPr>
          <w:p w14:paraId="739F7BC1"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3.2</w:t>
            </w:r>
          </w:p>
        </w:tc>
        <w:tc>
          <w:tcPr>
            <w:tcW w:w="1281" w:type="dxa"/>
            <w:tcBorders>
              <w:top w:val="nil"/>
              <w:left w:val="nil"/>
              <w:bottom w:val="single" w:sz="4" w:space="0" w:color="auto"/>
              <w:right w:val="single" w:sz="4" w:space="0" w:color="auto"/>
            </w:tcBorders>
            <w:shd w:val="clear" w:color="auto" w:fill="auto"/>
            <w:noWrap/>
            <w:vAlign w:val="center"/>
            <w:hideMark/>
          </w:tcPr>
          <w:p w14:paraId="485B9971"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NA</w:t>
            </w:r>
          </w:p>
        </w:tc>
        <w:tc>
          <w:tcPr>
            <w:tcW w:w="1275" w:type="dxa"/>
            <w:tcBorders>
              <w:top w:val="nil"/>
              <w:left w:val="nil"/>
              <w:bottom w:val="single" w:sz="4" w:space="0" w:color="auto"/>
              <w:right w:val="single" w:sz="4" w:space="0" w:color="auto"/>
            </w:tcBorders>
            <w:shd w:val="clear" w:color="auto" w:fill="C45911" w:themeFill="accent2" w:themeFillShade="BF"/>
            <w:noWrap/>
            <w:vAlign w:val="center"/>
            <w:hideMark/>
          </w:tcPr>
          <w:p w14:paraId="7D1A677A"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1.43</w:t>
            </w:r>
          </w:p>
        </w:tc>
        <w:tc>
          <w:tcPr>
            <w:tcW w:w="2552" w:type="dxa"/>
            <w:tcBorders>
              <w:top w:val="nil"/>
              <w:left w:val="nil"/>
              <w:bottom w:val="single" w:sz="4" w:space="0" w:color="auto"/>
              <w:right w:val="single" w:sz="4" w:space="0" w:color="auto"/>
            </w:tcBorders>
            <w:shd w:val="clear" w:color="auto" w:fill="auto"/>
            <w:noWrap/>
            <w:vAlign w:val="center"/>
            <w:hideMark/>
          </w:tcPr>
          <w:p w14:paraId="7900B4F1"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Fishbase; Heesen et al, 2015; WKLIFE, 2017</w:t>
            </w:r>
          </w:p>
        </w:tc>
      </w:tr>
      <w:tr w:rsidR="003C4EE5" w:rsidRPr="00FD39D1" w14:paraId="4DF66C22" w14:textId="77777777" w:rsidTr="003C4EE5">
        <w:trPr>
          <w:trHeight w:val="320"/>
          <w:jc w:val="center"/>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1A250AD4"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Dover sole</w:t>
            </w:r>
          </w:p>
        </w:tc>
        <w:tc>
          <w:tcPr>
            <w:tcW w:w="1417" w:type="dxa"/>
            <w:tcBorders>
              <w:top w:val="nil"/>
              <w:left w:val="nil"/>
              <w:bottom w:val="single" w:sz="4" w:space="0" w:color="auto"/>
              <w:right w:val="single" w:sz="4" w:space="0" w:color="auto"/>
            </w:tcBorders>
            <w:shd w:val="clear" w:color="auto" w:fill="auto"/>
            <w:noWrap/>
            <w:vAlign w:val="center"/>
            <w:hideMark/>
          </w:tcPr>
          <w:p w14:paraId="1A1D14B9"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Teleost</w:t>
            </w:r>
          </w:p>
        </w:tc>
        <w:tc>
          <w:tcPr>
            <w:tcW w:w="987" w:type="dxa"/>
            <w:tcBorders>
              <w:top w:val="nil"/>
              <w:left w:val="nil"/>
              <w:bottom w:val="single" w:sz="4" w:space="0" w:color="auto"/>
              <w:right w:val="single" w:sz="4" w:space="0" w:color="auto"/>
            </w:tcBorders>
            <w:shd w:val="clear" w:color="000000" w:fill="C6E0B4"/>
            <w:noWrap/>
            <w:vAlign w:val="center"/>
            <w:hideMark/>
          </w:tcPr>
          <w:p w14:paraId="68B0CF67"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w:t>
            </w:r>
          </w:p>
        </w:tc>
        <w:tc>
          <w:tcPr>
            <w:tcW w:w="992" w:type="dxa"/>
            <w:tcBorders>
              <w:top w:val="nil"/>
              <w:left w:val="nil"/>
              <w:bottom w:val="single" w:sz="4" w:space="0" w:color="auto"/>
              <w:right w:val="single" w:sz="4" w:space="0" w:color="auto"/>
            </w:tcBorders>
            <w:shd w:val="clear" w:color="000000" w:fill="FF3300"/>
            <w:noWrap/>
            <w:vAlign w:val="center"/>
            <w:hideMark/>
          </w:tcPr>
          <w:p w14:paraId="62118638"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40</w:t>
            </w:r>
          </w:p>
        </w:tc>
        <w:tc>
          <w:tcPr>
            <w:tcW w:w="1140" w:type="dxa"/>
            <w:tcBorders>
              <w:top w:val="nil"/>
              <w:left w:val="nil"/>
              <w:bottom w:val="single" w:sz="4" w:space="0" w:color="auto"/>
              <w:right w:val="single" w:sz="4" w:space="0" w:color="auto"/>
            </w:tcBorders>
            <w:shd w:val="clear" w:color="000000" w:fill="C6E0B4"/>
            <w:noWrap/>
            <w:vAlign w:val="center"/>
            <w:hideMark/>
          </w:tcPr>
          <w:p w14:paraId="55571072"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350,000</w:t>
            </w:r>
          </w:p>
        </w:tc>
        <w:tc>
          <w:tcPr>
            <w:tcW w:w="1046" w:type="dxa"/>
            <w:tcBorders>
              <w:top w:val="nil"/>
              <w:left w:val="nil"/>
              <w:bottom w:val="single" w:sz="4" w:space="0" w:color="auto"/>
              <w:right w:val="single" w:sz="4" w:space="0" w:color="auto"/>
            </w:tcBorders>
            <w:shd w:val="clear" w:color="000000" w:fill="C6E0B4"/>
            <w:noWrap/>
            <w:vAlign w:val="center"/>
            <w:hideMark/>
          </w:tcPr>
          <w:p w14:paraId="081EDA28"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70</w:t>
            </w:r>
          </w:p>
        </w:tc>
        <w:tc>
          <w:tcPr>
            <w:tcW w:w="1075" w:type="dxa"/>
            <w:tcBorders>
              <w:top w:val="nil"/>
              <w:left w:val="nil"/>
              <w:bottom w:val="single" w:sz="4" w:space="0" w:color="auto"/>
              <w:right w:val="single" w:sz="4" w:space="0" w:color="auto"/>
            </w:tcBorders>
            <w:shd w:val="clear" w:color="000000" w:fill="C6E0B4"/>
            <w:noWrap/>
            <w:vAlign w:val="center"/>
            <w:hideMark/>
          </w:tcPr>
          <w:p w14:paraId="22A3E3DC"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27</w:t>
            </w:r>
          </w:p>
        </w:tc>
        <w:tc>
          <w:tcPr>
            <w:tcW w:w="1417" w:type="dxa"/>
            <w:tcBorders>
              <w:top w:val="nil"/>
              <w:left w:val="nil"/>
              <w:bottom w:val="single" w:sz="4" w:space="0" w:color="auto"/>
              <w:right w:val="single" w:sz="4" w:space="0" w:color="auto"/>
            </w:tcBorders>
            <w:shd w:val="clear" w:color="000000" w:fill="C6E0B4"/>
            <w:noWrap/>
            <w:vAlign w:val="center"/>
            <w:hideMark/>
          </w:tcPr>
          <w:p w14:paraId="046932A9"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Batch-spawner</w:t>
            </w:r>
          </w:p>
        </w:tc>
        <w:tc>
          <w:tcPr>
            <w:tcW w:w="851" w:type="dxa"/>
            <w:tcBorders>
              <w:top w:val="nil"/>
              <w:left w:val="nil"/>
              <w:bottom w:val="single" w:sz="4" w:space="0" w:color="auto"/>
              <w:right w:val="single" w:sz="4" w:space="0" w:color="auto"/>
            </w:tcBorders>
            <w:shd w:val="clear" w:color="000000" w:fill="FF0000"/>
            <w:noWrap/>
            <w:vAlign w:val="center"/>
            <w:hideMark/>
          </w:tcPr>
          <w:p w14:paraId="52C938A9"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3.3</w:t>
            </w:r>
          </w:p>
        </w:tc>
        <w:tc>
          <w:tcPr>
            <w:tcW w:w="1281" w:type="dxa"/>
            <w:tcBorders>
              <w:top w:val="nil"/>
              <w:left w:val="nil"/>
              <w:bottom w:val="single" w:sz="4" w:space="0" w:color="auto"/>
              <w:right w:val="single" w:sz="4" w:space="0" w:color="auto"/>
            </w:tcBorders>
            <w:shd w:val="clear" w:color="auto" w:fill="auto"/>
            <w:noWrap/>
            <w:vAlign w:val="center"/>
            <w:hideMark/>
          </w:tcPr>
          <w:p w14:paraId="0C8F9F3D"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NA</w:t>
            </w:r>
          </w:p>
        </w:tc>
        <w:tc>
          <w:tcPr>
            <w:tcW w:w="1275" w:type="dxa"/>
            <w:tcBorders>
              <w:top w:val="nil"/>
              <w:left w:val="nil"/>
              <w:bottom w:val="single" w:sz="4" w:space="0" w:color="auto"/>
              <w:right w:val="single" w:sz="4" w:space="0" w:color="auto"/>
            </w:tcBorders>
            <w:shd w:val="clear" w:color="auto" w:fill="C45911" w:themeFill="accent2" w:themeFillShade="BF"/>
            <w:noWrap/>
            <w:vAlign w:val="center"/>
            <w:hideMark/>
          </w:tcPr>
          <w:p w14:paraId="7CDC9397"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1.57</w:t>
            </w:r>
          </w:p>
        </w:tc>
        <w:tc>
          <w:tcPr>
            <w:tcW w:w="2552" w:type="dxa"/>
            <w:tcBorders>
              <w:top w:val="nil"/>
              <w:left w:val="nil"/>
              <w:bottom w:val="single" w:sz="4" w:space="0" w:color="auto"/>
              <w:right w:val="single" w:sz="4" w:space="0" w:color="auto"/>
            </w:tcBorders>
            <w:shd w:val="clear" w:color="auto" w:fill="auto"/>
            <w:noWrap/>
            <w:vAlign w:val="center"/>
            <w:hideMark/>
          </w:tcPr>
          <w:p w14:paraId="3516FD0B"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Fishbase; Heesen et al, 2015</w:t>
            </w:r>
          </w:p>
        </w:tc>
      </w:tr>
      <w:tr w:rsidR="003C4EE5" w:rsidRPr="00FD39D1" w14:paraId="4D69D256" w14:textId="77777777" w:rsidTr="003C4EE5">
        <w:trPr>
          <w:trHeight w:val="320"/>
          <w:jc w:val="center"/>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19F25BA"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Whiting pout</w:t>
            </w:r>
          </w:p>
        </w:tc>
        <w:tc>
          <w:tcPr>
            <w:tcW w:w="1417" w:type="dxa"/>
            <w:tcBorders>
              <w:top w:val="nil"/>
              <w:left w:val="nil"/>
              <w:bottom w:val="single" w:sz="4" w:space="0" w:color="auto"/>
              <w:right w:val="single" w:sz="4" w:space="0" w:color="auto"/>
            </w:tcBorders>
            <w:shd w:val="clear" w:color="auto" w:fill="auto"/>
            <w:noWrap/>
            <w:vAlign w:val="center"/>
            <w:hideMark/>
          </w:tcPr>
          <w:p w14:paraId="51770E16"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Teleost</w:t>
            </w:r>
          </w:p>
        </w:tc>
        <w:tc>
          <w:tcPr>
            <w:tcW w:w="987" w:type="dxa"/>
            <w:tcBorders>
              <w:top w:val="nil"/>
              <w:left w:val="nil"/>
              <w:bottom w:val="single" w:sz="4" w:space="0" w:color="auto"/>
              <w:right w:val="single" w:sz="4" w:space="0" w:color="auto"/>
            </w:tcBorders>
            <w:shd w:val="clear" w:color="000000" w:fill="C6E0B4"/>
            <w:noWrap/>
            <w:vAlign w:val="center"/>
            <w:hideMark/>
          </w:tcPr>
          <w:p w14:paraId="5F6440B3"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w:t>
            </w:r>
          </w:p>
        </w:tc>
        <w:tc>
          <w:tcPr>
            <w:tcW w:w="992" w:type="dxa"/>
            <w:tcBorders>
              <w:top w:val="nil"/>
              <w:left w:val="nil"/>
              <w:bottom w:val="single" w:sz="4" w:space="0" w:color="auto"/>
              <w:right w:val="single" w:sz="4" w:space="0" w:color="auto"/>
            </w:tcBorders>
            <w:shd w:val="clear" w:color="000000" w:fill="C6E0B4"/>
            <w:noWrap/>
            <w:vAlign w:val="center"/>
            <w:hideMark/>
          </w:tcPr>
          <w:p w14:paraId="24130F1C"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5-7</w:t>
            </w:r>
          </w:p>
        </w:tc>
        <w:tc>
          <w:tcPr>
            <w:tcW w:w="1140" w:type="dxa"/>
            <w:tcBorders>
              <w:top w:val="nil"/>
              <w:left w:val="nil"/>
              <w:bottom w:val="single" w:sz="4" w:space="0" w:color="auto"/>
              <w:right w:val="single" w:sz="4" w:space="0" w:color="auto"/>
            </w:tcBorders>
            <w:shd w:val="clear" w:color="000000" w:fill="C6E0B4"/>
            <w:noWrap/>
            <w:vAlign w:val="center"/>
            <w:hideMark/>
          </w:tcPr>
          <w:p w14:paraId="0A377739"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200,000</w:t>
            </w:r>
          </w:p>
        </w:tc>
        <w:tc>
          <w:tcPr>
            <w:tcW w:w="1046" w:type="dxa"/>
            <w:tcBorders>
              <w:top w:val="nil"/>
              <w:left w:val="nil"/>
              <w:bottom w:val="single" w:sz="4" w:space="0" w:color="auto"/>
              <w:right w:val="single" w:sz="4" w:space="0" w:color="auto"/>
            </w:tcBorders>
            <w:shd w:val="clear" w:color="000000" w:fill="C6E0B4"/>
            <w:noWrap/>
            <w:vAlign w:val="center"/>
            <w:hideMark/>
          </w:tcPr>
          <w:p w14:paraId="0CE57537"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41</w:t>
            </w:r>
          </w:p>
        </w:tc>
        <w:tc>
          <w:tcPr>
            <w:tcW w:w="1075" w:type="dxa"/>
            <w:tcBorders>
              <w:top w:val="nil"/>
              <w:left w:val="nil"/>
              <w:bottom w:val="single" w:sz="4" w:space="0" w:color="auto"/>
              <w:right w:val="single" w:sz="4" w:space="0" w:color="auto"/>
            </w:tcBorders>
            <w:shd w:val="clear" w:color="000000" w:fill="C6E0B4"/>
            <w:noWrap/>
            <w:vAlign w:val="center"/>
            <w:hideMark/>
          </w:tcPr>
          <w:p w14:paraId="59CE7899"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21.6</w:t>
            </w:r>
          </w:p>
        </w:tc>
        <w:tc>
          <w:tcPr>
            <w:tcW w:w="1417" w:type="dxa"/>
            <w:tcBorders>
              <w:top w:val="nil"/>
              <w:left w:val="nil"/>
              <w:bottom w:val="single" w:sz="4" w:space="0" w:color="auto"/>
              <w:right w:val="single" w:sz="4" w:space="0" w:color="auto"/>
            </w:tcBorders>
            <w:shd w:val="clear" w:color="000000" w:fill="C6E0B4"/>
            <w:noWrap/>
            <w:vAlign w:val="center"/>
            <w:hideMark/>
          </w:tcPr>
          <w:p w14:paraId="60F57992"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Batch-spawner</w:t>
            </w:r>
          </w:p>
        </w:tc>
        <w:tc>
          <w:tcPr>
            <w:tcW w:w="851" w:type="dxa"/>
            <w:tcBorders>
              <w:top w:val="nil"/>
              <w:left w:val="nil"/>
              <w:bottom w:val="single" w:sz="4" w:space="0" w:color="auto"/>
              <w:right w:val="single" w:sz="4" w:space="0" w:color="auto"/>
            </w:tcBorders>
            <w:shd w:val="clear" w:color="000000" w:fill="FF0000"/>
            <w:noWrap/>
            <w:vAlign w:val="center"/>
            <w:hideMark/>
          </w:tcPr>
          <w:p w14:paraId="4445B6C6"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3.7</w:t>
            </w:r>
          </w:p>
        </w:tc>
        <w:tc>
          <w:tcPr>
            <w:tcW w:w="1281" w:type="dxa"/>
            <w:tcBorders>
              <w:top w:val="nil"/>
              <w:left w:val="nil"/>
              <w:bottom w:val="single" w:sz="4" w:space="0" w:color="auto"/>
              <w:right w:val="single" w:sz="4" w:space="0" w:color="auto"/>
            </w:tcBorders>
            <w:shd w:val="clear" w:color="auto" w:fill="auto"/>
            <w:noWrap/>
            <w:vAlign w:val="center"/>
            <w:hideMark/>
          </w:tcPr>
          <w:p w14:paraId="41819083"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NA</w:t>
            </w:r>
          </w:p>
        </w:tc>
        <w:tc>
          <w:tcPr>
            <w:tcW w:w="1275" w:type="dxa"/>
            <w:tcBorders>
              <w:top w:val="nil"/>
              <w:left w:val="nil"/>
              <w:bottom w:val="single" w:sz="4" w:space="0" w:color="auto"/>
              <w:right w:val="single" w:sz="4" w:space="0" w:color="auto"/>
            </w:tcBorders>
            <w:shd w:val="clear" w:color="auto" w:fill="C45911" w:themeFill="accent2" w:themeFillShade="BF"/>
            <w:noWrap/>
            <w:vAlign w:val="center"/>
            <w:hideMark/>
          </w:tcPr>
          <w:p w14:paraId="2291CF7A"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1.29</w:t>
            </w:r>
          </w:p>
        </w:tc>
        <w:tc>
          <w:tcPr>
            <w:tcW w:w="2552" w:type="dxa"/>
            <w:tcBorders>
              <w:top w:val="nil"/>
              <w:left w:val="nil"/>
              <w:bottom w:val="single" w:sz="4" w:space="0" w:color="auto"/>
              <w:right w:val="single" w:sz="4" w:space="0" w:color="auto"/>
            </w:tcBorders>
            <w:shd w:val="clear" w:color="auto" w:fill="auto"/>
            <w:noWrap/>
            <w:vAlign w:val="center"/>
            <w:hideMark/>
          </w:tcPr>
          <w:p w14:paraId="4ED145A6"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Fishbase</w:t>
            </w:r>
          </w:p>
        </w:tc>
      </w:tr>
      <w:tr w:rsidR="003C4EE5" w:rsidRPr="00FD39D1" w14:paraId="1E6C26C7" w14:textId="77777777" w:rsidTr="003C4EE5">
        <w:trPr>
          <w:trHeight w:val="320"/>
          <w:jc w:val="center"/>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6FB70FB2"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Common ling</w:t>
            </w:r>
          </w:p>
        </w:tc>
        <w:tc>
          <w:tcPr>
            <w:tcW w:w="1417" w:type="dxa"/>
            <w:tcBorders>
              <w:top w:val="nil"/>
              <w:left w:val="nil"/>
              <w:bottom w:val="single" w:sz="4" w:space="0" w:color="auto"/>
              <w:right w:val="single" w:sz="4" w:space="0" w:color="auto"/>
            </w:tcBorders>
            <w:shd w:val="clear" w:color="auto" w:fill="auto"/>
            <w:noWrap/>
            <w:vAlign w:val="center"/>
            <w:hideMark/>
          </w:tcPr>
          <w:p w14:paraId="5CE2136D"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Teleost</w:t>
            </w:r>
          </w:p>
        </w:tc>
        <w:tc>
          <w:tcPr>
            <w:tcW w:w="987" w:type="dxa"/>
            <w:tcBorders>
              <w:top w:val="nil"/>
              <w:left w:val="nil"/>
              <w:bottom w:val="single" w:sz="4" w:space="0" w:color="auto"/>
              <w:right w:val="single" w:sz="4" w:space="0" w:color="auto"/>
            </w:tcBorders>
            <w:shd w:val="clear" w:color="000000" w:fill="FFE699"/>
            <w:noWrap/>
            <w:vAlign w:val="center"/>
            <w:hideMark/>
          </w:tcPr>
          <w:p w14:paraId="68102EDC"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7</w:t>
            </w:r>
          </w:p>
        </w:tc>
        <w:tc>
          <w:tcPr>
            <w:tcW w:w="992" w:type="dxa"/>
            <w:tcBorders>
              <w:top w:val="nil"/>
              <w:left w:val="nil"/>
              <w:bottom w:val="single" w:sz="4" w:space="0" w:color="auto"/>
              <w:right w:val="single" w:sz="4" w:space="0" w:color="auto"/>
            </w:tcBorders>
            <w:shd w:val="clear" w:color="000000" w:fill="FFE699"/>
            <w:noWrap/>
            <w:vAlign w:val="center"/>
            <w:hideMark/>
          </w:tcPr>
          <w:p w14:paraId="4FE2AE33"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20</w:t>
            </w:r>
          </w:p>
        </w:tc>
        <w:tc>
          <w:tcPr>
            <w:tcW w:w="1140" w:type="dxa"/>
            <w:tcBorders>
              <w:top w:val="nil"/>
              <w:left w:val="nil"/>
              <w:bottom w:val="single" w:sz="4" w:space="0" w:color="auto"/>
              <w:right w:val="single" w:sz="4" w:space="0" w:color="auto"/>
            </w:tcBorders>
            <w:shd w:val="clear" w:color="000000" w:fill="C6E0B4"/>
            <w:noWrap/>
            <w:vAlign w:val="center"/>
            <w:hideMark/>
          </w:tcPr>
          <w:p w14:paraId="4641B32B"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60,000,000</w:t>
            </w:r>
          </w:p>
        </w:tc>
        <w:tc>
          <w:tcPr>
            <w:tcW w:w="1046" w:type="dxa"/>
            <w:tcBorders>
              <w:top w:val="nil"/>
              <w:left w:val="nil"/>
              <w:bottom w:val="single" w:sz="4" w:space="0" w:color="auto"/>
              <w:right w:val="single" w:sz="4" w:space="0" w:color="auto"/>
            </w:tcBorders>
            <w:shd w:val="clear" w:color="000000" w:fill="FFE699"/>
            <w:noWrap/>
            <w:vAlign w:val="center"/>
            <w:hideMark/>
          </w:tcPr>
          <w:p w14:paraId="61834DE3"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166</w:t>
            </w:r>
          </w:p>
        </w:tc>
        <w:tc>
          <w:tcPr>
            <w:tcW w:w="1075" w:type="dxa"/>
            <w:tcBorders>
              <w:top w:val="nil"/>
              <w:left w:val="nil"/>
              <w:bottom w:val="single" w:sz="4" w:space="0" w:color="auto"/>
              <w:right w:val="single" w:sz="4" w:space="0" w:color="auto"/>
            </w:tcBorders>
            <w:shd w:val="clear" w:color="000000" w:fill="FFE699"/>
            <w:noWrap/>
            <w:vAlign w:val="center"/>
            <w:hideMark/>
          </w:tcPr>
          <w:p w14:paraId="054FF26F"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70</w:t>
            </w:r>
          </w:p>
        </w:tc>
        <w:tc>
          <w:tcPr>
            <w:tcW w:w="1417" w:type="dxa"/>
            <w:tcBorders>
              <w:top w:val="nil"/>
              <w:left w:val="nil"/>
              <w:bottom w:val="single" w:sz="4" w:space="0" w:color="auto"/>
              <w:right w:val="single" w:sz="4" w:space="0" w:color="auto"/>
            </w:tcBorders>
            <w:shd w:val="clear" w:color="000000" w:fill="C6E0B4"/>
            <w:noWrap/>
            <w:vAlign w:val="center"/>
            <w:hideMark/>
          </w:tcPr>
          <w:p w14:paraId="67142E31"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Batch-spawner</w:t>
            </w:r>
          </w:p>
        </w:tc>
        <w:tc>
          <w:tcPr>
            <w:tcW w:w="851" w:type="dxa"/>
            <w:tcBorders>
              <w:top w:val="nil"/>
              <w:left w:val="nil"/>
              <w:bottom w:val="single" w:sz="4" w:space="0" w:color="auto"/>
              <w:right w:val="single" w:sz="4" w:space="0" w:color="auto"/>
            </w:tcBorders>
            <w:shd w:val="clear" w:color="000000" w:fill="FF0000"/>
            <w:noWrap/>
            <w:vAlign w:val="center"/>
            <w:hideMark/>
          </w:tcPr>
          <w:p w14:paraId="0C3CEB8A"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4.2</w:t>
            </w:r>
          </w:p>
        </w:tc>
        <w:tc>
          <w:tcPr>
            <w:tcW w:w="1281" w:type="dxa"/>
            <w:tcBorders>
              <w:top w:val="nil"/>
              <w:left w:val="nil"/>
              <w:bottom w:val="single" w:sz="4" w:space="0" w:color="auto"/>
              <w:right w:val="single" w:sz="4" w:space="0" w:color="auto"/>
            </w:tcBorders>
            <w:shd w:val="clear" w:color="auto" w:fill="auto"/>
            <w:noWrap/>
            <w:vAlign w:val="center"/>
            <w:hideMark/>
          </w:tcPr>
          <w:p w14:paraId="1824C987"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NA</w:t>
            </w:r>
          </w:p>
        </w:tc>
        <w:tc>
          <w:tcPr>
            <w:tcW w:w="1275" w:type="dxa"/>
            <w:tcBorders>
              <w:top w:val="nil"/>
              <w:left w:val="nil"/>
              <w:bottom w:val="single" w:sz="4" w:space="0" w:color="auto"/>
              <w:right w:val="single" w:sz="4" w:space="0" w:color="auto"/>
            </w:tcBorders>
            <w:shd w:val="clear" w:color="auto" w:fill="C45911" w:themeFill="accent2" w:themeFillShade="BF"/>
            <w:noWrap/>
            <w:vAlign w:val="center"/>
            <w:hideMark/>
          </w:tcPr>
          <w:p w14:paraId="565402F4"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1.86</w:t>
            </w:r>
          </w:p>
        </w:tc>
        <w:tc>
          <w:tcPr>
            <w:tcW w:w="2552" w:type="dxa"/>
            <w:tcBorders>
              <w:top w:val="nil"/>
              <w:left w:val="nil"/>
              <w:bottom w:val="single" w:sz="4" w:space="0" w:color="auto"/>
              <w:right w:val="single" w:sz="4" w:space="0" w:color="auto"/>
            </w:tcBorders>
            <w:shd w:val="clear" w:color="auto" w:fill="auto"/>
            <w:noWrap/>
            <w:vAlign w:val="center"/>
            <w:hideMark/>
          </w:tcPr>
          <w:p w14:paraId="70022C58" w14:textId="6F8D0BC4"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Fishbase;  Heesen et al, 2015</w:t>
            </w:r>
          </w:p>
        </w:tc>
      </w:tr>
      <w:tr w:rsidR="003C4EE5" w:rsidRPr="00FD39D1" w14:paraId="0CC94E04" w14:textId="77777777" w:rsidTr="003C4EE5">
        <w:trPr>
          <w:trHeight w:val="320"/>
          <w:jc w:val="center"/>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6186F0B"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Gurnards</w:t>
            </w:r>
          </w:p>
        </w:tc>
        <w:tc>
          <w:tcPr>
            <w:tcW w:w="1417" w:type="dxa"/>
            <w:tcBorders>
              <w:top w:val="nil"/>
              <w:left w:val="nil"/>
              <w:bottom w:val="single" w:sz="4" w:space="0" w:color="auto"/>
              <w:right w:val="single" w:sz="4" w:space="0" w:color="auto"/>
            </w:tcBorders>
            <w:shd w:val="clear" w:color="auto" w:fill="auto"/>
            <w:noWrap/>
            <w:vAlign w:val="center"/>
            <w:hideMark/>
          </w:tcPr>
          <w:p w14:paraId="6268CF29"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Teleost</w:t>
            </w:r>
          </w:p>
        </w:tc>
        <w:tc>
          <w:tcPr>
            <w:tcW w:w="987" w:type="dxa"/>
            <w:tcBorders>
              <w:top w:val="nil"/>
              <w:left w:val="nil"/>
              <w:bottom w:val="single" w:sz="4" w:space="0" w:color="auto"/>
              <w:right w:val="single" w:sz="4" w:space="0" w:color="auto"/>
            </w:tcBorders>
            <w:shd w:val="clear" w:color="000000" w:fill="C6E0B4"/>
            <w:noWrap/>
            <w:vAlign w:val="center"/>
            <w:hideMark/>
          </w:tcPr>
          <w:p w14:paraId="69E053C0"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3-4</w:t>
            </w:r>
          </w:p>
        </w:tc>
        <w:tc>
          <w:tcPr>
            <w:tcW w:w="992" w:type="dxa"/>
            <w:tcBorders>
              <w:top w:val="nil"/>
              <w:left w:val="nil"/>
              <w:bottom w:val="single" w:sz="4" w:space="0" w:color="auto"/>
              <w:right w:val="single" w:sz="4" w:space="0" w:color="auto"/>
            </w:tcBorders>
            <w:shd w:val="clear" w:color="000000" w:fill="FFE699"/>
            <w:noWrap/>
            <w:vAlign w:val="center"/>
            <w:hideMark/>
          </w:tcPr>
          <w:p w14:paraId="5DF9D041"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8-21</w:t>
            </w:r>
          </w:p>
        </w:tc>
        <w:tc>
          <w:tcPr>
            <w:tcW w:w="1140" w:type="dxa"/>
            <w:tcBorders>
              <w:top w:val="nil"/>
              <w:left w:val="nil"/>
              <w:bottom w:val="single" w:sz="4" w:space="0" w:color="auto"/>
              <w:right w:val="single" w:sz="4" w:space="0" w:color="auto"/>
            </w:tcBorders>
            <w:shd w:val="clear" w:color="000000" w:fill="C6E0B4"/>
            <w:noWrap/>
            <w:vAlign w:val="center"/>
            <w:hideMark/>
          </w:tcPr>
          <w:p w14:paraId="53B72FD8"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300,000</w:t>
            </w:r>
          </w:p>
        </w:tc>
        <w:tc>
          <w:tcPr>
            <w:tcW w:w="1046" w:type="dxa"/>
            <w:tcBorders>
              <w:top w:val="nil"/>
              <w:left w:val="nil"/>
              <w:bottom w:val="single" w:sz="4" w:space="0" w:color="auto"/>
              <w:right w:val="single" w:sz="4" w:space="0" w:color="auto"/>
            </w:tcBorders>
            <w:shd w:val="clear" w:color="000000" w:fill="C6E0B4"/>
            <w:noWrap/>
            <w:vAlign w:val="center"/>
            <w:hideMark/>
          </w:tcPr>
          <w:p w14:paraId="35B35054"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40-50</w:t>
            </w:r>
          </w:p>
        </w:tc>
        <w:tc>
          <w:tcPr>
            <w:tcW w:w="1075" w:type="dxa"/>
            <w:tcBorders>
              <w:top w:val="nil"/>
              <w:left w:val="nil"/>
              <w:bottom w:val="single" w:sz="4" w:space="0" w:color="auto"/>
              <w:right w:val="single" w:sz="4" w:space="0" w:color="auto"/>
            </w:tcBorders>
            <w:shd w:val="clear" w:color="000000" w:fill="C6E0B4"/>
            <w:noWrap/>
            <w:vAlign w:val="center"/>
            <w:hideMark/>
          </w:tcPr>
          <w:p w14:paraId="3B1D7EB5"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18-26</w:t>
            </w:r>
          </w:p>
        </w:tc>
        <w:tc>
          <w:tcPr>
            <w:tcW w:w="1417" w:type="dxa"/>
            <w:tcBorders>
              <w:top w:val="nil"/>
              <w:left w:val="nil"/>
              <w:bottom w:val="single" w:sz="4" w:space="0" w:color="auto"/>
              <w:right w:val="single" w:sz="4" w:space="0" w:color="auto"/>
            </w:tcBorders>
            <w:shd w:val="clear" w:color="000000" w:fill="C6E0B4"/>
            <w:noWrap/>
            <w:vAlign w:val="center"/>
            <w:hideMark/>
          </w:tcPr>
          <w:p w14:paraId="7592B793"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Batch-spawner</w:t>
            </w:r>
          </w:p>
        </w:tc>
        <w:tc>
          <w:tcPr>
            <w:tcW w:w="851" w:type="dxa"/>
            <w:tcBorders>
              <w:top w:val="nil"/>
              <w:left w:val="nil"/>
              <w:bottom w:val="single" w:sz="4" w:space="0" w:color="auto"/>
              <w:right w:val="single" w:sz="4" w:space="0" w:color="auto"/>
            </w:tcBorders>
            <w:shd w:val="clear" w:color="000000" w:fill="FF0000"/>
            <w:noWrap/>
            <w:vAlign w:val="center"/>
            <w:hideMark/>
          </w:tcPr>
          <w:p w14:paraId="189969BB"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3.85</w:t>
            </w:r>
          </w:p>
        </w:tc>
        <w:tc>
          <w:tcPr>
            <w:tcW w:w="1281" w:type="dxa"/>
            <w:tcBorders>
              <w:top w:val="nil"/>
              <w:left w:val="nil"/>
              <w:bottom w:val="single" w:sz="4" w:space="0" w:color="auto"/>
              <w:right w:val="single" w:sz="4" w:space="0" w:color="auto"/>
            </w:tcBorders>
            <w:shd w:val="clear" w:color="auto" w:fill="auto"/>
            <w:noWrap/>
            <w:vAlign w:val="center"/>
            <w:hideMark/>
          </w:tcPr>
          <w:p w14:paraId="5079F0FE"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NA</w:t>
            </w:r>
          </w:p>
        </w:tc>
        <w:tc>
          <w:tcPr>
            <w:tcW w:w="1275" w:type="dxa"/>
            <w:tcBorders>
              <w:top w:val="nil"/>
              <w:left w:val="nil"/>
              <w:bottom w:val="single" w:sz="4" w:space="0" w:color="auto"/>
              <w:right w:val="single" w:sz="4" w:space="0" w:color="auto"/>
            </w:tcBorders>
            <w:shd w:val="clear" w:color="auto" w:fill="C45911" w:themeFill="accent2" w:themeFillShade="BF"/>
            <w:noWrap/>
            <w:vAlign w:val="center"/>
            <w:hideMark/>
          </w:tcPr>
          <w:p w14:paraId="711F13BE"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1.43</w:t>
            </w:r>
          </w:p>
        </w:tc>
        <w:tc>
          <w:tcPr>
            <w:tcW w:w="2552" w:type="dxa"/>
            <w:tcBorders>
              <w:top w:val="nil"/>
              <w:left w:val="nil"/>
              <w:bottom w:val="single" w:sz="4" w:space="0" w:color="auto"/>
              <w:right w:val="single" w:sz="4" w:space="0" w:color="auto"/>
            </w:tcBorders>
            <w:shd w:val="clear" w:color="auto" w:fill="auto"/>
            <w:noWrap/>
            <w:vAlign w:val="center"/>
            <w:hideMark/>
          </w:tcPr>
          <w:p w14:paraId="50454733"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Fishbase; Heesen et al, 2015</w:t>
            </w:r>
          </w:p>
        </w:tc>
      </w:tr>
      <w:tr w:rsidR="003C4EE5" w:rsidRPr="00FD39D1" w14:paraId="5DDB6174" w14:textId="77777777" w:rsidTr="003C4EE5">
        <w:trPr>
          <w:trHeight w:val="320"/>
          <w:jc w:val="center"/>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21C2A4CE"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Blonde ray</w:t>
            </w:r>
          </w:p>
        </w:tc>
        <w:tc>
          <w:tcPr>
            <w:tcW w:w="1417" w:type="dxa"/>
            <w:tcBorders>
              <w:top w:val="nil"/>
              <w:left w:val="nil"/>
              <w:bottom w:val="single" w:sz="4" w:space="0" w:color="auto"/>
              <w:right w:val="single" w:sz="4" w:space="0" w:color="auto"/>
            </w:tcBorders>
            <w:shd w:val="clear" w:color="auto" w:fill="auto"/>
            <w:noWrap/>
            <w:vAlign w:val="center"/>
            <w:hideMark/>
          </w:tcPr>
          <w:p w14:paraId="433932E6"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Elasmobranch</w:t>
            </w:r>
          </w:p>
        </w:tc>
        <w:tc>
          <w:tcPr>
            <w:tcW w:w="987" w:type="dxa"/>
            <w:tcBorders>
              <w:top w:val="nil"/>
              <w:left w:val="nil"/>
              <w:bottom w:val="single" w:sz="4" w:space="0" w:color="auto"/>
              <w:right w:val="single" w:sz="4" w:space="0" w:color="auto"/>
            </w:tcBorders>
            <w:shd w:val="clear" w:color="000000" w:fill="FFE699"/>
            <w:noWrap/>
            <w:vAlign w:val="center"/>
            <w:hideMark/>
          </w:tcPr>
          <w:p w14:paraId="04628703"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10</w:t>
            </w:r>
          </w:p>
        </w:tc>
        <w:tc>
          <w:tcPr>
            <w:tcW w:w="992" w:type="dxa"/>
            <w:tcBorders>
              <w:top w:val="nil"/>
              <w:left w:val="nil"/>
              <w:bottom w:val="single" w:sz="4" w:space="0" w:color="auto"/>
              <w:right w:val="single" w:sz="4" w:space="0" w:color="auto"/>
            </w:tcBorders>
            <w:shd w:val="clear" w:color="000000" w:fill="FFE699"/>
            <w:noWrap/>
            <w:vAlign w:val="center"/>
            <w:hideMark/>
          </w:tcPr>
          <w:p w14:paraId="52E22F51"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15</w:t>
            </w:r>
          </w:p>
        </w:tc>
        <w:tc>
          <w:tcPr>
            <w:tcW w:w="1140" w:type="dxa"/>
            <w:tcBorders>
              <w:top w:val="nil"/>
              <w:left w:val="nil"/>
              <w:bottom w:val="single" w:sz="4" w:space="0" w:color="auto"/>
              <w:right w:val="single" w:sz="4" w:space="0" w:color="auto"/>
            </w:tcBorders>
            <w:shd w:val="clear" w:color="000000" w:fill="FF3300"/>
            <w:noWrap/>
            <w:vAlign w:val="center"/>
            <w:hideMark/>
          </w:tcPr>
          <w:p w14:paraId="4A3E1D3A"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90</w:t>
            </w:r>
          </w:p>
        </w:tc>
        <w:tc>
          <w:tcPr>
            <w:tcW w:w="1046" w:type="dxa"/>
            <w:tcBorders>
              <w:top w:val="nil"/>
              <w:left w:val="nil"/>
              <w:bottom w:val="single" w:sz="4" w:space="0" w:color="auto"/>
              <w:right w:val="single" w:sz="4" w:space="0" w:color="auto"/>
            </w:tcBorders>
            <w:shd w:val="clear" w:color="000000" w:fill="FFE699"/>
            <w:noWrap/>
            <w:vAlign w:val="center"/>
            <w:hideMark/>
          </w:tcPr>
          <w:p w14:paraId="4BF41C00"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128</w:t>
            </w:r>
          </w:p>
        </w:tc>
        <w:tc>
          <w:tcPr>
            <w:tcW w:w="1075" w:type="dxa"/>
            <w:tcBorders>
              <w:top w:val="nil"/>
              <w:left w:val="nil"/>
              <w:bottom w:val="single" w:sz="4" w:space="0" w:color="auto"/>
              <w:right w:val="single" w:sz="4" w:space="0" w:color="auto"/>
            </w:tcBorders>
            <w:shd w:val="clear" w:color="000000" w:fill="FFE699"/>
            <w:noWrap/>
            <w:vAlign w:val="center"/>
            <w:hideMark/>
          </w:tcPr>
          <w:p w14:paraId="6EE31559"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92</w:t>
            </w:r>
          </w:p>
        </w:tc>
        <w:tc>
          <w:tcPr>
            <w:tcW w:w="1417" w:type="dxa"/>
            <w:tcBorders>
              <w:top w:val="nil"/>
              <w:left w:val="nil"/>
              <w:bottom w:val="single" w:sz="4" w:space="0" w:color="auto"/>
              <w:right w:val="single" w:sz="4" w:space="0" w:color="auto"/>
            </w:tcBorders>
            <w:shd w:val="clear" w:color="000000" w:fill="FFE699"/>
            <w:noWrap/>
            <w:vAlign w:val="center"/>
            <w:hideMark/>
          </w:tcPr>
          <w:p w14:paraId="18B6E002"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Demersal egg layer</w:t>
            </w:r>
          </w:p>
        </w:tc>
        <w:tc>
          <w:tcPr>
            <w:tcW w:w="851" w:type="dxa"/>
            <w:tcBorders>
              <w:top w:val="nil"/>
              <w:left w:val="nil"/>
              <w:bottom w:val="single" w:sz="4" w:space="0" w:color="auto"/>
              <w:right w:val="single" w:sz="4" w:space="0" w:color="auto"/>
            </w:tcBorders>
            <w:shd w:val="clear" w:color="000000" w:fill="FF0000"/>
            <w:noWrap/>
            <w:vAlign w:val="center"/>
            <w:hideMark/>
          </w:tcPr>
          <w:p w14:paraId="3ABC7D20"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3.76</w:t>
            </w:r>
          </w:p>
        </w:tc>
        <w:tc>
          <w:tcPr>
            <w:tcW w:w="1281" w:type="dxa"/>
            <w:tcBorders>
              <w:top w:val="nil"/>
              <w:left w:val="nil"/>
              <w:bottom w:val="single" w:sz="4" w:space="0" w:color="auto"/>
              <w:right w:val="single" w:sz="4" w:space="0" w:color="auto"/>
            </w:tcBorders>
            <w:shd w:val="clear" w:color="auto" w:fill="auto"/>
            <w:noWrap/>
            <w:vAlign w:val="center"/>
            <w:hideMark/>
          </w:tcPr>
          <w:p w14:paraId="6C190AA4"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NA</w:t>
            </w:r>
          </w:p>
        </w:tc>
        <w:tc>
          <w:tcPr>
            <w:tcW w:w="1275" w:type="dxa"/>
            <w:tcBorders>
              <w:top w:val="nil"/>
              <w:left w:val="nil"/>
              <w:bottom w:val="single" w:sz="4" w:space="0" w:color="auto"/>
              <w:right w:val="single" w:sz="4" w:space="0" w:color="auto"/>
            </w:tcBorders>
            <w:shd w:val="clear" w:color="auto" w:fill="C45911" w:themeFill="accent2" w:themeFillShade="BF"/>
            <w:noWrap/>
            <w:vAlign w:val="center"/>
            <w:hideMark/>
          </w:tcPr>
          <w:p w14:paraId="17BA2380"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2.29</w:t>
            </w:r>
          </w:p>
        </w:tc>
        <w:tc>
          <w:tcPr>
            <w:tcW w:w="2552" w:type="dxa"/>
            <w:tcBorders>
              <w:top w:val="nil"/>
              <w:left w:val="nil"/>
              <w:bottom w:val="single" w:sz="4" w:space="0" w:color="auto"/>
              <w:right w:val="single" w:sz="4" w:space="0" w:color="auto"/>
            </w:tcBorders>
            <w:shd w:val="clear" w:color="auto" w:fill="auto"/>
            <w:noWrap/>
            <w:vAlign w:val="center"/>
            <w:hideMark/>
          </w:tcPr>
          <w:p w14:paraId="5AF0AAF5"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Fishbase</w:t>
            </w:r>
          </w:p>
        </w:tc>
      </w:tr>
      <w:tr w:rsidR="003C4EE5" w:rsidRPr="00FD39D1" w14:paraId="27C3B289" w14:textId="77777777" w:rsidTr="003C4EE5">
        <w:trPr>
          <w:trHeight w:val="320"/>
          <w:jc w:val="center"/>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443680EC"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Cuckoo ray</w:t>
            </w:r>
          </w:p>
        </w:tc>
        <w:tc>
          <w:tcPr>
            <w:tcW w:w="1417" w:type="dxa"/>
            <w:tcBorders>
              <w:top w:val="nil"/>
              <w:left w:val="nil"/>
              <w:bottom w:val="single" w:sz="4" w:space="0" w:color="auto"/>
              <w:right w:val="single" w:sz="4" w:space="0" w:color="auto"/>
            </w:tcBorders>
            <w:shd w:val="clear" w:color="auto" w:fill="auto"/>
            <w:noWrap/>
            <w:vAlign w:val="center"/>
            <w:hideMark/>
          </w:tcPr>
          <w:p w14:paraId="79FCB925"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Elasmobranch</w:t>
            </w:r>
          </w:p>
        </w:tc>
        <w:tc>
          <w:tcPr>
            <w:tcW w:w="987" w:type="dxa"/>
            <w:tcBorders>
              <w:top w:val="nil"/>
              <w:left w:val="nil"/>
              <w:bottom w:val="single" w:sz="4" w:space="0" w:color="auto"/>
              <w:right w:val="single" w:sz="4" w:space="0" w:color="auto"/>
            </w:tcBorders>
            <w:shd w:val="clear" w:color="000000" w:fill="FFE699"/>
            <w:noWrap/>
            <w:vAlign w:val="center"/>
            <w:hideMark/>
          </w:tcPr>
          <w:p w14:paraId="6F57B15B"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5</w:t>
            </w:r>
          </w:p>
        </w:tc>
        <w:tc>
          <w:tcPr>
            <w:tcW w:w="992" w:type="dxa"/>
            <w:tcBorders>
              <w:top w:val="nil"/>
              <w:left w:val="nil"/>
              <w:bottom w:val="single" w:sz="4" w:space="0" w:color="auto"/>
              <w:right w:val="single" w:sz="4" w:space="0" w:color="auto"/>
            </w:tcBorders>
            <w:shd w:val="clear" w:color="000000" w:fill="FFE699"/>
            <w:noWrap/>
            <w:vAlign w:val="center"/>
            <w:hideMark/>
          </w:tcPr>
          <w:p w14:paraId="123BE613"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12</w:t>
            </w:r>
          </w:p>
        </w:tc>
        <w:tc>
          <w:tcPr>
            <w:tcW w:w="1140" w:type="dxa"/>
            <w:tcBorders>
              <w:top w:val="nil"/>
              <w:left w:val="nil"/>
              <w:bottom w:val="single" w:sz="4" w:space="0" w:color="auto"/>
              <w:right w:val="single" w:sz="4" w:space="0" w:color="auto"/>
            </w:tcBorders>
            <w:shd w:val="clear" w:color="000000" w:fill="FF3300"/>
            <w:noWrap/>
            <w:vAlign w:val="center"/>
            <w:hideMark/>
          </w:tcPr>
          <w:p w14:paraId="1EF61DAD"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70-150 eggs</w:t>
            </w:r>
          </w:p>
        </w:tc>
        <w:tc>
          <w:tcPr>
            <w:tcW w:w="1046" w:type="dxa"/>
            <w:tcBorders>
              <w:top w:val="nil"/>
              <w:left w:val="nil"/>
              <w:bottom w:val="single" w:sz="4" w:space="0" w:color="auto"/>
              <w:right w:val="single" w:sz="4" w:space="0" w:color="auto"/>
            </w:tcBorders>
            <w:shd w:val="clear" w:color="000000" w:fill="C6E0B4"/>
            <w:noWrap/>
            <w:vAlign w:val="center"/>
            <w:hideMark/>
          </w:tcPr>
          <w:p w14:paraId="62DD4738"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71</w:t>
            </w:r>
          </w:p>
        </w:tc>
        <w:tc>
          <w:tcPr>
            <w:tcW w:w="1075" w:type="dxa"/>
            <w:tcBorders>
              <w:top w:val="nil"/>
              <w:left w:val="nil"/>
              <w:bottom w:val="single" w:sz="4" w:space="0" w:color="auto"/>
              <w:right w:val="single" w:sz="4" w:space="0" w:color="auto"/>
            </w:tcBorders>
            <w:shd w:val="clear" w:color="000000" w:fill="FFE699"/>
            <w:noWrap/>
            <w:vAlign w:val="center"/>
            <w:hideMark/>
          </w:tcPr>
          <w:p w14:paraId="5E021339"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57</w:t>
            </w:r>
          </w:p>
        </w:tc>
        <w:tc>
          <w:tcPr>
            <w:tcW w:w="1417" w:type="dxa"/>
            <w:tcBorders>
              <w:top w:val="nil"/>
              <w:left w:val="nil"/>
              <w:bottom w:val="single" w:sz="4" w:space="0" w:color="auto"/>
              <w:right w:val="single" w:sz="4" w:space="0" w:color="auto"/>
            </w:tcBorders>
            <w:shd w:val="clear" w:color="000000" w:fill="FFE699"/>
            <w:noWrap/>
            <w:vAlign w:val="center"/>
            <w:hideMark/>
          </w:tcPr>
          <w:p w14:paraId="10A8506B"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Demersal egg layer</w:t>
            </w:r>
          </w:p>
        </w:tc>
        <w:tc>
          <w:tcPr>
            <w:tcW w:w="851" w:type="dxa"/>
            <w:tcBorders>
              <w:top w:val="nil"/>
              <w:left w:val="nil"/>
              <w:bottom w:val="single" w:sz="4" w:space="0" w:color="auto"/>
              <w:right w:val="single" w:sz="4" w:space="0" w:color="auto"/>
            </w:tcBorders>
            <w:shd w:val="clear" w:color="000000" w:fill="FF0000"/>
            <w:noWrap/>
            <w:vAlign w:val="center"/>
            <w:hideMark/>
          </w:tcPr>
          <w:p w14:paraId="2421E321"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3.63</w:t>
            </w:r>
          </w:p>
        </w:tc>
        <w:tc>
          <w:tcPr>
            <w:tcW w:w="1281" w:type="dxa"/>
            <w:tcBorders>
              <w:top w:val="nil"/>
              <w:left w:val="nil"/>
              <w:bottom w:val="single" w:sz="4" w:space="0" w:color="auto"/>
              <w:right w:val="single" w:sz="4" w:space="0" w:color="auto"/>
            </w:tcBorders>
            <w:shd w:val="clear" w:color="auto" w:fill="auto"/>
            <w:noWrap/>
            <w:vAlign w:val="center"/>
            <w:hideMark/>
          </w:tcPr>
          <w:p w14:paraId="43131CB0"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NA</w:t>
            </w:r>
          </w:p>
        </w:tc>
        <w:tc>
          <w:tcPr>
            <w:tcW w:w="1275" w:type="dxa"/>
            <w:tcBorders>
              <w:top w:val="nil"/>
              <w:left w:val="nil"/>
              <w:bottom w:val="single" w:sz="4" w:space="0" w:color="auto"/>
              <w:right w:val="single" w:sz="4" w:space="0" w:color="auto"/>
            </w:tcBorders>
            <w:shd w:val="clear" w:color="auto" w:fill="C45911" w:themeFill="accent2" w:themeFillShade="BF"/>
            <w:noWrap/>
            <w:vAlign w:val="center"/>
            <w:hideMark/>
          </w:tcPr>
          <w:p w14:paraId="4F407284"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2.29</w:t>
            </w:r>
          </w:p>
        </w:tc>
        <w:tc>
          <w:tcPr>
            <w:tcW w:w="2552" w:type="dxa"/>
            <w:tcBorders>
              <w:top w:val="nil"/>
              <w:left w:val="nil"/>
              <w:bottom w:val="single" w:sz="4" w:space="0" w:color="auto"/>
              <w:right w:val="single" w:sz="4" w:space="0" w:color="auto"/>
            </w:tcBorders>
            <w:shd w:val="clear" w:color="auto" w:fill="auto"/>
            <w:noWrap/>
            <w:vAlign w:val="center"/>
            <w:hideMark/>
          </w:tcPr>
          <w:p w14:paraId="7675FEFA"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Fishbase; Heesen et al, 2015</w:t>
            </w:r>
          </w:p>
        </w:tc>
      </w:tr>
      <w:tr w:rsidR="003C4EE5" w:rsidRPr="00FD39D1" w14:paraId="28A4BC7A" w14:textId="77777777" w:rsidTr="003C4EE5">
        <w:trPr>
          <w:trHeight w:val="320"/>
          <w:jc w:val="center"/>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19A4F309"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lastRenderedPageBreak/>
              <w:t>Undulate ray</w:t>
            </w:r>
          </w:p>
        </w:tc>
        <w:tc>
          <w:tcPr>
            <w:tcW w:w="1417" w:type="dxa"/>
            <w:tcBorders>
              <w:top w:val="nil"/>
              <w:left w:val="nil"/>
              <w:bottom w:val="single" w:sz="4" w:space="0" w:color="auto"/>
              <w:right w:val="single" w:sz="4" w:space="0" w:color="auto"/>
            </w:tcBorders>
            <w:shd w:val="clear" w:color="auto" w:fill="auto"/>
            <w:noWrap/>
            <w:vAlign w:val="center"/>
            <w:hideMark/>
          </w:tcPr>
          <w:p w14:paraId="680C5BC3"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Elasmobranch</w:t>
            </w:r>
          </w:p>
        </w:tc>
        <w:tc>
          <w:tcPr>
            <w:tcW w:w="987" w:type="dxa"/>
            <w:tcBorders>
              <w:top w:val="nil"/>
              <w:left w:val="nil"/>
              <w:bottom w:val="single" w:sz="4" w:space="0" w:color="auto"/>
              <w:right w:val="single" w:sz="4" w:space="0" w:color="auto"/>
            </w:tcBorders>
            <w:shd w:val="clear" w:color="000000" w:fill="FFE699"/>
            <w:noWrap/>
            <w:vAlign w:val="center"/>
            <w:hideMark/>
          </w:tcPr>
          <w:p w14:paraId="3D292A39"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7.5 males / 9 females</w:t>
            </w:r>
          </w:p>
        </w:tc>
        <w:tc>
          <w:tcPr>
            <w:tcW w:w="992" w:type="dxa"/>
            <w:tcBorders>
              <w:top w:val="nil"/>
              <w:left w:val="nil"/>
              <w:bottom w:val="single" w:sz="4" w:space="0" w:color="auto"/>
              <w:right w:val="single" w:sz="4" w:space="0" w:color="auto"/>
            </w:tcBorders>
            <w:shd w:val="clear" w:color="000000" w:fill="FFE699"/>
            <w:noWrap/>
            <w:vAlign w:val="center"/>
            <w:hideMark/>
          </w:tcPr>
          <w:p w14:paraId="6F459323"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20</w:t>
            </w:r>
          </w:p>
        </w:tc>
        <w:tc>
          <w:tcPr>
            <w:tcW w:w="1140" w:type="dxa"/>
            <w:tcBorders>
              <w:top w:val="nil"/>
              <w:left w:val="nil"/>
              <w:bottom w:val="single" w:sz="4" w:space="0" w:color="auto"/>
              <w:right w:val="single" w:sz="4" w:space="0" w:color="auto"/>
            </w:tcBorders>
            <w:shd w:val="clear" w:color="000000" w:fill="FF3300"/>
            <w:noWrap/>
            <w:vAlign w:val="center"/>
            <w:hideMark/>
          </w:tcPr>
          <w:p w14:paraId="5B2A9C06"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88 eggshells/year</w:t>
            </w:r>
          </w:p>
        </w:tc>
        <w:tc>
          <w:tcPr>
            <w:tcW w:w="1046" w:type="dxa"/>
            <w:tcBorders>
              <w:top w:val="nil"/>
              <w:left w:val="nil"/>
              <w:bottom w:val="single" w:sz="4" w:space="0" w:color="auto"/>
              <w:right w:val="single" w:sz="4" w:space="0" w:color="auto"/>
            </w:tcBorders>
            <w:shd w:val="clear" w:color="000000" w:fill="FFE699"/>
            <w:noWrap/>
            <w:vAlign w:val="center"/>
            <w:hideMark/>
          </w:tcPr>
          <w:p w14:paraId="0CB08B31"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114</w:t>
            </w:r>
          </w:p>
        </w:tc>
        <w:tc>
          <w:tcPr>
            <w:tcW w:w="1075" w:type="dxa"/>
            <w:tcBorders>
              <w:top w:val="nil"/>
              <w:left w:val="nil"/>
              <w:bottom w:val="single" w:sz="4" w:space="0" w:color="auto"/>
              <w:right w:val="single" w:sz="4" w:space="0" w:color="auto"/>
            </w:tcBorders>
            <w:shd w:val="clear" w:color="000000" w:fill="FFE699"/>
            <w:noWrap/>
            <w:vAlign w:val="center"/>
            <w:hideMark/>
          </w:tcPr>
          <w:p w14:paraId="6BD897B0"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73 - 83</w:t>
            </w:r>
          </w:p>
        </w:tc>
        <w:tc>
          <w:tcPr>
            <w:tcW w:w="1417" w:type="dxa"/>
            <w:tcBorders>
              <w:top w:val="nil"/>
              <w:left w:val="nil"/>
              <w:bottom w:val="single" w:sz="4" w:space="0" w:color="auto"/>
              <w:right w:val="single" w:sz="4" w:space="0" w:color="auto"/>
            </w:tcBorders>
            <w:shd w:val="clear" w:color="000000" w:fill="FFE699"/>
            <w:noWrap/>
            <w:vAlign w:val="center"/>
            <w:hideMark/>
          </w:tcPr>
          <w:p w14:paraId="6F402050"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Demersal egg layer</w:t>
            </w:r>
          </w:p>
        </w:tc>
        <w:tc>
          <w:tcPr>
            <w:tcW w:w="851" w:type="dxa"/>
            <w:tcBorders>
              <w:top w:val="nil"/>
              <w:left w:val="nil"/>
              <w:bottom w:val="single" w:sz="4" w:space="0" w:color="auto"/>
              <w:right w:val="single" w:sz="4" w:space="0" w:color="auto"/>
            </w:tcBorders>
            <w:shd w:val="clear" w:color="000000" w:fill="FF0000"/>
            <w:noWrap/>
            <w:vAlign w:val="center"/>
            <w:hideMark/>
          </w:tcPr>
          <w:p w14:paraId="0A249421"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3.5</w:t>
            </w:r>
          </w:p>
        </w:tc>
        <w:tc>
          <w:tcPr>
            <w:tcW w:w="1281" w:type="dxa"/>
            <w:tcBorders>
              <w:top w:val="nil"/>
              <w:left w:val="nil"/>
              <w:bottom w:val="single" w:sz="4" w:space="0" w:color="auto"/>
              <w:right w:val="single" w:sz="4" w:space="0" w:color="auto"/>
            </w:tcBorders>
            <w:shd w:val="clear" w:color="auto" w:fill="auto"/>
            <w:noWrap/>
            <w:vAlign w:val="center"/>
            <w:hideMark/>
          </w:tcPr>
          <w:p w14:paraId="38535B3A"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NA</w:t>
            </w:r>
          </w:p>
        </w:tc>
        <w:tc>
          <w:tcPr>
            <w:tcW w:w="1275" w:type="dxa"/>
            <w:tcBorders>
              <w:top w:val="nil"/>
              <w:left w:val="nil"/>
              <w:bottom w:val="single" w:sz="4" w:space="0" w:color="auto"/>
              <w:right w:val="single" w:sz="4" w:space="0" w:color="auto"/>
            </w:tcBorders>
            <w:shd w:val="clear" w:color="auto" w:fill="C45911" w:themeFill="accent2" w:themeFillShade="BF"/>
            <w:noWrap/>
            <w:vAlign w:val="center"/>
            <w:hideMark/>
          </w:tcPr>
          <w:p w14:paraId="70DFA479"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2.29</w:t>
            </w:r>
          </w:p>
        </w:tc>
        <w:tc>
          <w:tcPr>
            <w:tcW w:w="2552" w:type="dxa"/>
            <w:tcBorders>
              <w:top w:val="nil"/>
              <w:left w:val="nil"/>
              <w:bottom w:val="single" w:sz="4" w:space="0" w:color="auto"/>
              <w:right w:val="single" w:sz="4" w:space="0" w:color="auto"/>
            </w:tcBorders>
            <w:shd w:val="clear" w:color="auto" w:fill="auto"/>
            <w:noWrap/>
            <w:vAlign w:val="center"/>
            <w:hideMark/>
          </w:tcPr>
          <w:p w14:paraId="4EB59F15"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Fishbase; Heesen et al, 2015</w:t>
            </w:r>
          </w:p>
        </w:tc>
      </w:tr>
      <w:tr w:rsidR="003C4EE5" w:rsidRPr="00FD39D1" w14:paraId="4DDEF71B" w14:textId="77777777" w:rsidTr="003C4EE5">
        <w:trPr>
          <w:trHeight w:val="320"/>
          <w:jc w:val="center"/>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52DF519C"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Lesser spotted dogfish</w:t>
            </w:r>
          </w:p>
        </w:tc>
        <w:tc>
          <w:tcPr>
            <w:tcW w:w="1417" w:type="dxa"/>
            <w:tcBorders>
              <w:top w:val="nil"/>
              <w:left w:val="nil"/>
              <w:bottom w:val="single" w:sz="4" w:space="0" w:color="auto"/>
              <w:right w:val="single" w:sz="4" w:space="0" w:color="auto"/>
            </w:tcBorders>
            <w:shd w:val="clear" w:color="auto" w:fill="auto"/>
            <w:noWrap/>
            <w:vAlign w:val="center"/>
            <w:hideMark/>
          </w:tcPr>
          <w:p w14:paraId="5C4ABDD7"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Elasmobranch</w:t>
            </w:r>
          </w:p>
        </w:tc>
        <w:tc>
          <w:tcPr>
            <w:tcW w:w="987" w:type="dxa"/>
            <w:tcBorders>
              <w:top w:val="nil"/>
              <w:left w:val="nil"/>
              <w:bottom w:val="single" w:sz="4" w:space="0" w:color="auto"/>
              <w:right w:val="single" w:sz="4" w:space="0" w:color="auto"/>
            </w:tcBorders>
            <w:shd w:val="clear" w:color="000000" w:fill="FFE699"/>
            <w:noWrap/>
            <w:vAlign w:val="center"/>
            <w:hideMark/>
          </w:tcPr>
          <w:p w14:paraId="3A61B7B9"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9</w:t>
            </w:r>
          </w:p>
        </w:tc>
        <w:tc>
          <w:tcPr>
            <w:tcW w:w="992" w:type="dxa"/>
            <w:tcBorders>
              <w:top w:val="nil"/>
              <w:left w:val="nil"/>
              <w:bottom w:val="single" w:sz="4" w:space="0" w:color="auto"/>
              <w:right w:val="single" w:sz="4" w:space="0" w:color="auto"/>
            </w:tcBorders>
            <w:shd w:val="clear" w:color="000000" w:fill="FFE699"/>
            <w:noWrap/>
            <w:vAlign w:val="center"/>
            <w:hideMark/>
          </w:tcPr>
          <w:p w14:paraId="51D20D25"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12</w:t>
            </w:r>
          </w:p>
        </w:tc>
        <w:tc>
          <w:tcPr>
            <w:tcW w:w="1140" w:type="dxa"/>
            <w:tcBorders>
              <w:top w:val="nil"/>
              <w:left w:val="nil"/>
              <w:bottom w:val="single" w:sz="4" w:space="0" w:color="auto"/>
              <w:right w:val="single" w:sz="4" w:space="0" w:color="auto"/>
            </w:tcBorders>
            <w:shd w:val="clear" w:color="000000" w:fill="FF3300"/>
            <w:noWrap/>
            <w:vAlign w:val="center"/>
            <w:hideMark/>
          </w:tcPr>
          <w:p w14:paraId="024F3596"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29-62</w:t>
            </w:r>
          </w:p>
        </w:tc>
        <w:tc>
          <w:tcPr>
            <w:tcW w:w="1046" w:type="dxa"/>
            <w:tcBorders>
              <w:top w:val="nil"/>
              <w:left w:val="nil"/>
              <w:bottom w:val="single" w:sz="4" w:space="0" w:color="auto"/>
              <w:right w:val="single" w:sz="4" w:space="0" w:color="auto"/>
            </w:tcBorders>
            <w:shd w:val="clear" w:color="000000" w:fill="FFE699"/>
            <w:noWrap/>
            <w:vAlign w:val="center"/>
            <w:hideMark/>
          </w:tcPr>
          <w:p w14:paraId="33C7799C"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100</w:t>
            </w:r>
          </w:p>
        </w:tc>
        <w:tc>
          <w:tcPr>
            <w:tcW w:w="1075" w:type="dxa"/>
            <w:tcBorders>
              <w:top w:val="nil"/>
              <w:left w:val="nil"/>
              <w:bottom w:val="single" w:sz="4" w:space="0" w:color="auto"/>
              <w:right w:val="single" w:sz="4" w:space="0" w:color="auto"/>
            </w:tcBorders>
            <w:shd w:val="clear" w:color="000000" w:fill="FFE699"/>
            <w:noWrap/>
            <w:vAlign w:val="center"/>
            <w:hideMark/>
          </w:tcPr>
          <w:p w14:paraId="06911F68"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57</w:t>
            </w:r>
          </w:p>
        </w:tc>
        <w:tc>
          <w:tcPr>
            <w:tcW w:w="1417" w:type="dxa"/>
            <w:tcBorders>
              <w:top w:val="nil"/>
              <w:left w:val="nil"/>
              <w:bottom w:val="single" w:sz="4" w:space="0" w:color="auto"/>
              <w:right w:val="single" w:sz="4" w:space="0" w:color="auto"/>
            </w:tcBorders>
            <w:shd w:val="clear" w:color="000000" w:fill="FFE699"/>
            <w:noWrap/>
            <w:vAlign w:val="center"/>
            <w:hideMark/>
          </w:tcPr>
          <w:p w14:paraId="086E9913"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Demersal egg layer</w:t>
            </w:r>
          </w:p>
        </w:tc>
        <w:tc>
          <w:tcPr>
            <w:tcW w:w="851" w:type="dxa"/>
            <w:tcBorders>
              <w:top w:val="nil"/>
              <w:left w:val="nil"/>
              <w:bottom w:val="single" w:sz="4" w:space="0" w:color="auto"/>
              <w:right w:val="single" w:sz="4" w:space="0" w:color="auto"/>
            </w:tcBorders>
            <w:shd w:val="clear" w:color="000000" w:fill="FF0000"/>
            <w:noWrap/>
            <w:vAlign w:val="center"/>
            <w:hideMark/>
          </w:tcPr>
          <w:p w14:paraId="15F31B89"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3.8</w:t>
            </w:r>
          </w:p>
        </w:tc>
        <w:tc>
          <w:tcPr>
            <w:tcW w:w="1281" w:type="dxa"/>
            <w:tcBorders>
              <w:top w:val="nil"/>
              <w:left w:val="nil"/>
              <w:bottom w:val="single" w:sz="4" w:space="0" w:color="auto"/>
              <w:right w:val="single" w:sz="4" w:space="0" w:color="auto"/>
            </w:tcBorders>
            <w:shd w:val="clear" w:color="auto" w:fill="auto"/>
            <w:noWrap/>
            <w:vAlign w:val="center"/>
            <w:hideMark/>
          </w:tcPr>
          <w:p w14:paraId="2A742200"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NA</w:t>
            </w:r>
          </w:p>
        </w:tc>
        <w:tc>
          <w:tcPr>
            <w:tcW w:w="1275" w:type="dxa"/>
            <w:tcBorders>
              <w:top w:val="nil"/>
              <w:left w:val="nil"/>
              <w:bottom w:val="single" w:sz="4" w:space="0" w:color="auto"/>
              <w:right w:val="single" w:sz="4" w:space="0" w:color="auto"/>
            </w:tcBorders>
            <w:shd w:val="clear" w:color="auto" w:fill="C45911" w:themeFill="accent2" w:themeFillShade="BF"/>
            <w:noWrap/>
            <w:vAlign w:val="center"/>
            <w:hideMark/>
          </w:tcPr>
          <w:p w14:paraId="44491B90"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2.29</w:t>
            </w:r>
          </w:p>
        </w:tc>
        <w:tc>
          <w:tcPr>
            <w:tcW w:w="2552" w:type="dxa"/>
            <w:tcBorders>
              <w:top w:val="nil"/>
              <w:left w:val="nil"/>
              <w:bottom w:val="single" w:sz="4" w:space="0" w:color="auto"/>
              <w:right w:val="single" w:sz="4" w:space="0" w:color="auto"/>
            </w:tcBorders>
            <w:shd w:val="clear" w:color="auto" w:fill="auto"/>
            <w:noWrap/>
            <w:vAlign w:val="center"/>
            <w:hideMark/>
          </w:tcPr>
          <w:p w14:paraId="43B33AAE"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Fishbase; Shark Trust Guide; Heesen et al, 2015</w:t>
            </w:r>
          </w:p>
        </w:tc>
      </w:tr>
      <w:tr w:rsidR="003C4EE5" w:rsidRPr="00FD39D1" w14:paraId="53165B4C" w14:textId="77777777" w:rsidTr="003C4EE5">
        <w:trPr>
          <w:trHeight w:val="320"/>
          <w:jc w:val="center"/>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DBAB519"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Common spider crab</w:t>
            </w:r>
          </w:p>
        </w:tc>
        <w:tc>
          <w:tcPr>
            <w:tcW w:w="1417" w:type="dxa"/>
            <w:tcBorders>
              <w:top w:val="nil"/>
              <w:left w:val="nil"/>
              <w:bottom w:val="single" w:sz="4" w:space="0" w:color="auto"/>
              <w:right w:val="single" w:sz="4" w:space="0" w:color="auto"/>
            </w:tcBorders>
            <w:shd w:val="clear" w:color="auto" w:fill="auto"/>
            <w:noWrap/>
            <w:vAlign w:val="center"/>
            <w:hideMark/>
          </w:tcPr>
          <w:p w14:paraId="7EC28EAB"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Crustaceans</w:t>
            </w:r>
          </w:p>
        </w:tc>
        <w:tc>
          <w:tcPr>
            <w:tcW w:w="987" w:type="dxa"/>
            <w:tcBorders>
              <w:top w:val="nil"/>
              <w:left w:val="nil"/>
              <w:bottom w:val="single" w:sz="4" w:space="0" w:color="auto"/>
              <w:right w:val="single" w:sz="4" w:space="0" w:color="auto"/>
            </w:tcBorders>
            <w:shd w:val="clear" w:color="auto" w:fill="auto"/>
            <w:noWrap/>
            <w:vAlign w:val="center"/>
            <w:hideMark/>
          </w:tcPr>
          <w:p w14:paraId="08E82970"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NA</w:t>
            </w:r>
          </w:p>
        </w:tc>
        <w:tc>
          <w:tcPr>
            <w:tcW w:w="992" w:type="dxa"/>
            <w:tcBorders>
              <w:top w:val="nil"/>
              <w:left w:val="nil"/>
              <w:bottom w:val="single" w:sz="4" w:space="0" w:color="auto"/>
              <w:right w:val="single" w:sz="4" w:space="0" w:color="auto"/>
            </w:tcBorders>
            <w:shd w:val="clear" w:color="auto" w:fill="auto"/>
            <w:noWrap/>
            <w:vAlign w:val="center"/>
            <w:hideMark/>
          </w:tcPr>
          <w:p w14:paraId="4D8A7625"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NA</w:t>
            </w:r>
          </w:p>
        </w:tc>
        <w:tc>
          <w:tcPr>
            <w:tcW w:w="1140" w:type="dxa"/>
            <w:tcBorders>
              <w:top w:val="nil"/>
              <w:left w:val="nil"/>
              <w:bottom w:val="single" w:sz="4" w:space="0" w:color="auto"/>
              <w:right w:val="single" w:sz="4" w:space="0" w:color="auto"/>
            </w:tcBorders>
            <w:shd w:val="clear" w:color="000000" w:fill="C6E0B4"/>
            <w:noWrap/>
            <w:vAlign w:val="center"/>
            <w:hideMark/>
          </w:tcPr>
          <w:p w14:paraId="53E335B8"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400,000</w:t>
            </w:r>
          </w:p>
        </w:tc>
        <w:tc>
          <w:tcPr>
            <w:tcW w:w="1046" w:type="dxa"/>
            <w:tcBorders>
              <w:top w:val="nil"/>
              <w:left w:val="nil"/>
              <w:bottom w:val="single" w:sz="4" w:space="0" w:color="auto"/>
              <w:right w:val="single" w:sz="4" w:space="0" w:color="auto"/>
            </w:tcBorders>
            <w:shd w:val="clear" w:color="000000" w:fill="C6E0B4"/>
            <w:noWrap/>
            <w:vAlign w:val="center"/>
            <w:hideMark/>
          </w:tcPr>
          <w:p w14:paraId="4E90AA3C"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20</w:t>
            </w:r>
          </w:p>
        </w:tc>
        <w:tc>
          <w:tcPr>
            <w:tcW w:w="1075" w:type="dxa"/>
            <w:tcBorders>
              <w:top w:val="nil"/>
              <w:left w:val="nil"/>
              <w:bottom w:val="single" w:sz="4" w:space="0" w:color="auto"/>
              <w:right w:val="single" w:sz="4" w:space="0" w:color="auto"/>
            </w:tcBorders>
            <w:shd w:val="clear" w:color="000000" w:fill="C6E0B4"/>
            <w:noWrap/>
            <w:vAlign w:val="center"/>
            <w:hideMark/>
          </w:tcPr>
          <w:p w14:paraId="1EDFAA33"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13</w:t>
            </w:r>
          </w:p>
        </w:tc>
        <w:tc>
          <w:tcPr>
            <w:tcW w:w="1417" w:type="dxa"/>
            <w:tcBorders>
              <w:top w:val="nil"/>
              <w:left w:val="nil"/>
              <w:bottom w:val="single" w:sz="4" w:space="0" w:color="auto"/>
              <w:right w:val="single" w:sz="4" w:space="0" w:color="auto"/>
            </w:tcBorders>
            <w:shd w:val="clear" w:color="000000" w:fill="C6E0B4"/>
            <w:noWrap/>
            <w:vAlign w:val="center"/>
            <w:hideMark/>
          </w:tcPr>
          <w:p w14:paraId="0591174F"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Batch-spawner</w:t>
            </w:r>
          </w:p>
        </w:tc>
        <w:tc>
          <w:tcPr>
            <w:tcW w:w="851" w:type="dxa"/>
            <w:tcBorders>
              <w:top w:val="nil"/>
              <w:left w:val="nil"/>
              <w:bottom w:val="single" w:sz="4" w:space="0" w:color="auto"/>
              <w:right w:val="single" w:sz="4" w:space="0" w:color="auto"/>
            </w:tcBorders>
            <w:shd w:val="clear" w:color="000000" w:fill="FF0000"/>
            <w:noWrap/>
            <w:vAlign w:val="center"/>
            <w:hideMark/>
          </w:tcPr>
          <w:p w14:paraId="2A37EEB1"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No info</w:t>
            </w:r>
          </w:p>
        </w:tc>
        <w:tc>
          <w:tcPr>
            <w:tcW w:w="1281" w:type="dxa"/>
            <w:tcBorders>
              <w:top w:val="nil"/>
              <w:left w:val="nil"/>
              <w:bottom w:val="single" w:sz="4" w:space="0" w:color="auto"/>
              <w:right w:val="single" w:sz="4" w:space="0" w:color="auto"/>
            </w:tcBorders>
            <w:shd w:val="clear" w:color="000000" w:fill="C6E0B4"/>
            <w:noWrap/>
            <w:vAlign w:val="center"/>
            <w:hideMark/>
          </w:tcPr>
          <w:p w14:paraId="3ECCD098"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w:t>
            </w:r>
          </w:p>
        </w:tc>
        <w:tc>
          <w:tcPr>
            <w:tcW w:w="1275" w:type="dxa"/>
            <w:tcBorders>
              <w:top w:val="nil"/>
              <w:left w:val="nil"/>
              <w:bottom w:val="single" w:sz="4" w:space="0" w:color="auto"/>
              <w:right w:val="single" w:sz="4" w:space="0" w:color="auto"/>
            </w:tcBorders>
            <w:shd w:val="clear" w:color="auto" w:fill="C45911" w:themeFill="accent2" w:themeFillShade="BF"/>
            <w:noWrap/>
            <w:vAlign w:val="center"/>
            <w:hideMark/>
          </w:tcPr>
          <w:p w14:paraId="526B3E52"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1.5</w:t>
            </w:r>
          </w:p>
        </w:tc>
        <w:tc>
          <w:tcPr>
            <w:tcW w:w="2552" w:type="dxa"/>
            <w:tcBorders>
              <w:top w:val="nil"/>
              <w:left w:val="nil"/>
              <w:bottom w:val="single" w:sz="4" w:space="0" w:color="auto"/>
              <w:right w:val="single" w:sz="4" w:space="0" w:color="auto"/>
            </w:tcBorders>
            <w:shd w:val="clear" w:color="auto" w:fill="auto"/>
            <w:noWrap/>
            <w:vAlign w:val="center"/>
            <w:hideMark/>
          </w:tcPr>
          <w:p w14:paraId="7742A73A"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Meyer, 2010</w:t>
            </w:r>
          </w:p>
        </w:tc>
      </w:tr>
      <w:tr w:rsidR="003C4EE5" w:rsidRPr="00E701CC" w14:paraId="238120FA" w14:textId="77777777" w:rsidTr="003C4EE5">
        <w:trPr>
          <w:trHeight w:val="320"/>
          <w:jc w:val="center"/>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1BB95CEF"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Cuttlefish</w:t>
            </w:r>
          </w:p>
        </w:tc>
        <w:tc>
          <w:tcPr>
            <w:tcW w:w="1417" w:type="dxa"/>
            <w:tcBorders>
              <w:top w:val="nil"/>
              <w:left w:val="nil"/>
              <w:bottom w:val="single" w:sz="4" w:space="0" w:color="auto"/>
              <w:right w:val="single" w:sz="4" w:space="0" w:color="auto"/>
            </w:tcBorders>
            <w:shd w:val="clear" w:color="auto" w:fill="auto"/>
            <w:noWrap/>
            <w:vAlign w:val="center"/>
            <w:hideMark/>
          </w:tcPr>
          <w:p w14:paraId="312F0D00"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Cephalopod</w:t>
            </w:r>
          </w:p>
        </w:tc>
        <w:tc>
          <w:tcPr>
            <w:tcW w:w="987" w:type="dxa"/>
            <w:tcBorders>
              <w:top w:val="nil"/>
              <w:left w:val="nil"/>
              <w:bottom w:val="single" w:sz="4" w:space="0" w:color="auto"/>
              <w:right w:val="single" w:sz="4" w:space="0" w:color="auto"/>
            </w:tcBorders>
            <w:shd w:val="clear" w:color="000000" w:fill="C6E0B4"/>
            <w:noWrap/>
            <w:vAlign w:val="center"/>
            <w:hideMark/>
          </w:tcPr>
          <w:p w14:paraId="75127A1C"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&lt;1 year</w:t>
            </w:r>
          </w:p>
        </w:tc>
        <w:tc>
          <w:tcPr>
            <w:tcW w:w="992" w:type="dxa"/>
            <w:tcBorders>
              <w:top w:val="nil"/>
              <w:left w:val="nil"/>
              <w:bottom w:val="single" w:sz="4" w:space="0" w:color="auto"/>
              <w:right w:val="single" w:sz="4" w:space="0" w:color="auto"/>
            </w:tcBorders>
            <w:shd w:val="clear" w:color="000000" w:fill="C6E0B4"/>
            <w:noWrap/>
            <w:vAlign w:val="center"/>
            <w:hideMark/>
          </w:tcPr>
          <w:p w14:paraId="60E37E74"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90 days</w:t>
            </w:r>
          </w:p>
        </w:tc>
        <w:tc>
          <w:tcPr>
            <w:tcW w:w="1140" w:type="dxa"/>
            <w:tcBorders>
              <w:top w:val="nil"/>
              <w:left w:val="nil"/>
              <w:bottom w:val="single" w:sz="4" w:space="0" w:color="auto"/>
              <w:right w:val="single" w:sz="4" w:space="0" w:color="auto"/>
            </w:tcBorders>
            <w:shd w:val="clear" w:color="000000" w:fill="FFE699"/>
            <w:noWrap/>
            <w:vAlign w:val="center"/>
            <w:hideMark/>
          </w:tcPr>
          <w:p w14:paraId="127712C4"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3700 - 8000</w:t>
            </w:r>
          </w:p>
        </w:tc>
        <w:tc>
          <w:tcPr>
            <w:tcW w:w="1046" w:type="dxa"/>
            <w:tcBorders>
              <w:top w:val="nil"/>
              <w:left w:val="nil"/>
              <w:bottom w:val="single" w:sz="4" w:space="0" w:color="auto"/>
              <w:right w:val="single" w:sz="4" w:space="0" w:color="auto"/>
            </w:tcBorders>
            <w:shd w:val="clear" w:color="000000" w:fill="C6E0B4"/>
            <w:noWrap/>
            <w:vAlign w:val="center"/>
            <w:hideMark/>
          </w:tcPr>
          <w:p w14:paraId="7D17AEE2"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45</w:t>
            </w:r>
          </w:p>
        </w:tc>
        <w:tc>
          <w:tcPr>
            <w:tcW w:w="1075" w:type="dxa"/>
            <w:tcBorders>
              <w:top w:val="nil"/>
              <w:left w:val="nil"/>
              <w:bottom w:val="single" w:sz="4" w:space="0" w:color="auto"/>
              <w:right w:val="single" w:sz="4" w:space="0" w:color="auto"/>
            </w:tcBorders>
            <w:shd w:val="clear" w:color="000000" w:fill="C6E0B4"/>
            <w:noWrap/>
            <w:vAlign w:val="center"/>
            <w:hideMark/>
          </w:tcPr>
          <w:p w14:paraId="109D1176"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13</w:t>
            </w:r>
          </w:p>
        </w:tc>
        <w:tc>
          <w:tcPr>
            <w:tcW w:w="1417" w:type="dxa"/>
            <w:tcBorders>
              <w:top w:val="nil"/>
              <w:left w:val="nil"/>
              <w:bottom w:val="single" w:sz="4" w:space="0" w:color="auto"/>
              <w:right w:val="single" w:sz="4" w:space="0" w:color="auto"/>
            </w:tcBorders>
            <w:shd w:val="clear" w:color="000000" w:fill="C6E0B4"/>
            <w:noWrap/>
            <w:vAlign w:val="center"/>
            <w:hideMark/>
          </w:tcPr>
          <w:p w14:paraId="74B38AFF"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Batch-spawner</w:t>
            </w:r>
          </w:p>
        </w:tc>
        <w:tc>
          <w:tcPr>
            <w:tcW w:w="851" w:type="dxa"/>
            <w:tcBorders>
              <w:top w:val="nil"/>
              <w:left w:val="nil"/>
              <w:bottom w:val="single" w:sz="4" w:space="0" w:color="auto"/>
              <w:right w:val="single" w:sz="4" w:space="0" w:color="auto"/>
            </w:tcBorders>
            <w:shd w:val="clear" w:color="000000" w:fill="FF0000"/>
            <w:noWrap/>
            <w:vAlign w:val="center"/>
            <w:hideMark/>
          </w:tcPr>
          <w:p w14:paraId="26E83C25"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3.7</w:t>
            </w:r>
          </w:p>
        </w:tc>
        <w:tc>
          <w:tcPr>
            <w:tcW w:w="1281" w:type="dxa"/>
            <w:tcBorders>
              <w:top w:val="nil"/>
              <w:left w:val="nil"/>
              <w:bottom w:val="single" w:sz="4" w:space="0" w:color="auto"/>
              <w:right w:val="single" w:sz="4" w:space="0" w:color="auto"/>
            </w:tcBorders>
            <w:shd w:val="clear" w:color="auto" w:fill="C5E0B3" w:themeFill="accent6" w:themeFillTint="66"/>
            <w:noWrap/>
            <w:vAlign w:val="center"/>
            <w:hideMark/>
          </w:tcPr>
          <w:p w14:paraId="3658134F"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w:t>
            </w:r>
          </w:p>
        </w:tc>
        <w:tc>
          <w:tcPr>
            <w:tcW w:w="1275" w:type="dxa"/>
            <w:tcBorders>
              <w:top w:val="nil"/>
              <w:left w:val="nil"/>
              <w:bottom w:val="single" w:sz="4" w:space="0" w:color="auto"/>
              <w:right w:val="single" w:sz="4" w:space="0" w:color="auto"/>
            </w:tcBorders>
            <w:shd w:val="clear" w:color="auto" w:fill="C45911" w:themeFill="accent2" w:themeFillShade="BF"/>
            <w:noWrap/>
            <w:vAlign w:val="center"/>
            <w:hideMark/>
          </w:tcPr>
          <w:p w14:paraId="6BE99C8E" w14:textId="77777777" w:rsidR="003C4EE5" w:rsidRPr="00FD39D1"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1.17</w:t>
            </w:r>
          </w:p>
        </w:tc>
        <w:tc>
          <w:tcPr>
            <w:tcW w:w="2552" w:type="dxa"/>
            <w:tcBorders>
              <w:top w:val="nil"/>
              <w:left w:val="nil"/>
              <w:bottom w:val="single" w:sz="4" w:space="0" w:color="auto"/>
              <w:right w:val="single" w:sz="4" w:space="0" w:color="auto"/>
            </w:tcBorders>
            <w:shd w:val="clear" w:color="auto" w:fill="auto"/>
            <w:noWrap/>
            <w:vAlign w:val="center"/>
            <w:hideMark/>
          </w:tcPr>
          <w:p w14:paraId="7C27F223" w14:textId="77777777" w:rsidR="003C4EE5" w:rsidRPr="00E701CC" w:rsidRDefault="003C4EE5" w:rsidP="003C4EE5">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 xml:space="preserve">Onsoy and Salman, 2005; ICES, 2010; Forese </w:t>
            </w:r>
            <w:r w:rsidRPr="00FD39D1">
              <w:rPr>
                <w:rFonts w:ascii="Calibri" w:eastAsia="Times New Roman" w:hAnsi="Calibri" w:cs="Times New Roman"/>
                <w:i/>
                <w:iCs/>
                <w:color w:val="000000"/>
                <w:lang w:eastAsia="en-GB"/>
              </w:rPr>
              <w:t>et al</w:t>
            </w:r>
            <w:r w:rsidRPr="00FD39D1">
              <w:rPr>
                <w:rFonts w:ascii="Calibri" w:eastAsia="Times New Roman" w:hAnsi="Calibri" w:cs="Times New Roman"/>
                <w:color w:val="000000"/>
                <w:lang w:eastAsia="en-GB"/>
              </w:rPr>
              <w:t>., 2005.</w:t>
            </w:r>
          </w:p>
        </w:tc>
      </w:tr>
    </w:tbl>
    <w:p w14:paraId="2BDADED4" w14:textId="77777777" w:rsidR="003C4EE5" w:rsidRDefault="003C4EE5" w:rsidP="003C4EE5">
      <w:pPr>
        <w:jc w:val="center"/>
      </w:pPr>
      <w:r>
        <w:fldChar w:fldCharType="end"/>
      </w:r>
    </w:p>
    <w:p w14:paraId="06A333DA" w14:textId="77777777" w:rsidR="003C4EE5" w:rsidRDefault="003C4EE5" w:rsidP="003C4EE5">
      <w:pPr>
        <w:spacing w:after="160" w:line="259" w:lineRule="auto"/>
        <w:ind w:left="0"/>
        <w:jc w:val="left"/>
        <w:rPr>
          <w:rFonts w:eastAsiaTheme="majorEastAsia" w:cstheme="majorBidi"/>
          <w:color w:val="004C6F"/>
          <w:sz w:val="28"/>
          <w:szCs w:val="28"/>
        </w:rPr>
      </w:pPr>
      <w:r>
        <w:br w:type="page"/>
      </w:r>
    </w:p>
    <w:p w14:paraId="3E08D496" w14:textId="77777777" w:rsidR="003C4EE5" w:rsidRDefault="003C4EE5" w:rsidP="003C4EE5">
      <w:pPr>
        <w:pStyle w:val="Heading2"/>
        <w:ind w:left="0"/>
      </w:pPr>
      <w:bookmarkStart w:id="70" w:name="_Toc516750547"/>
      <w:bookmarkStart w:id="71" w:name="_Toc518658153"/>
      <w:r>
        <w:lastRenderedPageBreak/>
        <w:t>Susceptibility score</w:t>
      </w:r>
      <w:bookmarkEnd w:id="70"/>
      <w:bookmarkEnd w:id="71"/>
    </w:p>
    <w:p w14:paraId="73D066A4" w14:textId="5F6599D6" w:rsidR="003C4EE5" w:rsidRDefault="003C4EE5" w:rsidP="003C4EE5">
      <w:pPr>
        <w:pStyle w:val="Caption"/>
      </w:pPr>
      <w:bookmarkStart w:id="72" w:name="_Toc516669269"/>
      <w:bookmarkStart w:id="73" w:name="_Toc516669281"/>
      <w:bookmarkStart w:id="74" w:name="_Toc518658165"/>
      <w:bookmarkStart w:id="75" w:name="_Toc518658177"/>
      <w:r>
        <w:t xml:space="preserve">Table </w:t>
      </w:r>
      <w:r w:rsidR="00DB2E87">
        <w:rPr>
          <w:noProof/>
        </w:rPr>
        <w:fldChar w:fldCharType="begin"/>
      </w:r>
      <w:r w:rsidR="00DB2E87">
        <w:rPr>
          <w:noProof/>
        </w:rPr>
        <w:instrText xml:space="preserve"> SEQ Table \* ARABIC </w:instrText>
      </w:r>
      <w:r w:rsidR="00DB2E87">
        <w:rPr>
          <w:noProof/>
        </w:rPr>
        <w:fldChar w:fldCharType="separate"/>
      </w:r>
      <w:r>
        <w:rPr>
          <w:noProof/>
        </w:rPr>
        <w:t>7</w:t>
      </w:r>
      <w:r w:rsidR="00DB2E87">
        <w:rPr>
          <w:noProof/>
        </w:rPr>
        <w:fldChar w:fldCharType="end"/>
      </w:r>
      <w:r>
        <w:t>. Susceptibility score for secondary species from tangle/trammel and gill nets.</w:t>
      </w:r>
      <w:bookmarkEnd w:id="72"/>
      <w:bookmarkEnd w:id="73"/>
      <w:bookmarkEnd w:id="74"/>
      <w:bookmarkEnd w:id="75"/>
      <w:r>
        <w:rPr>
          <w:rFonts w:eastAsiaTheme="majorEastAsia" w:cstheme="majorBidi"/>
          <w:color w:val="004C6F"/>
          <w:sz w:val="28"/>
          <w:szCs w:val="28"/>
        </w:rPr>
        <w:fldChar w:fldCharType="begin"/>
      </w:r>
      <w:r>
        <w:instrText xml:space="preserve"> LINK </w:instrText>
      </w:r>
      <w:r w:rsidR="00765935">
        <w:instrText xml:space="preserve">Excel.Sheet.12 "\\\\lowfilecdr\\CDP\\C7488_MSC Project UK\\Working_Area\\TASK 6 (Ana) Monkfish sec species status\\Analysis\\Productivity tables.xlsx" Netters!R1C2:R9C6 </w:instrText>
      </w:r>
      <w:r>
        <w:instrText xml:space="preserve">\a \f 4 \h  \* MERGEFORMAT </w:instrText>
      </w:r>
      <w:r>
        <w:rPr>
          <w:rFonts w:eastAsiaTheme="majorEastAsia" w:cstheme="majorBidi"/>
          <w:color w:val="004C6F"/>
          <w:sz w:val="28"/>
          <w:szCs w:val="28"/>
        </w:rPr>
        <w:fldChar w:fldCharType="separate"/>
      </w:r>
      <w:bookmarkStart w:id="76" w:name="_1591179734"/>
      <w:bookmarkEnd w:id="76"/>
    </w:p>
    <w:tbl>
      <w:tblPr>
        <w:tblW w:w="13887" w:type="dxa"/>
        <w:tblLook w:val="04A0" w:firstRow="1" w:lastRow="0" w:firstColumn="1" w:lastColumn="0" w:noHBand="0" w:noVBand="1"/>
      </w:tblPr>
      <w:tblGrid>
        <w:gridCol w:w="1039"/>
        <w:gridCol w:w="4071"/>
        <w:gridCol w:w="2346"/>
        <w:gridCol w:w="1330"/>
        <w:gridCol w:w="2380"/>
        <w:gridCol w:w="2721"/>
      </w:tblGrid>
      <w:tr w:rsidR="00D2140F" w:rsidRPr="001602CE" w14:paraId="1E4313DD" w14:textId="223874B4" w:rsidTr="00C61884">
        <w:trPr>
          <w:trHeight w:val="330"/>
        </w:trPr>
        <w:tc>
          <w:tcPr>
            <w:tcW w:w="1039" w:type="dxa"/>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CFE8DDA" w14:textId="77777777" w:rsidR="00D2140F" w:rsidRPr="001602CE" w:rsidRDefault="00D2140F" w:rsidP="003C4EE5">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Species</w:t>
            </w:r>
          </w:p>
        </w:tc>
        <w:tc>
          <w:tcPr>
            <w:tcW w:w="10127" w:type="dxa"/>
            <w:gridSpan w:val="4"/>
            <w:tcBorders>
              <w:top w:val="single" w:sz="4" w:space="0" w:color="auto"/>
              <w:left w:val="nil"/>
              <w:bottom w:val="single" w:sz="4" w:space="0" w:color="auto"/>
              <w:right w:val="single" w:sz="4" w:space="0" w:color="auto"/>
            </w:tcBorders>
            <w:shd w:val="clear" w:color="000000" w:fill="D9D9D9"/>
            <w:noWrap/>
            <w:vAlign w:val="bottom"/>
            <w:hideMark/>
          </w:tcPr>
          <w:p w14:paraId="6C94A9CD" w14:textId="77777777" w:rsidR="00D2140F" w:rsidRPr="001602CE" w:rsidRDefault="00D2140F" w:rsidP="003C4EE5">
            <w:pPr>
              <w:spacing w:after="0" w:line="240" w:lineRule="auto"/>
              <w:ind w:left="0"/>
              <w:jc w:val="center"/>
              <w:rPr>
                <w:rFonts w:ascii="Calibri" w:eastAsia="Times New Roman" w:hAnsi="Calibri" w:cs="Times New Roman"/>
                <w:b/>
                <w:color w:val="000000"/>
                <w:lang w:eastAsia="en-GB"/>
              </w:rPr>
            </w:pPr>
            <w:r w:rsidRPr="001602CE">
              <w:rPr>
                <w:rFonts w:ascii="Calibri" w:eastAsia="Times New Roman" w:hAnsi="Calibri" w:cs="Times New Roman"/>
                <w:b/>
                <w:color w:val="000000"/>
                <w:lang w:eastAsia="en-GB"/>
              </w:rPr>
              <w:t>Tangle/ Trammel and Gill nets (Netters)</w:t>
            </w:r>
          </w:p>
        </w:tc>
        <w:tc>
          <w:tcPr>
            <w:tcW w:w="2721" w:type="dxa"/>
            <w:tcBorders>
              <w:top w:val="single" w:sz="4" w:space="0" w:color="auto"/>
              <w:left w:val="nil"/>
              <w:bottom w:val="single" w:sz="4" w:space="0" w:color="auto"/>
              <w:right w:val="single" w:sz="4" w:space="0" w:color="auto"/>
            </w:tcBorders>
            <w:shd w:val="clear" w:color="000000" w:fill="D9D9D9"/>
          </w:tcPr>
          <w:p w14:paraId="6AE1E3D2" w14:textId="77777777" w:rsidR="00D2140F" w:rsidRPr="001602CE" w:rsidRDefault="00D2140F" w:rsidP="003C4EE5">
            <w:pPr>
              <w:spacing w:after="0" w:line="240" w:lineRule="auto"/>
              <w:ind w:left="0"/>
              <w:jc w:val="center"/>
              <w:rPr>
                <w:rFonts w:ascii="Calibri" w:eastAsia="Times New Roman" w:hAnsi="Calibri" w:cs="Times New Roman"/>
                <w:b/>
                <w:color w:val="000000"/>
                <w:lang w:eastAsia="en-GB"/>
              </w:rPr>
            </w:pPr>
          </w:p>
        </w:tc>
      </w:tr>
      <w:tr w:rsidR="00D2140F" w:rsidRPr="001602CE" w14:paraId="73C029E7" w14:textId="76EDE599" w:rsidTr="00C61884">
        <w:trPr>
          <w:trHeight w:val="330"/>
        </w:trPr>
        <w:tc>
          <w:tcPr>
            <w:tcW w:w="1039" w:type="dxa"/>
            <w:vMerge/>
            <w:tcBorders>
              <w:top w:val="single" w:sz="4" w:space="0" w:color="auto"/>
              <w:left w:val="single" w:sz="4" w:space="0" w:color="auto"/>
              <w:bottom w:val="single" w:sz="4" w:space="0" w:color="auto"/>
              <w:right w:val="single" w:sz="4" w:space="0" w:color="auto"/>
            </w:tcBorders>
            <w:vAlign w:val="center"/>
            <w:hideMark/>
          </w:tcPr>
          <w:p w14:paraId="0E5DB877"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p>
        </w:tc>
        <w:tc>
          <w:tcPr>
            <w:tcW w:w="4071" w:type="dxa"/>
            <w:tcBorders>
              <w:top w:val="nil"/>
              <w:left w:val="nil"/>
              <w:bottom w:val="single" w:sz="4" w:space="0" w:color="auto"/>
              <w:right w:val="single" w:sz="4" w:space="0" w:color="auto"/>
            </w:tcBorders>
            <w:shd w:val="clear" w:color="000000" w:fill="D9D9D9"/>
            <w:noWrap/>
            <w:vAlign w:val="bottom"/>
            <w:hideMark/>
          </w:tcPr>
          <w:p w14:paraId="3C7A6308"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Areal coverage</w:t>
            </w:r>
          </w:p>
        </w:tc>
        <w:tc>
          <w:tcPr>
            <w:tcW w:w="2346" w:type="dxa"/>
            <w:tcBorders>
              <w:top w:val="nil"/>
              <w:left w:val="nil"/>
              <w:bottom w:val="single" w:sz="4" w:space="0" w:color="auto"/>
              <w:right w:val="single" w:sz="4" w:space="0" w:color="auto"/>
            </w:tcBorders>
            <w:shd w:val="clear" w:color="000000" w:fill="D9D9D9"/>
            <w:noWrap/>
            <w:vAlign w:val="bottom"/>
            <w:hideMark/>
          </w:tcPr>
          <w:p w14:paraId="3E35ED6B"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Encounterability</w:t>
            </w:r>
          </w:p>
        </w:tc>
        <w:tc>
          <w:tcPr>
            <w:tcW w:w="1330" w:type="dxa"/>
            <w:tcBorders>
              <w:top w:val="nil"/>
              <w:left w:val="nil"/>
              <w:bottom w:val="single" w:sz="4" w:space="0" w:color="auto"/>
              <w:right w:val="single" w:sz="4" w:space="0" w:color="auto"/>
            </w:tcBorders>
            <w:shd w:val="clear" w:color="000000" w:fill="D9D9D9"/>
            <w:noWrap/>
            <w:vAlign w:val="bottom"/>
            <w:hideMark/>
          </w:tcPr>
          <w:p w14:paraId="35E1EE99"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Selectivity</w:t>
            </w:r>
          </w:p>
        </w:tc>
        <w:tc>
          <w:tcPr>
            <w:tcW w:w="2380" w:type="dxa"/>
            <w:tcBorders>
              <w:top w:val="nil"/>
              <w:left w:val="nil"/>
              <w:bottom w:val="single" w:sz="4" w:space="0" w:color="auto"/>
              <w:right w:val="single" w:sz="4" w:space="0" w:color="auto"/>
            </w:tcBorders>
            <w:shd w:val="clear" w:color="000000" w:fill="D9D9D9"/>
            <w:noWrap/>
            <w:vAlign w:val="bottom"/>
            <w:hideMark/>
          </w:tcPr>
          <w:p w14:paraId="378B3D6C"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Post-capture mortality</w:t>
            </w:r>
          </w:p>
        </w:tc>
        <w:tc>
          <w:tcPr>
            <w:tcW w:w="2721" w:type="dxa"/>
            <w:tcBorders>
              <w:top w:val="nil"/>
              <w:left w:val="nil"/>
              <w:bottom w:val="single" w:sz="4" w:space="0" w:color="auto"/>
              <w:right w:val="single" w:sz="4" w:space="0" w:color="auto"/>
            </w:tcBorders>
            <w:shd w:val="clear" w:color="000000" w:fill="D9D9D9"/>
          </w:tcPr>
          <w:p w14:paraId="1F8E1798" w14:textId="42C35DBE" w:rsidR="00D2140F" w:rsidRPr="001602CE" w:rsidRDefault="00D2140F" w:rsidP="003C4EE5">
            <w:pPr>
              <w:spacing w:after="0" w:line="240" w:lineRule="auto"/>
              <w:ind w:left="0"/>
              <w:jc w:val="left"/>
              <w:rPr>
                <w:rFonts w:ascii="Calibri" w:eastAsia="Times New Roman" w:hAnsi="Calibri" w:cs="Times New Roman"/>
                <w:color w:val="000000"/>
                <w:lang w:eastAsia="en-GB"/>
              </w:rPr>
            </w:pPr>
            <w:r>
              <w:rPr>
                <w:rFonts w:ascii="Calibri" w:eastAsia="Times New Roman" w:hAnsi="Calibri" w:cs="Times New Roman"/>
                <w:color w:val="000000"/>
                <w:lang w:eastAsia="en-GB"/>
              </w:rPr>
              <w:t>Source</w:t>
            </w:r>
          </w:p>
        </w:tc>
      </w:tr>
      <w:tr w:rsidR="00D2140F" w:rsidRPr="001602CE" w14:paraId="68F179A3" w14:textId="292BE32F" w:rsidTr="00C61884">
        <w:trPr>
          <w:trHeight w:val="330"/>
        </w:trPr>
        <w:tc>
          <w:tcPr>
            <w:tcW w:w="1039" w:type="dxa"/>
            <w:tcBorders>
              <w:top w:val="nil"/>
              <w:left w:val="single" w:sz="4" w:space="0" w:color="auto"/>
              <w:bottom w:val="single" w:sz="4" w:space="0" w:color="auto"/>
              <w:right w:val="single" w:sz="4" w:space="0" w:color="auto"/>
            </w:tcBorders>
            <w:shd w:val="clear" w:color="auto" w:fill="auto"/>
            <w:noWrap/>
            <w:vAlign w:val="bottom"/>
            <w:hideMark/>
          </w:tcPr>
          <w:p w14:paraId="2E1482AC"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Turbot</w:t>
            </w:r>
          </w:p>
        </w:tc>
        <w:tc>
          <w:tcPr>
            <w:tcW w:w="4071" w:type="dxa"/>
            <w:tcBorders>
              <w:top w:val="nil"/>
              <w:left w:val="nil"/>
              <w:bottom w:val="single" w:sz="4" w:space="0" w:color="auto"/>
              <w:right w:val="single" w:sz="4" w:space="0" w:color="auto"/>
            </w:tcBorders>
            <w:shd w:val="clear" w:color="000000" w:fill="FFE699"/>
            <w:noWrap/>
            <w:vAlign w:val="bottom"/>
            <w:hideMark/>
          </w:tcPr>
          <w:p w14:paraId="63E5CEC8"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 xml:space="preserve">10-30% Widely distributed around the British Isles. </w:t>
            </w:r>
          </w:p>
        </w:tc>
        <w:tc>
          <w:tcPr>
            <w:tcW w:w="2346" w:type="dxa"/>
            <w:tcBorders>
              <w:top w:val="nil"/>
              <w:left w:val="nil"/>
              <w:bottom w:val="single" w:sz="4" w:space="0" w:color="auto"/>
              <w:right w:val="single" w:sz="4" w:space="0" w:color="auto"/>
            </w:tcBorders>
            <w:shd w:val="clear" w:color="000000" w:fill="FF6600"/>
            <w:noWrap/>
            <w:vAlign w:val="bottom"/>
            <w:hideMark/>
          </w:tcPr>
          <w:p w14:paraId="023AC7BF"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 xml:space="preserve">Demersal / Continental shelves, 50m </w:t>
            </w:r>
          </w:p>
        </w:tc>
        <w:tc>
          <w:tcPr>
            <w:tcW w:w="1330" w:type="dxa"/>
            <w:tcBorders>
              <w:top w:val="nil"/>
              <w:left w:val="nil"/>
              <w:bottom w:val="single" w:sz="4" w:space="0" w:color="auto"/>
              <w:right w:val="single" w:sz="4" w:space="0" w:color="auto"/>
            </w:tcBorders>
            <w:shd w:val="clear" w:color="000000" w:fill="FF6600"/>
            <w:noWrap/>
            <w:vAlign w:val="bottom"/>
            <w:hideMark/>
          </w:tcPr>
          <w:p w14:paraId="240D8BE2"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High</w:t>
            </w:r>
          </w:p>
        </w:tc>
        <w:tc>
          <w:tcPr>
            <w:tcW w:w="2380" w:type="dxa"/>
            <w:tcBorders>
              <w:top w:val="nil"/>
              <w:left w:val="nil"/>
              <w:bottom w:val="single" w:sz="4" w:space="0" w:color="auto"/>
              <w:right w:val="single" w:sz="4" w:space="0" w:color="auto"/>
            </w:tcBorders>
            <w:shd w:val="clear" w:color="000000" w:fill="FFE699"/>
            <w:noWrap/>
            <w:vAlign w:val="bottom"/>
            <w:hideMark/>
          </w:tcPr>
          <w:p w14:paraId="36BC1800"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Medium (like the other flatfish)</w:t>
            </w:r>
          </w:p>
        </w:tc>
        <w:tc>
          <w:tcPr>
            <w:tcW w:w="2721" w:type="dxa"/>
            <w:tcBorders>
              <w:top w:val="nil"/>
              <w:left w:val="nil"/>
              <w:bottom w:val="single" w:sz="4" w:space="0" w:color="auto"/>
              <w:right w:val="single" w:sz="4" w:space="0" w:color="auto"/>
            </w:tcBorders>
            <w:shd w:val="clear" w:color="000000" w:fill="FFE699"/>
          </w:tcPr>
          <w:p w14:paraId="13B7480F" w14:textId="12D9EA34"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Heesen et al, 2015</w:t>
            </w:r>
            <w:r w:rsidR="00D035BE">
              <w:rPr>
                <w:rFonts w:ascii="Calibri" w:eastAsia="Times New Roman" w:hAnsi="Calibri" w:cs="Times New Roman"/>
                <w:color w:val="000000"/>
                <w:lang w:eastAsia="en-GB"/>
              </w:rPr>
              <w:t xml:space="preserve">; </w:t>
            </w:r>
          </w:p>
        </w:tc>
      </w:tr>
      <w:tr w:rsidR="00D2140F" w:rsidRPr="001602CE" w14:paraId="6DB3EE3D" w14:textId="795433F3" w:rsidTr="00C61884">
        <w:trPr>
          <w:trHeight w:val="330"/>
        </w:trPr>
        <w:tc>
          <w:tcPr>
            <w:tcW w:w="1039" w:type="dxa"/>
            <w:tcBorders>
              <w:top w:val="nil"/>
              <w:left w:val="single" w:sz="4" w:space="0" w:color="auto"/>
              <w:bottom w:val="single" w:sz="4" w:space="0" w:color="auto"/>
              <w:right w:val="single" w:sz="4" w:space="0" w:color="auto"/>
            </w:tcBorders>
            <w:shd w:val="clear" w:color="auto" w:fill="auto"/>
            <w:noWrap/>
            <w:vAlign w:val="bottom"/>
            <w:hideMark/>
          </w:tcPr>
          <w:p w14:paraId="12D4408D"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Pollack</w:t>
            </w:r>
          </w:p>
        </w:tc>
        <w:tc>
          <w:tcPr>
            <w:tcW w:w="4071" w:type="dxa"/>
            <w:tcBorders>
              <w:top w:val="nil"/>
              <w:left w:val="nil"/>
              <w:bottom w:val="single" w:sz="4" w:space="0" w:color="auto"/>
              <w:right w:val="single" w:sz="4" w:space="0" w:color="auto"/>
            </w:tcBorders>
            <w:shd w:val="clear" w:color="000000" w:fill="FFE699"/>
            <w:noWrap/>
            <w:vAlign w:val="bottom"/>
            <w:hideMark/>
          </w:tcPr>
          <w:p w14:paraId="73BD2EFF"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 xml:space="preserve">10-30% Widely distributed around the British Isles. </w:t>
            </w:r>
          </w:p>
        </w:tc>
        <w:tc>
          <w:tcPr>
            <w:tcW w:w="2346" w:type="dxa"/>
            <w:tcBorders>
              <w:top w:val="nil"/>
              <w:left w:val="nil"/>
              <w:bottom w:val="single" w:sz="4" w:space="0" w:color="auto"/>
              <w:right w:val="single" w:sz="4" w:space="0" w:color="auto"/>
            </w:tcBorders>
            <w:shd w:val="clear" w:color="000000" w:fill="FF6600"/>
            <w:noWrap/>
            <w:vAlign w:val="bottom"/>
            <w:hideMark/>
          </w:tcPr>
          <w:p w14:paraId="3BC0DB4E"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Demersal / Continental shelves, 15-150m (80m)</w:t>
            </w:r>
          </w:p>
        </w:tc>
        <w:tc>
          <w:tcPr>
            <w:tcW w:w="1330" w:type="dxa"/>
            <w:tcBorders>
              <w:top w:val="nil"/>
              <w:left w:val="nil"/>
              <w:bottom w:val="single" w:sz="4" w:space="0" w:color="auto"/>
              <w:right w:val="single" w:sz="4" w:space="0" w:color="auto"/>
            </w:tcBorders>
            <w:shd w:val="clear" w:color="000000" w:fill="FF6600"/>
            <w:noWrap/>
            <w:vAlign w:val="bottom"/>
            <w:hideMark/>
          </w:tcPr>
          <w:p w14:paraId="70AA241D"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High</w:t>
            </w:r>
          </w:p>
        </w:tc>
        <w:tc>
          <w:tcPr>
            <w:tcW w:w="2380" w:type="dxa"/>
            <w:tcBorders>
              <w:top w:val="nil"/>
              <w:left w:val="nil"/>
              <w:bottom w:val="single" w:sz="4" w:space="0" w:color="auto"/>
              <w:right w:val="single" w:sz="4" w:space="0" w:color="auto"/>
            </w:tcBorders>
            <w:shd w:val="clear" w:color="000000" w:fill="FF6600"/>
            <w:noWrap/>
            <w:vAlign w:val="bottom"/>
            <w:hideMark/>
          </w:tcPr>
          <w:p w14:paraId="4A385223"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Low (like the other gadiformes)</w:t>
            </w:r>
          </w:p>
        </w:tc>
        <w:tc>
          <w:tcPr>
            <w:tcW w:w="2721" w:type="dxa"/>
            <w:tcBorders>
              <w:top w:val="nil"/>
              <w:left w:val="nil"/>
              <w:bottom w:val="single" w:sz="4" w:space="0" w:color="auto"/>
              <w:right w:val="single" w:sz="4" w:space="0" w:color="auto"/>
            </w:tcBorders>
            <w:shd w:val="clear" w:color="000000" w:fill="FF6600"/>
          </w:tcPr>
          <w:p w14:paraId="2E59DC93" w14:textId="14FF1AFC"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Heesen et al, 2015</w:t>
            </w:r>
          </w:p>
        </w:tc>
      </w:tr>
      <w:tr w:rsidR="00D2140F" w:rsidRPr="001602CE" w14:paraId="74244EF1" w14:textId="486FD170" w:rsidTr="00C61884">
        <w:trPr>
          <w:trHeight w:val="330"/>
        </w:trPr>
        <w:tc>
          <w:tcPr>
            <w:tcW w:w="1039" w:type="dxa"/>
            <w:tcBorders>
              <w:top w:val="nil"/>
              <w:left w:val="single" w:sz="4" w:space="0" w:color="auto"/>
              <w:bottom w:val="single" w:sz="4" w:space="0" w:color="auto"/>
              <w:right w:val="single" w:sz="4" w:space="0" w:color="auto"/>
            </w:tcBorders>
            <w:shd w:val="clear" w:color="auto" w:fill="auto"/>
            <w:noWrap/>
            <w:vAlign w:val="bottom"/>
            <w:hideMark/>
          </w:tcPr>
          <w:p w14:paraId="2AC79F16"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Common ling</w:t>
            </w:r>
          </w:p>
        </w:tc>
        <w:tc>
          <w:tcPr>
            <w:tcW w:w="4071" w:type="dxa"/>
            <w:tcBorders>
              <w:top w:val="nil"/>
              <w:left w:val="nil"/>
              <w:bottom w:val="single" w:sz="4" w:space="0" w:color="auto"/>
              <w:right w:val="single" w:sz="4" w:space="0" w:color="auto"/>
            </w:tcBorders>
            <w:shd w:val="clear" w:color="000000" w:fill="FFE699"/>
            <w:noWrap/>
            <w:vAlign w:val="bottom"/>
            <w:hideMark/>
          </w:tcPr>
          <w:p w14:paraId="472ECB76"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10-30% Widely distributed around the British Isles, particular in the northern N</w:t>
            </w:r>
            <w:r>
              <w:rPr>
                <w:rFonts w:ascii="Calibri" w:eastAsia="Times New Roman" w:hAnsi="Calibri" w:cs="Times New Roman"/>
                <w:color w:val="000000"/>
                <w:lang w:eastAsia="en-GB"/>
              </w:rPr>
              <w:t>orth Sea</w:t>
            </w:r>
            <w:r w:rsidRPr="001602CE">
              <w:rPr>
                <w:rFonts w:ascii="Calibri" w:eastAsia="Times New Roman" w:hAnsi="Calibri" w:cs="Times New Roman"/>
                <w:color w:val="000000"/>
                <w:lang w:eastAsia="en-GB"/>
              </w:rPr>
              <w:t xml:space="preserve"> and West of Scotland. </w:t>
            </w:r>
          </w:p>
        </w:tc>
        <w:tc>
          <w:tcPr>
            <w:tcW w:w="2346" w:type="dxa"/>
            <w:tcBorders>
              <w:top w:val="nil"/>
              <w:left w:val="nil"/>
              <w:bottom w:val="single" w:sz="4" w:space="0" w:color="auto"/>
              <w:right w:val="single" w:sz="4" w:space="0" w:color="auto"/>
            </w:tcBorders>
            <w:shd w:val="clear" w:color="000000" w:fill="FF6600"/>
            <w:noWrap/>
            <w:vAlign w:val="bottom"/>
            <w:hideMark/>
          </w:tcPr>
          <w:p w14:paraId="694037BF"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Demersal / Continental shelves, 250-300m</w:t>
            </w:r>
          </w:p>
        </w:tc>
        <w:tc>
          <w:tcPr>
            <w:tcW w:w="1330" w:type="dxa"/>
            <w:tcBorders>
              <w:top w:val="nil"/>
              <w:left w:val="nil"/>
              <w:bottom w:val="single" w:sz="4" w:space="0" w:color="auto"/>
              <w:right w:val="single" w:sz="4" w:space="0" w:color="auto"/>
            </w:tcBorders>
            <w:shd w:val="clear" w:color="000000" w:fill="FF6600"/>
            <w:noWrap/>
            <w:vAlign w:val="bottom"/>
            <w:hideMark/>
          </w:tcPr>
          <w:p w14:paraId="5FA777F8"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High</w:t>
            </w:r>
          </w:p>
        </w:tc>
        <w:tc>
          <w:tcPr>
            <w:tcW w:w="2380" w:type="dxa"/>
            <w:tcBorders>
              <w:top w:val="nil"/>
              <w:left w:val="nil"/>
              <w:bottom w:val="single" w:sz="4" w:space="0" w:color="auto"/>
              <w:right w:val="single" w:sz="4" w:space="0" w:color="auto"/>
            </w:tcBorders>
            <w:shd w:val="clear" w:color="000000" w:fill="FF6600"/>
            <w:noWrap/>
            <w:vAlign w:val="bottom"/>
            <w:hideMark/>
          </w:tcPr>
          <w:p w14:paraId="36B26047"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Low (like the other gadiformes)</w:t>
            </w:r>
          </w:p>
        </w:tc>
        <w:tc>
          <w:tcPr>
            <w:tcW w:w="2721" w:type="dxa"/>
            <w:tcBorders>
              <w:top w:val="nil"/>
              <w:left w:val="nil"/>
              <w:bottom w:val="single" w:sz="4" w:space="0" w:color="auto"/>
              <w:right w:val="single" w:sz="4" w:space="0" w:color="auto"/>
            </w:tcBorders>
            <w:shd w:val="clear" w:color="000000" w:fill="FF6600"/>
          </w:tcPr>
          <w:p w14:paraId="04C28DF5" w14:textId="69DB49CD"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Heesen et al, 2015</w:t>
            </w:r>
          </w:p>
        </w:tc>
      </w:tr>
      <w:tr w:rsidR="00D2140F" w:rsidRPr="001602CE" w14:paraId="7A89314F" w14:textId="36CCA26E" w:rsidTr="00C61884">
        <w:trPr>
          <w:trHeight w:val="330"/>
        </w:trPr>
        <w:tc>
          <w:tcPr>
            <w:tcW w:w="1039" w:type="dxa"/>
            <w:tcBorders>
              <w:top w:val="nil"/>
              <w:left w:val="single" w:sz="4" w:space="0" w:color="auto"/>
              <w:bottom w:val="single" w:sz="4" w:space="0" w:color="auto"/>
              <w:right w:val="single" w:sz="4" w:space="0" w:color="auto"/>
            </w:tcBorders>
            <w:shd w:val="clear" w:color="auto" w:fill="auto"/>
            <w:noWrap/>
            <w:vAlign w:val="bottom"/>
            <w:hideMark/>
          </w:tcPr>
          <w:p w14:paraId="2FF57ADF"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Blonde ray</w:t>
            </w:r>
          </w:p>
        </w:tc>
        <w:tc>
          <w:tcPr>
            <w:tcW w:w="4071" w:type="dxa"/>
            <w:tcBorders>
              <w:top w:val="nil"/>
              <w:left w:val="nil"/>
              <w:bottom w:val="single" w:sz="4" w:space="0" w:color="auto"/>
              <w:right w:val="single" w:sz="4" w:space="0" w:color="auto"/>
            </w:tcBorders>
            <w:shd w:val="clear" w:color="000000" w:fill="FFE699"/>
            <w:noWrap/>
            <w:vAlign w:val="bottom"/>
            <w:hideMark/>
          </w:tcPr>
          <w:p w14:paraId="777798A5"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 xml:space="preserve">10-30% Widely distributed on the west British continental shelf </w:t>
            </w:r>
          </w:p>
        </w:tc>
        <w:tc>
          <w:tcPr>
            <w:tcW w:w="2346" w:type="dxa"/>
            <w:tcBorders>
              <w:top w:val="nil"/>
              <w:left w:val="nil"/>
              <w:bottom w:val="single" w:sz="4" w:space="0" w:color="auto"/>
              <w:right w:val="single" w:sz="4" w:space="0" w:color="auto"/>
            </w:tcBorders>
            <w:shd w:val="clear" w:color="000000" w:fill="FF6600"/>
            <w:noWrap/>
            <w:vAlign w:val="bottom"/>
            <w:hideMark/>
          </w:tcPr>
          <w:p w14:paraId="4227F7C3"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Demersal / Continental shelves, 15-150 (50m)</w:t>
            </w:r>
          </w:p>
        </w:tc>
        <w:tc>
          <w:tcPr>
            <w:tcW w:w="1330" w:type="dxa"/>
            <w:tcBorders>
              <w:top w:val="nil"/>
              <w:left w:val="nil"/>
              <w:bottom w:val="single" w:sz="4" w:space="0" w:color="auto"/>
              <w:right w:val="single" w:sz="4" w:space="0" w:color="auto"/>
            </w:tcBorders>
            <w:shd w:val="clear" w:color="000000" w:fill="FF6600"/>
            <w:noWrap/>
            <w:vAlign w:val="bottom"/>
            <w:hideMark/>
          </w:tcPr>
          <w:p w14:paraId="1258DD91"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High</w:t>
            </w:r>
          </w:p>
        </w:tc>
        <w:tc>
          <w:tcPr>
            <w:tcW w:w="2380" w:type="dxa"/>
            <w:tcBorders>
              <w:top w:val="nil"/>
              <w:left w:val="nil"/>
              <w:bottom w:val="single" w:sz="4" w:space="0" w:color="auto"/>
              <w:right w:val="single" w:sz="4" w:space="0" w:color="auto"/>
            </w:tcBorders>
            <w:shd w:val="clear" w:color="000000" w:fill="FFE699"/>
            <w:noWrap/>
            <w:vAlign w:val="bottom"/>
            <w:hideMark/>
          </w:tcPr>
          <w:p w14:paraId="7638C276"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44% immediate survival - High</w:t>
            </w:r>
          </w:p>
        </w:tc>
        <w:tc>
          <w:tcPr>
            <w:tcW w:w="2721" w:type="dxa"/>
            <w:tcBorders>
              <w:top w:val="nil"/>
              <w:left w:val="nil"/>
              <w:bottom w:val="single" w:sz="4" w:space="0" w:color="auto"/>
              <w:right w:val="single" w:sz="4" w:space="0" w:color="auto"/>
            </w:tcBorders>
            <w:shd w:val="clear" w:color="000000" w:fill="FFE699"/>
          </w:tcPr>
          <w:p w14:paraId="6380392A" w14:textId="3571081C" w:rsidR="00D2140F" w:rsidRPr="00D035BE" w:rsidRDefault="00D2140F" w:rsidP="003C4EE5">
            <w:pPr>
              <w:spacing w:after="0" w:line="240" w:lineRule="auto"/>
              <w:ind w:left="0"/>
              <w:jc w:val="left"/>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Heesen et al, 2015</w:t>
            </w:r>
            <w:r w:rsidR="00D035BE">
              <w:rPr>
                <w:rFonts w:ascii="Calibri" w:eastAsia="Times New Roman" w:hAnsi="Calibri" w:cs="Times New Roman"/>
                <w:color w:val="000000"/>
                <w:lang w:eastAsia="en-GB"/>
              </w:rPr>
              <w:t xml:space="preserve">, Catchpole </w:t>
            </w:r>
            <w:r w:rsidR="00D035BE">
              <w:rPr>
                <w:rFonts w:ascii="Calibri" w:eastAsia="Times New Roman" w:hAnsi="Calibri" w:cs="Times New Roman"/>
                <w:i/>
                <w:color w:val="000000"/>
                <w:lang w:eastAsia="en-GB"/>
              </w:rPr>
              <w:t>et al</w:t>
            </w:r>
            <w:r w:rsidR="00D035BE">
              <w:rPr>
                <w:rFonts w:ascii="Calibri" w:eastAsia="Times New Roman" w:hAnsi="Calibri" w:cs="Times New Roman"/>
                <w:color w:val="000000"/>
                <w:lang w:eastAsia="en-GB"/>
              </w:rPr>
              <w:t>., 2017.</w:t>
            </w:r>
          </w:p>
        </w:tc>
      </w:tr>
      <w:tr w:rsidR="00D2140F" w:rsidRPr="001602CE" w14:paraId="782EA68B" w14:textId="491DECFB" w:rsidTr="00C61884">
        <w:trPr>
          <w:trHeight w:val="330"/>
        </w:trPr>
        <w:tc>
          <w:tcPr>
            <w:tcW w:w="1039" w:type="dxa"/>
            <w:tcBorders>
              <w:top w:val="nil"/>
              <w:left w:val="single" w:sz="4" w:space="0" w:color="auto"/>
              <w:bottom w:val="single" w:sz="4" w:space="0" w:color="auto"/>
              <w:right w:val="single" w:sz="4" w:space="0" w:color="auto"/>
            </w:tcBorders>
            <w:shd w:val="clear" w:color="auto" w:fill="auto"/>
            <w:noWrap/>
            <w:vAlign w:val="bottom"/>
            <w:hideMark/>
          </w:tcPr>
          <w:p w14:paraId="7C359B0F"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Cuckoo ray</w:t>
            </w:r>
          </w:p>
        </w:tc>
        <w:tc>
          <w:tcPr>
            <w:tcW w:w="4071" w:type="dxa"/>
            <w:tcBorders>
              <w:top w:val="nil"/>
              <w:left w:val="nil"/>
              <w:bottom w:val="single" w:sz="4" w:space="0" w:color="auto"/>
              <w:right w:val="single" w:sz="4" w:space="0" w:color="auto"/>
            </w:tcBorders>
            <w:shd w:val="clear" w:color="000000" w:fill="FFE699"/>
            <w:noWrap/>
            <w:vAlign w:val="bottom"/>
            <w:hideMark/>
          </w:tcPr>
          <w:p w14:paraId="2F8A75ED"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 xml:space="preserve">10-30% Widely distributed on the west British continental shelf </w:t>
            </w:r>
          </w:p>
        </w:tc>
        <w:tc>
          <w:tcPr>
            <w:tcW w:w="2346" w:type="dxa"/>
            <w:tcBorders>
              <w:top w:val="nil"/>
              <w:left w:val="nil"/>
              <w:bottom w:val="single" w:sz="4" w:space="0" w:color="auto"/>
              <w:right w:val="single" w:sz="4" w:space="0" w:color="auto"/>
            </w:tcBorders>
            <w:shd w:val="clear" w:color="000000" w:fill="FF6600"/>
            <w:noWrap/>
            <w:vAlign w:val="bottom"/>
            <w:hideMark/>
          </w:tcPr>
          <w:p w14:paraId="6DDAD917"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Demersal / Continental shelves, 30-300m</w:t>
            </w:r>
          </w:p>
        </w:tc>
        <w:tc>
          <w:tcPr>
            <w:tcW w:w="1330" w:type="dxa"/>
            <w:tcBorders>
              <w:top w:val="nil"/>
              <w:left w:val="nil"/>
              <w:bottom w:val="single" w:sz="4" w:space="0" w:color="auto"/>
              <w:right w:val="single" w:sz="4" w:space="0" w:color="auto"/>
            </w:tcBorders>
            <w:shd w:val="clear" w:color="000000" w:fill="FF6600"/>
            <w:noWrap/>
            <w:vAlign w:val="bottom"/>
            <w:hideMark/>
          </w:tcPr>
          <w:p w14:paraId="7FC738F1"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High</w:t>
            </w:r>
          </w:p>
        </w:tc>
        <w:tc>
          <w:tcPr>
            <w:tcW w:w="2380" w:type="dxa"/>
            <w:tcBorders>
              <w:top w:val="nil"/>
              <w:left w:val="nil"/>
              <w:bottom w:val="single" w:sz="4" w:space="0" w:color="auto"/>
              <w:right w:val="single" w:sz="4" w:space="0" w:color="auto"/>
            </w:tcBorders>
            <w:shd w:val="clear" w:color="000000" w:fill="FFE699"/>
            <w:noWrap/>
            <w:vAlign w:val="bottom"/>
            <w:hideMark/>
          </w:tcPr>
          <w:p w14:paraId="18E083D8" w14:textId="651BB541" w:rsidR="00D2140F" w:rsidRPr="001602CE" w:rsidRDefault="00D035BE" w:rsidP="003C4EE5">
            <w:pPr>
              <w:spacing w:after="0" w:line="240" w:lineRule="auto"/>
              <w:ind w:left="0"/>
              <w:jc w:val="left"/>
              <w:rPr>
                <w:rFonts w:ascii="Calibri" w:eastAsia="Times New Roman" w:hAnsi="Calibri" w:cs="Times New Roman"/>
                <w:color w:val="000000"/>
                <w:lang w:eastAsia="en-GB"/>
              </w:rPr>
            </w:pPr>
            <w:r>
              <w:rPr>
                <w:rFonts w:ascii="Calibri" w:eastAsia="Times New Roman" w:hAnsi="Calibri" w:cs="Times New Roman"/>
                <w:color w:val="000000"/>
                <w:lang w:eastAsia="en-GB"/>
              </w:rPr>
              <w:t>33</w:t>
            </w:r>
            <w:r w:rsidR="00D2140F" w:rsidRPr="001602CE">
              <w:rPr>
                <w:rFonts w:ascii="Calibri" w:eastAsia="Times New Roman" w:hAnsi="Calibri" w:cs="Times New Roman"/>
                <w:color w:val="000000"/>
                <w:lang w:eastAsia="en-GB"/>
              </w:rPr>
              <w:t>% medium</w:t>
            </w:r>
          </w:p>
        </w:tc>
        <w:tc>
          <w:tcPr>
            <w:tcW w:w="2721" w:type="dxa"/>
            <w:tcBorders>
              <w:top w:val="nil"/>
              <w:left w:val="nil"/>
              <w:bottom w:val="single" w:sz="4" w:space="0" w:color="auto"/>
              <w:right w:val="single" w:sz="4" w:space="0" w:color="auto"/>
            </w:tcBorders>
            <w:shd w:val="clear" w:color="000000" w:fill="FFE699"/>
          </w:tcPr>
          <w:p w14:paraId="1C19222B" w14:textId="722CD269" w:rsidR="00D2140F" w:rsidRPr="00D035BE" w:rsidRDefault="00D2140F" w:rsidP="003C4EE5">
            <w:pPr>
              <w:spacing w:after="0" w:line="240" w:lineRule="auto"/>
              <w:ind w:left="0"/>
              <w:jc w:val="left"/>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Heesen et al, 2015</w:t>
            </w:r>
            <w:r w:rsidR="00D035BE">
              <w:rPr>
                <w:rFonts w:ascii="Calibri" w:eastAsia="Times New Roman" w:hAnsi="Calibri" w:cs="Times New Roman"/>
                <w:color w:val="000000"/>
                <w:lang w:eastAsia="en-GB"/>
              </w:rPr>
              <w:t xml:space="preserve">; Enever </w:t>
            </w:r>
            <w:r w:rsidR="00D035BE">
              <w:rPr>
                <w:rFonts w:ascii="Calibri" w:eastAsia="Times New Roman" w:hAnsi="Calibri" w:cs="Times New Roman"/>
                <w:i/>
                <w:color w:val="000000"/>
                <w:lang w:eastAsia="en-GB"/>
              </w:rPr>
              <w:t>et al</w:t>
            </w:r>
            <w:r w:rsidR="00D035BE">
              <w:rPr>
                <w:rFonts w:ascii="Calibri" w:eastAsia="Times New Roman" w:hAnsi="Calibri" w:cs="Times New Roman"/>
                <w:color w:val="000000"/>
                <w:lang w:eastAsia="en-GB"/>
              </w:rPr>
              <w:t>., 2009</w:t>
            </w:r>
          </w:p>
        </w:tc>
      </w:tr>
      <w:tr w:rsidR="00D2140F" w:rsidRPr="001602CE" w14:paraId="1A09D1AD" w14:textId="0B407BF4" w:rsidTr="00C61884">
        <w:trPr>
          <w:trHeight w:val="330"/>
        </w:trPr>
        <w:tc>
          <w:tcPr>
            <w:tcW w:w="1039" w:type="dxa"/>
            <w:tcBorders>
              <w:top w:val="nil"/>
              <w:left w:val="single" w:sz="4" w:space="0" w:color="auto"/>
              <w:bottom w:val="single" w:sz="4" w:space="0" w:color="auto"/>
              <w:right w:val="single" w:sz="4" w:space="0" w:color="auto"/>
            </w:tcBorders>
            <w:shd w:val="clear" w:color="auto" w:fill="auto"/>
            <w:noWrap/>
            <w:vAlign w:val="bottom"/>
            <w:hideMark/>
          </w:tcPr>
          <w:p w14:paraId="30B821BA"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Undulata </w:t>
            </w:r>
            <w:r w:rsidRPr="001602CE">
              <w:rPr>
                <w:rFonts w:ascii="Calibri" w:eastAsia="Times New Roman" w:hAnsi="Calibri" w:cs="Times New Roman"/>
                <w:color w:val="000000"/>
                <w:lang w:eastAsia="en-GB"/>
              </w:rPr>
              <w:t>ray</w:t>
            </w:r>
          </w:p>
        </w:tc>
        <w:tc>
          <w:tcPr>
            <w:tcW w:w="4071" w:type="dxa"/>
            <w:tcBorders>
              <w:top w:val="nil"/>
              <w:left w:val="nil"/>
              <w:bottom w:val="single" w:sz="4" w:space="0" w:color="auto"/>
              <w:right w:val="single" w:sz="4" w:space="0" w:color="auto"/>
            </w:tcBorders>
            <w:shd w:val="clear" w:color="000000" w:fill="FF6600"/>
            <w:noWrap/>
            <w:vAlign w:val="bottom"/>
            <w:hideMark/>
          </w:tcPr>
          <w:p w14:paraId="22F2A088"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&gt;30% Patchy distribution, mainly in the English Channel</w:t>
            </w:r>
          </w:p>
        </w:tc>
        <w:tc>
          <w:tcPr>
            <w:tcW w:w="2346" w:type="dxa"/>
            <w:tcBorders>
              <w:top w:val="nil"/>
              <w:left w:val="nil"/>
              <w:bottom w:val="single" w:sz="4" w:space="0" w:color="auto"/>
              <w:right w:val="single" w:sz="4" w:space="0" w:color="auto"/>
            </w:tcBorders>
            <w:shd w:val="clear" w:color="000000" w:fill="FF6600"/>
            <w:noWrap/>
            <w:vAlign w:val="bottom"/>
            <w:hideMark/>
          </w:tcPr>
          <w:p w14:paraId="51055194"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Demersal / Continental shelves, &lt;80m</w:t>
            </w:r>
          </w:p>
        </w:tc>
        <w:tc>
          <w:tcPr>
            <w:tcW w:w="1330" w:type="dxa"/>
            <w:tcBorders>
              <w:top w:val="nil"/>
              <w:left w:val="nil"/>
              <w:bottom w:val="single" w:sz="4" w:space="0" w:color="auto"/>
              <w:right w:val="single" w:sz="4" w:space="0" w:color="auto"/>
            </w:tcBorders>
            <w:shd w:val="clear" w:color="000000" w:fill="FF6600"/>
            <w:noWrap/>
            <w:vAlign w:val="bottom"/>
            <w:hideMark/>
          </w:tcPr>
          <w:p w14:paraId="5417823E"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High</w:t>
            </w:r>
          </w:p>
        </w:tc>
        <w:tc>
          <w:tcPr>
            <w:tcW w:w="2380" w:type="dxa"/>
            <w:tcBorders>
              <w:top w:val="nil"/>
              <w:left w:val="nil"/>
              <w:bottom w:val="single" w:sz="4" w:space="0" w:color="auto"/>
              <w:right w:val="single" w:sz="4" w:space="0" w:color="auto"/>
            </w:tcBorders>
            <w:shd w:val="clear" w:color="000000" w:fill="C6E0B4"/>
            <w:noWrap/>
            <w:vAlign w:val="bottom"/>
            <w:hideMark/>
          </w:tcPr>
          <w:p w14:paraId="24EC5872"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High</w:t>
            </w:r>
          </w:p>
        </w:tc>
        <w:tc>
          <w:tcPr>
            <w:tcW w:w="2721" w:type="dxa"/>
            <w:tcBorders>
              <w:top w:val="nil"/>
              <w:left w:val="nil"/>
              <w:bottom w:val="single" w:sz="4" w:space="0" w:color="auto"/>
              <w:right w:val="single" w:sz="4" w:space="0" w:color="auto"/>
            </w:tcBorders>
            <w:shd w:val="clear" w:color="000000" w:fill="C6E0B4"/>
          </w:tcPr>
          <w:p w14:paraId="43DFF930" w14:textId="3CFAC96A"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Heesen et al, 2015</w:t>
            </w:r>
          </w:p>
        </w:tc>
      </w:tr>
      <w:tr w:rsidR="00D2140F" w:rsidRPr="001602CE" w14:paraId="3C1C411C" w14:textId="02676D19" w:rsidTr="00C61884">
        <w:trPr>
          <w:trHeight w:val="330"/>
        </w:trPr>
        <w:tc>
          <w:tcPr>
            <w:tcW w:w="1039" w:type="dxa"/>
            <w:tcBorders>
              <w:top w:val="nil"/>
              <w:left w:val="single" w:sz="4" w:space="0" w:color="auto"/>
              <w:bottom w:val="single" w:sz="4" w:space="0" w:color="auto"/>
              <w:right w:val="single" w:sz="4" w:space="0" w:color="auto"/>
            </w:tcBorders>
            <w:shd w:val="clear" w:color="auto" w:fill="auto"/>
            <w:noWrap/>
            <w:vAlign w:val="bottom"/>
            <w:hideMark/>
          </w:tcPr>
          <w:p w14:paraId="05BD9F89"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Common spider crab</w:t>
            </w:r>
          </w:p>
        </w:tc>
        <w:tc>
          <w:tcPr>
            <w:tcW w:w="4071" w:type="dxa"/>
            <w:tcBorders>
              <w:top w:val="nil"/>
              <w:left w:val="nil"/>
              <w:bottom w:val="single" w:sz="4" w:space="0" w:color="auto"/>
              <w:right w:val="single" w:sz="4" w:space="0" w:color="auto"/>
            </w:tcBorders>
            <w:shd w:val="clear" w:color="000000" w:fill="C6E0B4"/>
            <w:noWrap/>
            <w:vAlign w:val="bottom"/>
            <w:hideMark/>
          </w:tcPr>
          <w:p w14:paraId="569DFB66"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&lt;10% Widely distributed</w:t>
            </w:r>
          </w:p>
        </w:tc>
        <w:tc>
          <w:tcPr>
            <w:tcW w:w="2346" w:type="dxa"/>
            <w:tcBorders>
              <w:top w:val="nil"/>
              <w:left w:val="nil"/>
              <w:bottom w:val="single" w:sz="4" w:space="0" w:color="auto"/>
              <w:right w:val="single" w:sz="4" w:space="0" w:color="auto"/>
            </w:tcBorders>
            <w:shd w:val="clear" w:color="000000" w:fill="FF6600"/>
            <w:noWrap/>
            <w:vAlign w:val="bottom"/>
            <w:hideMark/>
          </w:tcPr>
          <w:p w14:paraId="05C24D7A"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Benthic, 50-90m</w:t>
            </w:r>
          </w:p>
        </w:tc>
        <w:tc>
          <w:tcPr>
            <w:tcW w:w="1330" w:type="dxa"/>
            <w:tcBorders>
              <w:top w:val="nil"/>
              <w:left w:val="nil"/>
              <w:bottom w:val="single" w:sz="4" w:space="0" w:color="auto"/>
              <w:right w:val="single" w:sz="4" w:space="0" w:color="auto"/>
            </w:tcBorders>
            <w:shd w:val="clear" w:color="000000" w:fill="FF6600"/>
            <w:noWrap/>
            <w:vAlign w:val="bottom"/>
            <w:hideMark/>
          </w:tcPr>
          <w:p w14:paraId="0A22F77F"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High</w:t>
            </w:r>
          </w:p>
        </w:tc>
        <w:tc>
          <w:tcPr>
            <w:tcW w:w="2380" w:type="dxa"/>
            <w:tcBorders>
              <w:top w:val="nil"/>
              <w:left w:val="nil"/>
              <w:bottom w:val="single" w:sz="4" w:space="0" w:color="auto"/>
              <w:right w:val="single" w:sz="4" w:space="0" w:color="auto"/>
            </w:tcBorders>
            <w:shd w:val="clear" w:color="000000" w:fill="C6E0B4"/>
            <w:noWrap/>
            <w:vAlign w:val="bottom"/>
            <w:hideMark/>
          </w:tcPr>
          <w:p w14:paraId="7A7D831F" w14:textId="20898016" w:rsidR="00D2140F" w:rsidRPr="001602CE" w:rsidRDefault="00125544" w:rsidP="003C4EE5">
            <w:pPr>
              <w:spacing w:after="0" w:line="240" w:lineRule="auto"/>
              <w:ind w:left="0"/>
              <w:jc w:val="left"/>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46 - 78% immediate survival - </w:t>
            </w:r>
            <w:r w:rsidR="00D2140F" w:rsidRPr="001602CE">
              <w:rPr>
                <w:rFonts w:ascii="Calibri" w:eastAsia="Times New Roman" w:hAnsi="Calibri" w:cs="Times New Roman"/>
                <w:color w:val="000000"/>
                <w:lang w:eastAsia="en-GB"/>
              </w:rPr>
              <w:t>High</w:t>
            </w:r>
          </w:p>
        </w:tc>
        <w:tc>
          <w:tcPr>
            <w:tcW w:w="2721" w:type="dxa"/>
            <w:tcBorders>
              <w:top w:val="nil"/>
              <w:left w:val="nil"/>
              <w:bottom w:val="single" w:sz="4" w:space="0" w:color="auto"/>
              <w:right w:val="single" w:sz="4" w:space="0" w:color="auto"/>
            </w:tcBorders>
            <w:shd w:val="clear" w:color="000000" w:fill="C6E0B4"/>
          </w:tcPr>
          <w:p w14:paraId="54D11692" w14:textId="26EA83BC" w:rsidR="00D2140F" w:rsidRPr="001602CE" w:rsidRDefault="00125544" w:rsidP="003C4EE5">
            <w:pPr>
              <w:spacing w:after="0" w:line="240" w:lineRule="auto"/>
              <w:ind w:left="0"/>
              <w:jc w:val="left"/>
              <w:rPr>
                <w:rFonts w:ascii="Calibri" w:eastAsia="Times New Roman" w:hAnsi="Calibri" w:cs="Times New Roman"/>
                <w:color w:val="000000"/>
                <w:lang w:eastAsia="en-GB"/>
              </w:rPr>
            </w:pPr>
            <w:r>
              <w:rPr>
                <w:rFonts w:ascii="Calibri" w:eastAsia="Times New Roman" w:hAnsi="Calibri" w:cs="Times New Roman"/>
                <w:color w:val="000000"/>
                <w:lang w:eastAsia="en-GB"/>
              </w:rPr>
              <w:t>Revill, 2012</w:t>
            </w:r>
          </w:p>
        </w:tc>
      </w:tr>
    </w:tbl>
    <w:p w14:paraId="22FAAAF6" w14:textId="77777777" w:rsidR="003C4EE5" w:rsidRPr="002E117D" w:rsidRDefault="003C4EE5" w:rsidP="003C4EE5">
      <w:pPr>
        <w:ind w:left="0"/>
        <w:sectPr w:rsidR="003C4EE5" w:rsidRPr="002E117D" w:rsidSect="003C4EE5">
          <w:pgSz w:w="16838" w:h="11906" w:orient="landscape"/>
          <w:pgMar w:top="1440" w:right="1440" w:bottom="1440" w:left="1440" w:header="709" w:footer="709" w:gutter="0"/>
          <w:cols w:space="708"/>
          <w:docGrid w:linePitch="360"/>
        </w:sectPr>
      </w:pPr>
      <w:r>
        <w:fldChar w:fldCharType="end"/>
      </w:r>
      <w:bookmarkStart w:id="77" w:name="_GoBack"/>
      <w:bookmarkEnd w:id="77"/>
    </w:p>
    <w:p w14:paraId="057D6667" w14:textId="481D747F" w:rsidR="003C4EE5" w:rsidRDefault="003C4EE5" w:rsidP="003C4EE5">
      <w:pPr>
        <w:pStyle w:val="Caption"/>
      </w:pPr>
      <w:bookmarkStart w:id="78" w:name="_Toc516669270"/>
      <w:bookmarkStart w:id="79" w:name="_Toc516669282"/>
      <w:bookmarkStart w:id="80" w:name="_Toc518658166"/>
      <w:bookmarkStart w:id="81" w:name="_Toc518658178"/>
      <w:r>
        <w:lastRenderedPageBreak/>
        <w:t xml:space="preserve">Table </w:t>
      </w:r>
      <w:r w:rsidR="00DB2E87">
        <w:rPr>
          <w:noProof/>
        </w:rPr>
        <w:fldChar w:fldCharType="begin"/>
      </w:r>
      <w:r w:rsidR="00DB2E87">
        <w:rPr>
          <w:noProof/>
        </w:rPr>
        <w:instrText xml:space="preserve"> SEQ Table \* ARABIC </w:instrText>
      </w:r>
      <w:r w:rsidR="00DB2E87">
        <w:rPr>
          <w:noProof/>
        </w:rPr>
        <w:fldChar w:fldCharType="separate"/>
      </w:r>
      <w:r>
        <w:rPr>
          <w:noProof/>
        </w:rPr>
        <w:t>8</w:t>
      </w:r>
      <w:r w:rsidR="00DB2E87">
        <w:rPr>
          <w:noProof/>
        </w:rPr>
        <w:fldChar w:fldCharType="end"/>
      </w:r>
      <w:r>
        <w:t>. Susceptibility score for secondary species from demersal trawls, targeting monkfish.</w:t>
      </w:r>
      <w:bookmarkEnd w:id="78"/>
      <w:bookmarkEnd w:id="79"/>
      <w:bookmarkEnd w:id="80"/>
      <w:bookmarkEnd w:id="81"/>
      <w:r>
        <w:fldChar w:fldCharType="begin"/>
      </w:r>
      <w:r>
        <w:instrText xml:space="preserve"> LINK </w:instrText>
      </w:r>
      <w:r w:rsidR="00765935">
        <w:instrText xml:space="preserve">Excel.Sheet.12 "\\\\lowfilecdr\\CDP\\C7488_MSC Project UK\\Working_Area\\TASK 6 (Ana) Monkfish sec species status\\Analysis\\Productivity tables.xlsx" Netters!R12C2:R19C6 </w:instrText>
      </w:r>
      <w:r>
        <w:instrText xml:space="preserve">\a \f 4 \h  \* MERGEFORMAT </w:instrText>
      </w:r>
      <w:r>
        <w:fldChar w:fldCharType="separate"/>
      </w:r>
      <w:bookmarkStart w:id="82" w:name="_1591179742"/>
      <w:bookmarkEnd w:id="82"/>
    </w:p>
    <w:tbl>
      <w:tblPr>
        <w:tblW w:w="13887" w:type="dxa"/>
        <w:tblLook w:val="04A0" w:firstRow="1" w:lastRow="0" w:firstColumn="1" w:lastColumn="0" w:noHBand="0" w:noVBand="1"/>
      </w:tblPr>
      <w:tblGrid>
        <w:gridCol w:w="1317"/>
        <w:gridCol w:w="3802"/>
        <w:gridCol w:w="2337"/>
        <w:gridCol w:w="1330"/>
        <w:gridCol w:w="2394"/>
        <w:gridCol w:w="2707"/>
      </w:tblGrid>
      <w:tr w:rsidR="00D2140F" w:rsidRPr="001602CE" w14:paraId="1F2E5EBE" w14:textId="3E094F54" w:rsidTr="00C61884">
        <w:trPr>
          <w:trHeight w:val="346"/>
        </w:trPr>
        <w:tc>
          <w:tcPr>
            <w:tcW w:w="1317" w:type="dxa"/>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6CE3863" w14:textId="77777777" w:rsidR="00D2140F" w:rsidRPr="001602CE" w:rsidRDefault="00D2140F" w:rsidP="003C4EE5">
            <w:pPr>
              <w:spacing w:after="0" w:line="240" w:lineRule="auto"/>
              <w:ind w:left="0"/>
              <w:jc w:val="center"/>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Species</w:t>
            </w:r>
          </w:p>
        </w:tc>
        <w:tc>
          <w:tcPr>
            <w:tcW w:w="9863" w:type="dxa"/>
            <w:gridSpan w:val="4"/>
            <w:tcBorders>
              <w:top w:val="single" w:sz="4" w:space="0" w:color="auto"/>
              <w:left w:val="nil"/>
              <w:bottom w:val="single" w:sz="4" w:space="0" w:color="auto"/>
              <w:right w:val="single" w:sz="4" w:space="0" w:color="auto"/>
            </w:tcBorders>
            <w:shd w:val="clear" w:color="000000" w:fill="D9D9D9"/>
            <w:noWrap/>
            <w:vAlign w:val="bottom"/>
            <w:hideMark/>
          </w:tcPr>
          <w:p w14:paraId="205605EF" w14:textId="77777777" w:rsidR="00D2140F" w:rsidRPr="001602CE" w:rsidRDefault="00D2140F" w:rsidP="003C4EE5">
            <w:pPr>
              <w:spacing w:after="0" w:line="240" w:lineRule="auto"/>
              <w:ind w:left="0"/>
              <w:jc w:val="center"/>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Demersal trawlers (OTB)</w:t>
            </w:r>
          </w:p>
        </w:tc>
        <w:tc>
          <w:tcPr>
            <w:tcW w:w="2707" w:type="dxa"/>
            <w:tcBorders>
              <w:top w:val="single" w:sz="4" w:space="0" w:color="auto"/>
              <w:left w:val="nil"/>
              <w:bottom w:val="single" w:sz="4" w:space="0" w:color="auto"/>
              <w:right w:val="single" w:sz="4" w:space="0" w:color="auto"/>
            </w:tcBorders>
            <w:shd w:val="clear" w:color="000000" w:fill="D9D9D9"/>
          </w:tcPr>
          <w:p w14:paraId="06350D7B" w14:textId="77777777" w:rsidR="00D2140F" w:rsidRPr="001602CE" w:rsidRDefault="00D2140F" w:rsidP="003C4EE5">
            <w:pPr>
              <w:spacing w:after="0" w:line="240" w:lineRule="auto"/>
              <w:ind w:left="0"/>
              <w:jc w:val="center"/>
              <w:rPr>
                <w:rFonts w:ascii="Calibri" w:eastAsia="Times New Roman" w:hAnsi="Calibri" w:cs="Times New Roman"/>
                <w:color w:val="000000"/>
                <w:lang w:eastAsia="en-GB"/>
              </w:rPr>
            </w:pPr>
          </w:p>
        </w:tc>
      </w:tr>
      <w:tr w:rsidR="00D2140F" w:rsidRPr="001602CE" w14:paraId="7A6C5401" w14:textId="3C52D17E" w:rsidTr="00C61884">
        <w:trPr>
          <w:trHeight w:val="346"/>
        </w:trPr>
        <w:tc>
          <w:tcPr>
            <w:tcW w:w="1317" w:type="dxa"/>
            <w:vMerge/>
            <w:tcBorders>
              <w:top w:val="single" w:sz="4" w:space="0" w:color="auto"/>
              <w:left w:val="single" w:sz="4" w:space="0" w:color="auto"/>
              <w:bottom w:val="single" w:sz="4" w:space="0" w:color="auto"/>
              <w:right w:val="single" w:sz="4" w:space="0" w:color="auto"/>
            </w:tcBorders>
            <w:vAlign w:val="center"/>
            <w:hideMark/>
          </w:tcPr>
          <w:p w14:paraId="50F56C59"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p>
        </w:tc>
        <w:tc>
          <w:tcPr>
            <w:tcW w:w="3802" w:type="dxa"/>
            <w:tcBorders>
              <w:top w:val="nil"/>
              <w:left w:val="nil"/>
              <w:bottom w:val="single" w:sz="4" w:space="0" w:color="auto"/>
              <w:right w:val="single" w:sz="4" w:space="0" w:color="auto"/>
            </w:tcBorders>
            <w:shd w:val="clear" w:color="000000" w:fill="D9D9D9"/>
            <w:noWrap/>
            <w:vAlign w:val="bottom"/>
            <w:hideMark/>
          </w:tcPr>
          <w:p w14:paraId="724A7D8D"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Areal coverage</w:t>
            </w:r>
          </w:p>
        </w:tc>
        <w:tc>
          <w:tcPr>
            <w:tcW w:w="2337" w:type="dxa"/>
            <w:tcBorders>
              <w:top w:val="nil"/>
              <w:left w:val="nil"/>
              <w:bottom w:val="single" w:sz="4" w:space="0" w:color="auto"/>
              <w:right w:val="single" w:sz="4" w:space="0" w:color="auto"/>
            </w:tcBorders>
            <w:shd w:val="clear" w:color="000000" w:fill="D9D9D9"/>
            <w:noWrap/>
            <w:vAlign w:val="bottom"/>
            <w:hideMark/>
          </w:tcPr>
          <w:p w14:paraId="2EBF87A7"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Encounterability</w:t>
            </w:r>
          </w:p>
        </w:tc>
        <w:tc>
          <w:tcPr>
            <w:tcW w:w="1330" w:type="dxa"/>
            <w:tcBorders>
              <w:top w:val="nil"/>
              <w:left w:val="nil"/>
              <w:bottom w:val="single" w:sz="4" w:space="0" w:color="auto"/>
              <w:right w:val="single" w:sz="4" w:space="0" w:color="auto"/>
            </w:tcBorders>
            <w:shd w:val="clear" w:color="000000" w:fill="D9D9D9"/>
            <w:noWrap/>
            <w:vAlign w:val="bottom"/>
            <w:hideMark/>
          </w:tcPr>
          <w:p w14:paraId="04C3EE35"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Selectivity</w:t>
            </w:r>
          </w:p>
        </w:tc>
        <w:tc>
          <w:tcPr>
            <w:tcW w:w="2394" w:type="dxa"/>
            <w:tcBorders>
              <w:top w:val="nil"/>
              <w:left w:val="nil"/>
              <w:bottom w:val="single" w:sz="4" w:space="0" w:color="auto"/>
              <w:right w:val="single" w:sz="4" w:space="0" w:color="auto"/>
            </w:tcBorders>
            <w:shd w:val="clear" w:color="000000" w:fill="D9D9D9"/>
            <w:noWrap/>
            <w:vAlign w:val="bottom"/>
            <w:hideMark/>
          </w:tcPr>
          <w:p w14:paraId="6B96273E"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Post-capture mortality</w:t>
            </w:r>
          </w:p>
        </w:tc>
        <w:tc>
          <w:tcPr>
            <w:tcW w:w="2707" w:type="dxa"/>
            <w:tcBorders>
              <w:top w:val="nil"/>
              <w:left w:val="nil"/>
              <w:bottom w:val="single" w:sz="4" w:space="0" w:color="auto"/>
              <w:right w:val="single" w:sz="4" w:space="0" w:color="auto"/>
            </w:tcBorders>
            <w:shd w:val="clear" w:color="000000" w:fill="D9D9D9"/>
          </w:tcPr>
          <w:p w14:paraId="503BB640"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p>
        </w:tc>
      </w:tr>
      <w:tr w:rsidR="00D2140F" w:rsidRPr="001602CE" w14:paraId="1640FC2F" w14:textId="1DCB892C" w:rsidTr="00C61884">
        <w:trPr>
          <w:trHeight w:val="346"/>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14:paraId="28DFAC84"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Cuttlefish</w:t>
            </w:r>
          </w:p>
        </w:tc>
        <w:tc>
          <w:tcPr>
            <w:tcW w:w="3802" w:type="dxa"/>
            <w:tcBorders>
              <w:top w:val="nil"/>
              <w:left w:val="nil"/>
              <w:bottom w:val="single" w:sz="4" w:space="0" w:color="auto"/>
              <w:right w:val="single" w:sz="4" w:space="0" w:color="auto"/>
            </w:tcBorders>
            <w:shd w:val="clear" w:color="000000" w:fill="C6E0B4"/>
            <w:noWrap/>
            <w:vAlign w:val="bottom"/>
            <w:hideMark/>
          </w:tcPr>
          <w:p w14:paraId="27EA0B10"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&lt;10% Widely distributed</w:t>
            </w:r>
          </w:p>
        </w:tc>
        <w:tc>
          <w:tcPr>
            <w:tcW w:w="2337" w:type="dxa"/>
            <w:tcBorders>
              <w:top w:val="nil"/>
              <w:left w:val="nil"/>
              <w:bottom w:val="single" w:sz="4" w:space="0" w:color="auto"/>
              <w:right w:val="single" w:sz="4" w:space="0" w:color="auto"/>
            </w:tcBorders>
            <w:shd w:val="clear" w:color="000000" w:fill="FF6600"/>
            <w:noWrap/>
            <w:vAlign w:val="bottom"/>
            <w:hideMark/>
          </w:tcPr>
          <w:p w14:paraId="58B726C0"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Continental shelves, &lt;80m</w:t>
            </w:r>
          </w:p>
        </w:tc>
        <w:tc>
          <w:tcPr>
            <w:tcW w:w="1330" w:type="dxa"/>
            <w:tcBorders>
              <w:top w:val="nil"/>
              <w:left w:val="nil"/>
              <w:bottom w:val="single" w:sz="4" w:space="0" w:color="auto"/>
              <w:right w:val="single" w:sz="4" w:space="0" w:color="auto"/>
            </w:tcBorders>
            <w:shd w:val="clear" w:color="000000" w:fill="FF6600"/>
            <w:noWrap/>
            <w:vAlign w:val="bottom"/>
            <w:hideMark/>
          </w:tcPr>
          <w:p w14:paraId="05566799"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High</w:t>
            </w:r>
          </w:p>
        </w:tc>
        <w:tc>
          <w:tcPr>
            <w:tcW w:w="2394" w:type="dxa"/>
            <w:tcBorders>
              <w:top w:val="nil"/>
              <w:left w:val="nil"/>
              <w:bottom w:val="single" w:sz="4" w:space="0" w:color="auto"/>
              <w:right w:val="single" w:sz="4" w:space="0" w:color="auto"/>
            </w:tcBorders>
            <w:shd w:val="clear" w:color="000000" w:fill="FF6600"/>
            <w:noWrap/>
            <w:vAlign w:val="bottom"/>
            <w:hideMark/>
          </w:tcPr>
          <w:p w14:paraId="5ED115DF"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16% Survival - Low</w:t>
            </w:r>
          </w:p>
        </w:tc>
        <w:tc>
          <w:tcPr>
            <w:tcW w:w="2707" w:type="dxa"/>
            <w:tcBorders>
              <w:top w:val="nil"/>
              <w:left w:val="nil"/>
              <w:bottom w:val="single" w:sz="4" w:space="0" w:color="auto"/>
              <w:right w:val="single" w:sz="4" w:space="0" w:color="auto"/>
            </w:tcBorders>
            <w:shd w:val="clear" w:color="000000" w:fill="FF6600"/>
          </w:tcPr>
          <w:p w14:paraId="245A213F" w14:textId="4C1E50FA" w:rsidR="00D2140F" w:rsidRPr="00125544" w:rsidRDefault="00D2140F" w:rsidP="003C4EE5">
            <w:pPr>
              <w:spacing w:after="0" w:line="240" w:lineRule="auto"/>
              <w:ind w:left="0"/>
              <w:jc w:val="left"/>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Heesen et al, 2015</w:t>
            </w:r>
            <w:r w:rsidR="00125544">
              <w:rPr>
                <w:rFonts w:ascii="Calibri" w:eastAsia="Times New Roman" w:hAnsi="Calibri" w:cs="Times New Roman"/>
                <w:color w:val="000000"/>
                <w:lang w:eastAsia="en-GB"/>
              </w:rPr>
              <w:t xml:space="preserve">; Revill </w:t>
            </w:r>
            <w:r w:rsidR="00125544">
              <w:rPr>
                <w:rFonts w:ascii="Calibri" w:eastAsia="Times New Roman" w:hAnsi="Calibri" w:cs="Times New Roman"/>
                <w:i/>
                <w:color w:val="000000"/>
                <w:lang w:eastAsia="en-GB"/>
              </w:rPr>
              <w:t>et al</w:t>
            </w:r>
            <w:r w:rsidR="00125544">
              <w:rPr>
                <w:rFonts w:ascii="Calibri" w:eastAsia="Times New Roman" w:hAnsi="Calibri" w:cs="Times New Roman"/>
                <w:color w:val="000000"/>
                <w:lang w:eastAsia="en-GB"/>
              </w:rPr>
              <w:t>., 2015</w:t>
            </w:r>
          </w:p>
        </w:tc>
      </w:tr>
      <w:tr w:rsidR="00D2140F" w:rsidRPr="001602CE" w14:paraId="7B57286E" w14:textId="30BA3392" w:rsidTr="00C61884">
        <w:trPr>
          <w:trHeight w:val="346"/>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14:paraId="56174754"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Lemon sole</w:t>
            </w:r>
          </w:p>
        </w:tc>
        <w:tc>
          <w:tcPr>
            <w:tcW w:w="3802" w:type="dxa"/>
            <w:tcBorders>
              <w:top w:val="nil"/>
              <w:left w:val="nil"/>
              <w:bottom w:val="single" w:sz="4" w:space="0" w:color="auto"/>
              <w:right w:val="single" w:sz="4" w:space="0" w:color="auto"/>
            </w:tcBorders>
            <w:shd w:val="clear" w:color="000000" w:fill="FFE699"/>
            <w:noWrap/>
            <w:vAlign w:val="bottom"/>
            <w:hideMark/>
          </w:tcPr>
          <w:p w14:paraId="56183A74"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 xml:space="preserve">10-30% Widely distributed around the British Isles. </w:t>
            </w:r>
          </w:p>
        </w:tc>
        <w:tc>
          <w:tcPr>
            <w:tcW w:w="2337" w:type="dxa"/>
            <w:tcBorders>
              <w:top w:val="nil"/>
              <w:left w:val="nil"/>
              <w:bottom w:val="single" w:sz="4" w:space="0" w:color="auto"/>
              <w:right w:val="single" w:sz="4" w:space="0" w:color="auto"/>
            </w:tcBorders>
            <w:shd w:val="clear" w:color="000000" w:fill="FF6600"/>
            <w:noWrap/>
            <w:vAlign w:val="bottom"/>
            <w:hideMark/>
          </w:tcPr>
          <w:p w14:paraId="7A876547"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Demersal / Continental shelves, 100- 200m</w:t>
            </w:r>
          </w:p>
        </w:tc>
        <w:tc>
          <w:tcPr>
            <w:tcW w:w="1330" w:type="dxa"/>
            <w:tcBorders>
              <w:top w:val="nil"/>
              <w:left w:val="nil"/>
              <w:bottom w:val="single" w:sz="4" w:space="0" w:color="auto"/>
              <w:right w:val="single" w:sz="4" w:space="0" w:color="auto"/>
            </w:tcBorders>
            <w:shd w:val="clear" w:color="000000" w:fill="FF6600"/>
            <w:noWrap/>
            <w:vAlign w:val="bottom"/>
            <w:hideMark/>
          </w:tcPr>
          <w:p w14:paraId="37455FA3"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High</w:t>
            </w:r>
          </w:p>
        </w:tc>
        <w:tc>
          <w:tcPr>
            <w:tcW w:w="2394" w:type="dxa"/>
            <w:tcBorders>
              <w:top w:val="nil"/>
              <w:left w:val="nil"/>
              <w:bottom w:val="single" w:sz="4" w:space="0" w:color="auto"/>
              <w:right w:val="single" w:sz="4" w:space="0" w:color="auto"/>
            </w:tcBorders>
            <w:shd w:val="clear" w:color="000000" w:fill="FFE699"/>
            <w:noWrap/>
            <w:vAlign w:val="bottom"/>
            <w:hideMark/>
          </w:tcPr>
          <w:p w14:paraId="7B72BA04"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43% immediate survival - medium</w:t>
            </w:r>
          </w:p>
        </w:tc>
        <w:tc>
          <w:tcPr>
            <w:tcW w:w="2707" w:type="dxa"/>
            <w:tcBorders>
              <w:top w:val="nil"/>
              <w:left w:val="nil"/>
              <w:bottom w:val="single" w:sz="4" w:space="0" w:color="auto"/>
              <w:right w:val="single" w:sz="4" w:space="0" w:color="auto"/>
            </w:tcBorders>
            <w:shd w:val="clear" w:color="000000" w:fill="FFE699"/>
          </w:tcPr>
          <w:p w14:paraId="72593F07" w14:textId="2F04A826"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Heesen et al, 2015</w:t>
            </w:r>
            <w:r w:rsidR="00125544">
              <w:rPr>
                <w:rFonts w:ascii="Calibri" w:eastAsia="Times New Roman" w:hAnsi="Calibri" w:cs="Times New Roman"/>
                <w:color w:val="000000"/>
                <w:lang w:eastAsia="en-GB"/>
              </w:rPr>
              <w:t>; Revill, 2012</w:t>
            </w:r>
          </w:p>
        </w:tc>
      </w:tr>
      <w:tr w:rsidR="00D2140F" w:rsidRPr="001602CE" w14:paraId="733B5C60" w14:textId="64D3EB53" w:rsidTr="00C61884">
        <w:trPr>
          <w:trHeight w:val="346"/>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14:paraId="59B70343"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Megrim</w:t>
            </w:r>
          </w:p>
        </w:tc>
        <w:tc>
          <w:tcPr>
            <w:tcW w:w="3802" w:type="dxa"/>
            <w:tcBorders>
              <w:top w:val="nil"/>
              <w:left w:val="nil"/>
              <w:bottom w:val="single" w:sz="4" w:space="0" w:color="auto"/>
              <w:right w:val="single" w:sz="4" w:space="0" w:color="auto"/>
            </w:tcBorders>
            <w:shd w:val="clear" w:color="000000" w:fill="FFE699"/>
            <w:noWrap/>
            <w:vAlign w:val="bottom"/>
            <w:hideMark/>
          </w:tcPr>
          <w:p w14:paraId="5D05128E"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 xml:space="preserve">10-30% Widely distributed around the British Isles. </w:t>
            </w:r>
          </w:p>
        </w:tc>
        <w:tc>
          <w:tcPr>
            <w:tcW w:w="2337" w:type="dxa"/>
            <w:tcBorders>
              <w:top w:val="nil"/>
              <w:left w:val="nil"/>
              <w:bottom w:val="single" w:sz="4" w:space="0" w:color="auto"/>
              <w:right w:val="single" w:sz="4" w:space="0" w:color="auto"/>
            </w:tcBorders>
            <w:shd w:val="clear" w:color="000000" w:fill="FF6600"/>
            <w:noWrap/>
            <w:vAlign w:val="bottom"/>
            <w:hideMark/>
          </w:tcPr>
          <w:p w14:paraId="26A5BD09"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Demersal / Continental shelves, &lt;50m</w:t>
            </w:r>
          </w:p>
        </w:tc>
        <w:tc>
          <w:tcPr>
            <w:tcW w:w="1330" w:type="dxa"/>
            <w:tcBorders>
              <w:top w:val="nil"/>
              <w:left w:val="nil"/>
              <w:bottom w:val="single" w:sz="4" w:space="0" w:color="auto"/>
              <w:right w:val="single" w:sz="4" w:space="0" w:color="auto"/>
            </w:tcBorders>
            <w:shd w:val="clear" w:color="000000" w:fill="FF6600"/>
            <w:noWrap/>
            <w:vAlign w:val="bottom"/>
            <w:hideMark/>
          </w:tcPr>
          <w:p w14:paraId="3F51C7E1"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High</w:t>
            </w:r>
          </w:p>
        </w:tc>
        <w:tc>
          <w:tcPr>
            <w:tcW w:w="2394" w:type="dxa"/>
            <w:tcBorders>
              <w:top w:val="nil"/>
              <w:left w:val="nil"/>
              <w:bottom w:val="single" w:sz="4" w:space="0" w:color="auto"/>
              <w:right w:val="single" w:sz="4" w:space="0" w:color="auto"/>
            </w:tcBorders>
            <w:shd w:val="clear" w:color="000000" w:fill="FFE699"/>
            <w:noWrap/>
            <w:vAlign w:val="bottom"/>
            <w:hideMark/>
          </w:tcPr>
          <w:p w14:paraId="3F6DD2C3"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Medium (like the other flatfish)</w:t>
            </w:r>
          </w:p>
        </w:tc>
        <w:tc>
          <w:tcPr>
            <w:tcW w:w="2707" w:type="dxa"/>
            <w:tcBorders>
              <w:top w:val="nil"/>
              <w:left w:val="nil"/>
              <w:bottom w:val="single" w:sz="4" w:space="0" w:color="auto"/>
              <w:right w:val="single" w:sz="4" w:space="0" w:color="auto"/>
            </w:tcBorders>
            <w:shd w:val="clear" w:color="000000" w:fill="FFE699"/>
          </w:tcPr>
          <w:p w14:paraId="30F7ABB1" w14:textId="057AFA9B"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Heesen et al, 2015</w:t>
            </w:r>
          </w:p>
        </w:tc>
      </w:tr>
      <w:tr w:rsidR="00D2140F" w:rsidRPr="001602CE" w14:paraId="73D0D702" w14:textId="2882654B" w:rsidTr="00C61884">
        <w:trPr>
          <w:trHeight w:val="346"/>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14:paraId="4753D166"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European plaice</w:t>
            </w:r>
          </w:p>
        </w:tc>
        <w:tc>
          <w:tcPr>
            <w:tcW w:w="3802" w:type="dxa"/>
            <w:tcBorders>
              <w:top w:val="nil"/>
              <w:left w:val="nil"/>
              <w:bottom w:val="single" w:sz="4" w:space="0" w:color="auto"/>
              <w:right w:val="single" w:sz="4" w:space="0" w:color="auto"/>
            </w:tcBorders>
            <w:shd w:val="clear" w:color="000000" w:fill="FFE699"/>
            <w:noWrap/>
            <w:vAlign w:val="bottom"/>
            <w:hideMark/>
          </w:tcPr>
          <w:p w14:paraId="75952013"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10-30% Widely distributed around the British Isles. Highest densities in Southern North Sea</w:t>
            </w:r>
          </w:p>
        </w:tc>
        <w:tc>
          <w:tcPr>
            <w:tcW w:w="2337" w:type="dxa"/>
            <w:tcBorders>
              <w:top w:val="nil"/>
              <w:left w:val="nil"/>
              <w:bottom w:val="single" w:sz="4" w:space="0" w:color="auto"/>
              <w:right w:val="single" w:sz="4" w:space="0" w:color="auto"/>
            </w:tcBorders>
            <w:shd w:val="clear" w:color="000000" w:fill="FF6600"/>
            <w:noWrap/>
            <w:vAlign w:val="bottom"/>
            <w:hideMark/>
          </w:tcPr>
          <w:p w14:paraId="74FC79ED"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Demersal / Continental shelves, 15 - 60m</w:t>
            </w:r>
          </w:p>
        </w:tc>
        <w:tc>
          <w:tcPr>
            <w:tcW w:w="1330" w:type="dxa"/>
            <w:tcBorders>
              <w:top w:val="nil"/>
              <w:left w:val="nil"/>
              <w:bottom w:val="single" w:sz="4" w:space="0" w:color="auto"/>
              <w:right w:val="single" w:sz="4" w:space="0" w:color="auto"/>
            </w:tcBorders>
            <w:shd w:val="clear" w:color="000000" w:fill="FF6600"/>
            <w:noWrap/>
            <w:vAlign w:val="bottom"/>
            <w:hideMark/>
          </w:tcPr>
          <w:p w14:paraId="14DE7136"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High</w:t>
            </w:r>
          </w:p>
        </w:tc>
        <w:tc>
          <w:tcPr>
            <w:tcW w:w="2394" w:type="dxa"/>
            <w:tcBorders>
              <w:top w:val="nil"/>
              <w:left w:val="nil"/>
              <w:bottom w:val="single" w:sz="4" w:space="0" w:color="auto"/>
              <w:right w:val="single" w:sz="4" w:space="0" w:color="auto"/>
            </w:tcBorders>
            <w:shd w:val="clear" w:color="auto" w:fill="FFE599" w:themeFill="accent4" w:themeFillTint="66"/>
            <w:noWrap/>
            <w:vAlign w:val="bottom"/>
            <w:hideMark/>
          </w:tcPr>
          <w:p w14:paraId="34A9DEB0" w14:textId="68BFCB3E" w:rsidR="00D2140F" w:rsidRPr="001602CE" w:rsidRDefault="00D035BE" w:rsidP="003C4EE5">
            <w:pPr>
              <w:spacing w:after="0" w:line="240" w:lineRule="auto"/>
              <w:ind w:left="0"/>
              <w:jc w:val="left"/>
              <w:rPr>
                <w:rFonts w:ascii="Calibri" w:eastAsia="Times New Roman" w:hAnsi="Calibri" w:cs="Times New Roman"/>
                <w:color w:val="000000"/>
                <w:lang w:eastAsia="en-GB"/>
              </w:rPr>
            </w:pPr>
            <w:r>
              <w:rPr>
                <w:rFonts w:ascii="Calibri" w:eastAsia="Times New Roman" w:hAnsi="Calibri" w:cs="Times New Roman"/>
                <w:color w:val="000000"/>
                <w:lang w:eastAsia="en-GB"/>
              </w:rPr>
              <w:t>38% survival - Medium</w:t>
            </w:r>
          </w:p>
        </w:tc>
        <w:tc>
          <w:tcPr>
            <w:tcW w:w="2707" w:type="dxa"/>
            <w:tcBorders>
              <w:top w:val="nil"/>
              <w:left w:val="nil"/>
              <w:bottom w:val="single" w:sz="4" w:space="0" w:color="auto"/>
              <w:right w:val="single" w:sz="4" w:space="0" w:color="auto"/>
            </w:tcBorders>
            <w:shd w:val="clear" w:color="000000" w:fill="C6E0B4"/>
          </w:tcPr>
          <w:p w14:paraId="2D74A65E" w14:textId="472C5144" w:rsidR="00D2140F" w:rsidRPr="00D035BE" w:rsidRDefault="00D2140F" w:rsidP="003C4EE5">
            <w:pPr>
              <w:spacing w:after="0" w:line="240" w:lineRule="auto"/>
              <w:ind w:left="0"/>
              <w:jc w:val="left"/>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Heesen et al, 2015</w:t>
            </w:r>
            <w:r w:rsidR="00D035BE">
              <w:rPr>
                <w:rFonts w:ascii="Calibri" w:eastAsia="Times New Roman" w:hAnsi="Calibri" w:cs="Times New Roman"/>
                <w:color w:val="000000"/>
                <w:lang w:eastAsia="en-GB"/>
              </w:rPr>
              <w:t xml:space="preserve">; Smith </w:t>
            </w:r>
            <w:r w:rsidR="00D035BE">
              <w:rPr>
                <w:rFonts w:ascii="Calibri" w:eastAsia="Times New Roman" w:hAnsi="Calibri" w:cs="Times New Roman"/>
                <w:i/>
                <w:color w:val="000000"/>
                <w:lang w:eastAsia="en-GB"/>
              </w:rPr>
              <w:t>et al</w:t>
            </w:r>
            <w:r w:rsidR="00D035BE">
              <w:rPr>
                <w:rFonts w:ascii="Calibri" w:eastAsia="Times New Roman" w:hAnsi="Calibri" w:cs="Times New Roman"/>
                <w:color w:val="000000"/>
                <w:lang w:eastAsia="en-GB"/>
              </w:rPr>
              <w:t>., 2015.</w:t>
            </w:r>
          </w:p>
        </w:tc>
      </w:tr>
      <w:tr w:rsidR="00D2140F" w:rsidRPr="001602CE" w14:paraId="4D9297FA" w14:textId="6F1F3FDC" w:rsidTr="00C61884">
        <w:trPr>
          <w:trHeight w:val="346"/>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14:paraId="2DD55619"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Gurnards</w:t>
            </w:r>
          </w:p>
        </w:tc>
        <w:tc>
          <w:tcPr>
            <w:tcW w:w="3802" w:type="dxa"/>
            <w:tcBorders>
              <w:top w:val="nil"/>
              <w:left w:val="nil"/>
              <w:bottom w:val="single" w:sz="4" w:space="0" w:color="auto"/>
              <w:right w:val="single" w:sz="4" w:space="0" w:color="auto"/>
            </w:tcBorders>
            <w:shd w:val="clear" w:color="000000" w:fill="FFE699"/>
            <w:noWrap/>
            <w:vAlign w:val="bottom"/>
            <w:hideMark/>
          </w:tcPr>
          <w:p w14:paraId="6C54C5FC"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 xml:space="preserve">10-30% Widely distributed around the British Isles. </w:t>
            </w:r>
          </w:p>
        </w:tc>
        <w:tc>
          <w:tcPr>
            <w:tcW w:w="2337" w:type="dxa"/>
            <w:tcBorders>
              <w:top w:val="nil"/>
              <w:left w:val="nil"/>
              <w:bottom w:val="single" w:sz="4" w:space="0" w:color="auto"/>
              <w:right w:val="single" w:sz="4" w:space="0" w:color="auto"/>
            </w:tcBorders>
            <w:shd w:val="clear" w:color="000000" w:fill="FF6600"/>
            <w:noWrap/>
            <w:vAlign w:val="bottom"/>
            <w:hideMark/>
          </w:tcPr>
          <w:p w14:paraId="0B3C4AA3"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Demersal / Continental shelves, 40-200m</w:t>
            </w:r>
          </w:p>
        </w:tc>
        <w:tc>
          <w:tcPr>
            <w:tcW w:w="1330" w:type="dxa"/>
            <w:tcBorders>
              <w:top w:val="nil"/>
              <w:left w:val="nil"/>
              <w:bottom w:val="single" w:sz="4" w:space="0" w:color="auto"/>
              <w:right w:val="single" w:sz="4" w:space="0" w:color="auto"/>
            </w:tcBorders>
            <w:shd w:val="clear" w:color="000000" w:fill="FF6600"/>
            <w:noWrap/>
            <w:vAlign w:val="bottom"/>
            <w:hideMark/>
          </w:tcPr>
          <w:p w14:paraId="23080CE2"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High</w:t>
            </w:r>
          </w:p>
        </w:tc>
        <w:tc>
          <w:tcPr>
            <w:tcW w:w="2394" w:type="dxa"/>
            <w:tcBorders>
              <w:top w:val="nil"/>
              <w:left w:val="nil"/>
              <w:bottom w:val="single" w:sz="4" w:space="0" w:color="auto"/>
              <w:right w:val="single" w:sz="4" w:space="0" w:color="auto"/>
            </w:tcBorders>
            <w:shd w:val="clear" w:color="auto" w:fill="FF6600"/>
            <w:noWrap/>
            <w:vAlign w:val="bottom"/>
            <w:hideMark/>
          </w:tcPr>
          <w:p w14:paraId="06E30063"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 </w:t>
            </w:r>
            <w:r>
              <w:rPr>
                <w:rFonts w:ascii="Calibri" w:eastAsia="Times New Roman" w:hAnsi="Calibri" w:cs="Times New Roman"/>
                <w:color w:val="000000"/>
                <w:lang w:eastAsia="en-GB"/>
              </w:rPr>
              <w:t>No info</w:t>
            </w:r>
          </w:p>
        </w:tc>
        <w:tc>
          <w:tcPr>
            <w:tcW w:w="2707" w:type="dxa"/>
            <w:tcBorders>
              <w:top w:val="nil"/>
              <w:left w:val="nil"/>
              <w:bottom w:val="single" w:sz="4" w:space="0" w:color="auto"/>
              <w:right w:val="single" w:sz="4" w:space="0" w:color="auto"/>
            </w:tcBorders>
            <w:shd w:val="clear" w:color="auto" w:fill="FF6600"/>
          </w:tcPr>
          <w:p w14:paraId="1CE1C15A" w14:textId="3CDD354E"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Heesen et al, 2015</w:t>
            </w:r>
          </w:p>
        </w:tc>
      </w:tr>
      <w:tr w:rsidR="00D2140F" w:rsidRPr="001602CE" w14:paraId="083CE240" w14:textId="1BC358DD" w:rsidTr="00C61884">
        <w:trPr>
          <w:trHeight w:val="346"/>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14:paraId="0BDD2CA3"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Lesser spotted dogfish</w:t>
            </w:r>
          </w:p>
        </w:tc>
        <w:tc>
          <w:tcPr>
            <w:tcW w:w="3802" w:type="dxa"/>
            <w:tcBorders>
              <w:top w:val="nil"/>
              <w:left w:val="nil"/>
              <w:bottom w:val="single" w:sz="4" w:space="0" w:color="auto"/>
              <w:right w:val="single" w:sz="4" w:space="0" w:color="auto"/>
            </w:tcBorders>
            <w:shd w:val="clear" w:color="000000" w:fill="FFE699"/>
            <w:noWrap/>
            <w:vAlign w:val="bottom"/>
            <w:hideMark/>
          </w:tcPr>
          <w:p w14:paraId="3F062263"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 xml:space="preserve">10-30% Widely distributed around the British Isles. </w:t>
            </w:r>
          </w:p>
        </w:tc>
        <w:tc>
          <w:tcPr>
            <w:tcW w:w="2337" w:type="dxa"/>
            <w:tcBorders>
              <w:top w:val="nil"/>
              <w:left w:val="nil"/>
              <w:bottom w:val="single" w:sz="4" w:space="0" w:color="auto"/>
              <w:right w:val="single" w:sz="4" w:space="0" w:color="auto"/>
            </w:tcBorders>
            <w:shd w:val="clear" w:color="000000" w:fill="FF6600"/>
            <w:noWrap/>
            <w:vAlign w:val="bottom"/>
            <w:hideMark/>
          </w:tcPr>
          <w:p w14:paraId="6961FA24"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Demersal / Continental shelves, 10-250m</w:t>
            </w:r>
          </w:p>
        </w:tc>
        <w:tc>
          <w:tcPr>
            <w:tcW w:w="1330" w:type="dxa"/>
            <w:tcBorders>
              <w:top w:val="nil"/>
              <w:left w:val="nil"/>
              <w:bottom w:val="single" w:sz="4" w:space="0" w:color="auto"/>
              <w:right w:val="single" w:sz="4" w:space="0" w:color="auto"/>
            </w:tcBorders>
            <w:shd w:val="clear" w:color="000000" w:fill="FF6600"/>
            <w:noWrap/>
            <w:vAlign w:val="bottom"/>
            <w:hideMark/>
          </w:tcPr>
          <w:p w14:paraId="6EC63089"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High</w:t>
            </w:r>
          </w:p>
        </w:tc>
        <w:tc>
          <w:tcPr>
            <w:tcW w:w="2394" w:type="dxa"/>
            <w:tcBorders>
              <w:top w:val="nil"/>
              <w:left w:val="nil"/>
              <w:bottom w:val="single" w:sz="4" w:space="0" w:color="auto"/>
              <w:right w:val="single" w:sz="4" w:space="0" w:color="auto"/>
            </w:tcBorders>
            <w:shd w:val="clear" w:color="000000" w:fill="C6E0B4"/>
            <w:noWrap/>
            <w:vAlign w:val="bottom"/>
            <w:hideMark/>
          </w:tcPr>
          <w:p w14:paraId="4440E278"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98% survival - High</w:t>
            </w:r>
          </w:p>
        </w:tc>
        <w:tc>
          <w:tcPr>
            <w:tcW w:w="2707" w:type="dxa"/>
            <w:tcBorders>
              <w:top w:val="nil"/>
              <w:left w:val="nil"/>
              <w:bottom w:val="single" w:sz="4" w:space="0" w:color="auto"/>
              <w:right w:val="single" w:sz="4" w:space="0" w:color="auto"/>
            </w:tcBorders>
            <w:shd w:val="clear" w:color="000000" w:fill="C6E0B4"/>
          </w:tcPr>
          <w:p w14:paraId="3034CE7C" w14:textId="25A181CD"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Heesen et al, 2015</w:t>
            </w:r>
            <w:r w:rsidR="00125544">
              <w:rPr>
                <w:rFonts w:ascii="Calibri" w:eastAsia="Times New Roman" w:hAnsi="Calibri" w:cs="Times New Roman"/>
                <w:color w:val="000000"/>
                <w:lang w:eastAsia="en-GB"/>
              </w:rPr>
              <w:t xml:space="preserve">; </w:t>
            </w:r>
            <w:r w:rsidR="00125544">
              <w:t>Revill et al., 2005.</w:t>
            </w:r>
          </w:p>
        </w:tc>
      </w:tr>
    </w:tbl>
    <w:p w14:paraId="22C05DC2" w14:textId="77777777" w:rsidR="003C4EE5" w:rsidRDefault="003C4EE5" w:rsidP="003C4EE5">
      <w:r>
        <w:fldChar w:fldCharType="end"/>
      </w:r>
    </w:p>
    <w:p w14:paraId="48D9B145" w14:textId="77777777" w:rsidR="003C4EE5" w:rsidRDefault="003C4EE5" w:rsidP="003C4EE5">
      <w:pPr>
        <w:spacing w:after="160" w:line="259" w:lineRule="auto"/>
        <w:ind w:left="0"/>
        <w:jc w:val="left"/>
      </w:pPr>
      <w:r>
        <w:br w:type="page"/>
      </w:r>
    </w:p>
    <w:p w14:paraId="62727D14" w14:textId="2973FBA2" w:rsidR="003C4EE5" w:rsidRDefault="003C4EE5" w:rsidP="003C4EE5">
      <w:pPr>
        <w:pStyle w:val="Caption"/>
      </w:pPr>
      <w:bookmarkStart w:id="83" w:name="_Toc516669271"/>
      <w:bookmarkStart w:id="84" w:name="_Toc516669283"/>
      <w:bookmarkStart w:id="85" w:name="_Toc518658167"/>
      <w:bookmarkStart w:id="86" w:name="_Toc518658179"/>
      <w:r>
        <w:lastRenderedPageBreak/>
        <w:t xml:space="preserve">Table </w:t>
      </w:r>
      <w:r w:rsidR="00DB2E87">
        <w:rPr>
          <w:noProof/>
        </w:rPr>
        <w:fldChar w:fldCharType="begin"/>
      </w:r>
      <w:r w:rsidR="00DB2E87">
        <w:rPr>
          <w:noProof/>
        </w:rPr>
        <w:instrText xml:space="preserve"> SEQ Table \* ARABIC </w:instrText>
      </w:r>
      <w:r w:rsidR="00DB2E87">
        <w:rPr>
          <w:noProof/>
        </w:rPr>
        <w:fldChar w:fldCharType="separate"/>
      </w:r>
      <w:r>
        <w:rPr>
          <w:noProof/>
        </w:rPr>
        <w:t>9</w:t>
      </w:r>
      <w:r w:rsidR="00DB2E87">
        <w:rPr>
          <w:noProof/>
        </w:rPr>
        <w:fldChar w:fldCharType="end"/>
      </w:r>
      <w:r>
        <w:t>. Susceptibility score for secondary species from beam trawls.</w:t>
      </w:r>
      <w:bookmarkEnd w:id="83"/>
      <w:bookmarkEnd w:id="84"/>
      <w:bookmarkEnd w:id="85"/>
      <w:bookmarkEnd w:id="86"/>
      <w:r>
        <w:t xml:space="preserve"> </w:t>
      </w:r>
      <w:r>
        <w:fldChar w:fldCharType="begin"/>
      </w:r>
      <w:r>
        <w:instrText xml:space="preserve"> LINK </w:instrText>
      </w:r>
      <w:r w:rsidR="00765935">
        <w:instrText xml:space="preserve">Excel.Sheet.12 "\\\\lowfilecdr\\CDP\\C7488_MSC Project UK\\Working_Area\\TASK 6 (Ana) Monkfish sec species status\\Analysis\\Productivity tables.xlsx" Netters!R22C2:R30C6 </w:instrText>
      </w:r>
      <w:r>
        <w:instrText xml:space="preserve">\a \f 4 \h  \* MERGEFORMAT </w:instrText>
      </w:r>
      <w:r>
        <w:fldChar w:fldCharType="separate"/>
      </w:r>
      <w:bookmarkStart w:id="87" w:name="_1591179751"/>
      <w:bookmarkEnd w:id="87"/>
    </w:p>
    <w:tbl>
      <w:tblPr>
        <w:tblW w:w="13887" w:type="dxa"/>
        <w:tblLook w:val="04A0" w:firstRow="1" w:lastRow="0" w:firstColumn="1" w:lastColumn="0" w:noHBand="0" w:noVBand="1"/>
      </w:tblPr>
      <w:tblGrid>
        <w:gridCol w:w="1274"/>
        <w:gridCol w:w="3824"/>
        <w:gridCol w:w="2358"/>
        <w:gridCol w:w="1330"/>
        <w:gridCol w:w="2394"/>
        <w:gridCol w:w="2707"/>
      </w:tblGrid>
      <w:tr w:rsidR="00D2140F" w:rsidRPr="001602CE" w14:paraId="36B77EE7" w14:textId="7A9EDECF" w:rsidTr="00C61884">
        <w:trPr>
          <w:trHeight w:val="300"/>
        </w:trPr>
        <w:tc>
          <w:tcPr>
            <w:tcW w:w="1274" w:type="dxa"/>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D356060" w14:textId="77777777" w:rsidR="00D2140F" w:rsidRPr="001602CE" w:rsidRDefault="00D2140F" w:rsidP="003C4EE5">
            <w:pPr>
              <w:spacing w:after="0" w:line="240" w:lineRule="auto"/>
              <w:ind w:left="0"/>
              <w:jc w:val="center"/>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Species</w:t>
            </w:r>
          </w:p>
        </w:tc>
        <w:tc>
          <w:tcPr>
            <w:tcW w:w="9906" w:type="dxa"/>
            <w:gridSpan w:val="4"/>
            <w:tcBorders>
              <w:top w:val="single" w:sz="4" w:space="0" w:color="auto"/>
              <w:left w:val="nil"/>
              <w:bottom w:val="single" w:sz="4" w:space="0" w:color="auto"/>
              <w:right w:val="single" w:sz="4" w:space="0" w:color="auto"/>
            </w:tcBorders>
            <w:shd w:val="clear" w:color="000000" w:fill="D9D9D9"/>
            <w:noWrap/>
            <w:vAlign w:val="bottom"/>
            <w:hideMark/>
          </w:tcPr>
          <w:p w14:paraId="63BF233B" w14:textId="77777777" w:rsidR="00D2140F" w:rsidRPr="001602CE" w:rsidRDefault="00D2140F" w:rsidP="003C4EE5">
            <w:pPr>
              <w:spacing w:after="0" w:line="240" w:lineRule="auto"/>
              <w:ind w:left="0"/>
              <w:jc w:val="center"/>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Beam trawls (TBB)</w:t>
            </w:r>
          </w:p>
        </w:tc>
        <w:tc>
          <w:tcPr>
            <w:tcW w:w="2707" w:type="dxa"/>
            <w:tcBorders>
              <w:top w:val="single" w:sz="4" w:space="0" w:color="auto"/>
              <w:left w:val="nil"/>
              <w:bottom w:val="single" w:sz="4" w:space="0" w:color="auto"/>
              <w:right w:val="single" w:sz="4" w:space="0" w:color="auto"/>
            </w:tcBorders>
            <w:shd w:val="clear" w:color="000000" w:fill="D9D9D9"/>
          </w:tcPr>
          <w:p w14:paraId="3BD6AC4D" w14:textId="77777777" w:rsidR="00D2140F" w:rsidRPr="001602CE" w:rsidRDefault="00D2140F" w:rsidP="003C4EE5">
            <w:pPr>
              <w:spacing w:after="0" w:line="240" w:lineRule="auto"/>
              <w:ind w:left="0"/>
              <w:jc w:val="center"/>
              <w:rPr>
                <w:rFonts w:ascii="Calibri" w:eastAsia="Times New Roman" w:hAnsi="Calibri" w:cs="Times New Roman"/>
                <w:color w:val="000000"/>
                <w:lang w:eastAsia="en-GB"/>
              </w:rPr>
            </w:pPr>
          </w:p>
        </w:tc>
      </w:tr>
      <w:tr w:rsidR="00D2140F" w:rsidRPr="001602CE" w14:paraId="0BDA9983" w14:textId="359CDE9D" w:rsidTr="00C61884">
        <w:trPr>
          <w:trHeight w:val="300"/>
        </w:trPr>
        <w:tc>
          <w:tcPr>
            <w:tcW w:w="1274" w:type="dxa"/>
            <w:vMerge/>
            <w:tcBorders>
              <w:top w:val="single" w:sz="4" w:space="0" w:color="auto"/>
              <w:left w:val="single" w:sz="4" w:space="0" w:color="auto"/>
              <w:bottom w:val="single" w:sz="4" w:space="0" w:color="auto"/>
              <w:right w:val="single" w:sz="4" w:space="0" w:color="auto"/>
            </w:tcBorders>
            <w:vAlign w:val="center"/>
            <w:hideMark/>
          </w:tcPr>
          <w:p w14:paraId="388C300C"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p>
        </w:tc>
        <w:tc>
          <w:tcPr>
            <w:tcW w:w="3824" w:type="dxa"/>
            <w:tcBorders>
              <w:top w:val="nil"/>
              <w:left w:val="nil"/>
              <w:bottom w:val="single" w:sz="4" w:space="0" w:color="auto"/>
              <w:right w:val="single" w:sz="4" w:space="0" w:color="auto"/>
            </w:tcBorders>
            <w:shd w:val="clear" w:color="000000" w:fill="D9D9D9"/>
            <w:noWrap/>
            <w:vAlign w:val="bottom"/>
            <w:hideMark/>
          </w:tcPr>
          <w:p w14:paraId="751C04D0"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Areal coverage</w:t>
            </w:r>
          </w:p>
        </w:tc>
        <w:tc>
          <w:tcPr>
            <w:tcW w:w="2358" w:type="dxa"/>
            <w:tcBorders>
              <w:top w:val="nil"/>
              <w:left w:val="nil"/>
              <w:bottom w:val="single" w:sz="4" w:space="0" w:color="auto"/>
              <w:right w:val="single" w:sz="4" w:space="0" w:color="auto"/>
            </w:tcBorders>
            <w:shd w:val="clear" w:color="000000" w:fill="D9D9D9"/>
            <w:noWrap/>
            <w:vAlign w:val="bottom"/>
            <w:hideMark/>
          </w:tcPr>
          <w:p w14:paraId="4EF19234"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Encounterability</w:t>
            </w:r>
          </w:p>
        </w:tc>
        <w:tc>
          <w:tcPr>
            <w:tcW w:w="1330" w:type="dxa"/>
            <w:tcBorders>
              <w:top w:val="nil"/>
              <w:left w:val="nil"/>
              <w:bottom w:val="single" w:sz="4" w:space="0" w:color="auto"/>
              <w:right w:val="single" w:sz="4" w:space="0" w:color="auto"/>
            </w:tcBorders>
            <w:shd w:val="clear" w:color="000000" w:fill="D9D9D9"/>
            <w:noWrap/>
            <w:vAlign w:val="bottom"/>
            <w:hideMark/>
          </w:tcPr>
          <w:p w14:paraId="2482AB6F"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Selectivity</w:t>
            </w:r>
          </w:p>
        </w:tc>
        <w:tc>
          <w:tcPr>
            <w:tcW w:w="2394" w:type="dxa"/>
            <w:tcBorders>
              <w:top w:val="nil"/>
              <w:left w:val="nil"/>
              <w:bottom w:val="single" w:sz="4" w:space="0" w:color="auto"/>
              <w:right w:val="single" w:sz="4" w:space="0" w:color="auto"/>
            </w:tcBorders>
            <w:shd w:val="clear" w:color="000000" w:fill="D9D9D9"/>
            <w:noWrap/>
            <w:vAlign w:val="bottom"/>
            <w:hideMark/>
          </w:tcPr>
          <w:p w14:paraId="43F7934C"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Post-capture mortality</w:t>
            </w:r>
          </w:p>
        </w:tc>
        <w:tc>
          <w:tcPr>
            <w:tcW w:w="2707" w:type="dxa"/>
            <w:tcBorders>
              <w:top w:val="nil"/>
              <w:left w:val="nil"/>
              <w:bottom w:val="single" w:sz="4" w:space="0" w:color="auto"/>
              <w:right w:val="single" w:sz="4" w:space="0" w:color="auto"/>
            </w:tcBorders>
            <w:shd w:val="clear" w:color="000000" w:fill="D9D9D9"/>
          </w:tcPr>
          <w:p w14:paraId="5E15024D" w14:textId="6F4215B7" w:rsidR="00D2140F" w:rsidRPr="001602CE" w:rsidRDefault="00D2140F" w:rsidP="003C4EE5">
            <w:pPr>
              <w:spacing w:after="0" w:line="240" w:lineRule="auto"/>
              <w:ind w:left="0"/>
              <w:jc w:val="left"/>
              <w:rPr>
                <w:rFonts w:ascii="Calibri" w:eastAsia="Times New Roman" w:hAnsi="Calibri" w:cs="Times New Roman"/>
                <w:color w:val="000000"/>
                <w:lang w:eastAsia="en-GB"/>
              </w:rPr>
            </w:pPr>
            <w:r>
              <w:rPr>
                <w:rFonts w:ascii="Calibri" w:eastAsia="Times New Roman" w:hAnsi="Calibri" w:cs="Times New Roman"/>
                <w:color w:val="000000"/>
                <w:lang w:eastAsia="en-GB"/>
              </w:rPr>
              <w:t>Source</w:t>
            </w:r>
          </w:p>
        </w:tc>
      </w:tr>
      <w:tr w:rsidR="00D2140F" w:rsidRPr="001602CE" w14:paraId="5BB6D0CB" w14:textId="670638EF" w:rsidTr="00C61884">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5C3FF454"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Cuttlefish</w:t>
            </w:r>
          </w:p>
        </w:tc>
        <w:tc>
          <w:tcPr>
            <w:tcW w:w="3824" w:type="dxa"/>
            <w:tcBorders>
              <w:top w:val="nil"/>
              <w:left w:val="nil"/>
              <w:bottom w:val="single" w:sz="4" w:space="0" w:color="auto"/>
              <w:right w:val="single" w:sz="4" w:space="0" w:color="auto"/>
            </w:tcBorders>
            <w:shd w:val="clear" w:color="000000" w:fill="C6E0B4"/>
            <w:noWrap/>
            <w:vAlign w:val="bottom"/>
            <w:hideMark/>
          </w:tcPr>
          <w:p w14:paraId="1C8D2E22"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&lt;10% Widely distributed</w:t>
            </w:r>
          </w:p>
        </w:tc>
        <w:tc>
          <w:tcPr>
            <w:tcW w:w="2358" w:type="dxa"/>
            <w:tcBorders>
              <w:top w:val="nil"/>
              <w:left w:val="nil"/>
              <w:bottom w:val="single" w:sz="4" w:space="0" w:color="auto"/>
              <w:right w:val="single" w:sz="4" w:space="0" w:color="auto"/>
            </w:tcBorders>
            <w:shd w:val="clear" w:color="000000" w:fill="FF6600"/>
            <w:noWrap/>
            <w:vAlign w:val="bottom"/>
            <w:hideMark/>
          </w:tcPr>
          <w:p w14:paraId="6F2F8C3D"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Continental shelves, &lt;80m</w:t>
            </w:r>
          </w:p>
        </w:tc>
        <w:tc>
          <w:tcPr>
            <w:tcW w:w="1330" w:type="dxa"/>
            <w:tcBorders>
              <w:top w:val="nil"/>
              <w:left w:val="nil"/>
              <w:bottom w:val="single" w:sz="4" w:space="0" w:color="auto"/>
              <w:right w:val="single" w:sz="4" w:space="0" w:color="auto"/>
            </w:tcBorders>
            <w:shd w:val="clear" w:color="000000" w:fill="FF6600"/>
            <w:noWrap/>
            <w:vAlign w:val="bottom"/>
            <w:hideMark/>
          </w:tcPr>
          <w:p w14:paraId="0E2401B7"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High</w:t>
            </w:r>
          </w:p>
        </w:tc>
        <w:tc>
          <w:tcPr>
            <w:tcW w:w="2394" w:type="dxa"/>
            <w:tcBorders>
              <w:top w:val="nil"/>
              <w:left w:val="nil"/>
              <w:bottom w:val="single" w:sz="4" w:space="0" w:color="auto"/>
              <w:right w:val="single" w:sz="4" w:space="0" w:color="auto"/>
            </w:tcBorders>
            <w:shd w:val="clear" w:color="000000" w:fill="FF6600"/>
            <w:noWrap/>
            <w:vAlign w:val="bottom"/>
            <w:hideMark/>
          </w:tcPr>
          <w:p w14:paraId="16627F35"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16% Survival - Low</w:t>
            </w:r>
          </w:p>
        </w:tc>
        <w:tc>
          <w:tcPr>
            <w:tcW w:w="2707" w:type="dxa"/>
            <w:tcBorders>
              <w:top w:val="nil"/>
              <w:left w:val="nil"/>
              <w:bottom w:val="single" w:sz="4" w:space="0" w:color="auto"/>
              <w:right w:val="single" w:sz="4" w:space="0" w:color="auto"/>
            </w:tcBorders>
            <w:shd w:val="clear" w:color="000000" w:fill="FF6600"/>
          </w:tcPr>
          <w:p w14:paraId="74C3176A" w14:textId="48F916DE"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Heesen et al, 2015</w:t>
            </w:r>
          </w:p>
        </w:tc>
      </w:tr>
      <w:tr w:rsidR="00D2140F" w:rsidRPr="001602CE" w14:paraId="17EA4C33" w14:textId="7B66419A" w:rsidTr="00C61884">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0F74F2F6"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Megrim</w:t>
            </w:r>
          </w:p>
        </w:tc>
        <w:tc>
          <w:tcPr>
            <w:tcW w:w="3824" w:type="dxa"/>
            <w:tcBorders>
              <w:top w:val="nil"/>
              <w:left w:val="nil"/>
              <w:bottom w:val="single" w:sz="4" w:space="0" w:color="auto"/>
              <w:right w:val="single" w:sz="4" w:space="0" w:color="auto"/>
            </w:tcBorders>
            <w:shd w:val="clear" w:color="000000" w:fill="FFE699"/>
            <w:noWrap/>
            <w:vAlign w:val="bottom"/>
            <w:hideMark/>
          </w:tcPr>
          <w:p w14:paraId="14997A79"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 xml:space="preserve">10-30% Widely distributed around the British Isles. </w:t>
            </w:r>
          </w:p>
        </w:tc>
        <w:tc>
          <w:tcPr>
            <w:tcW w:w="2358" w:type="dxa"/>
            <w:tcBorders>
              <w:top w:val="nil"/>
              <w:left w:val="nil"/>
              <w:bottom w:val="single" w:sz="4" w:space="0" w:color="auto"/>
              <w:right w:val="single" w:sz="4" w:space="0" w:color="auto"/>
            </w:tcBorders>
            <w:shd w:val="clear" w:color="000000" w:fill="FF6600"/>
            <w:noWrap/>
            <w:vAlign w:val="bottom"/>
            <w:hideMark/>
          </w:tcPr>
          <w:p w14:paraId="5EFC22C9"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Demersal / Continental shelves, &lt;50m</w:t>
            </w:r>
          </w:p>
        </w:tc>
        <w:tc>
          <w:tcPr>
            <w:tcW w:w="1330" w:type="dxa"/>
            <w:tcBorders>
              <w:top w:val="nil"/>
              <w:left w:val="nil"/>
              <w:bottom w:val="single" w:sz="4" w:space="0" w:color="auto"/>
              <w:right w:val="single" w:sz="4" w:space="0" w:color="auto"/>
            </w:tcBorders>
            <w:shd w:val="clear" w:color="000000" w:fill="FF6600"/>
            <w:noWrap/>
            <w:vAlign w:val="bottom"/>
            <w:hideMark/>
          </w:tcPr>
          <w:p w14:paraId="09CF6705"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High</w:t>
            </w:r>
          </w:p>
        </w:tc>
        <w:tc>
          <w:tcPr>
            <w:tcW w:w="2394" w:type="dxa"/>
            <w:tcBorders>
              <w:top w:val="nil"/>
              <w:left w:val="nil"/>
              <w:bottom w:val="single" w:sz="4" w:space="0" w:color="auto"/>
              <w:right w:val="single" w:sz="4" w:space="0" w:color="auto"/>
            </w:tcBorders>
            <w:shd w:val="clear" w:color="000000" w:fill="FFE699"/>
            <w:noWrap/>
            <w:vAlign w:val="bottom"/>
            <w:hideMark/>
          </w:tcPr>
          <w:p w14:paraId="74AFD0CD"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Medium (like the other flatfish)</w:t>
            </w:r>
          </w:p>
        </w:tc>
        <w:tc>
          <w:tcPr>
            <w:tcW w:w="2707" w:type="dxa"/>
            <w:tcBorders>
              <w:top w:val="nil"/>
              <w:left w:val="nil"/>
              <w:bottom w:val="single" w:sz="4" w:space="0" w:color="auto"/>
              <w:right w:val="single" w:sz="4" w:space="0" w:color="auto"/>
            </w:tcBorders>
            <w:shd w:val="clear" w:color="000000" w:fill="FFE699"/>
          </w:tcPr>
          <w:p w14:paraId="1CEFBA24" w14:textId="09C0B0FA"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Heesen et al, 2015</w:t>
            </w:r>
          </w:p>
        </w:tc>
      </w:tr>
      <w:tr w:rsidR="00D2140F" w:rsidRPr="001602CE" w14:paraId="1283E81B" w14:textId="33C4C109" w:rsidTr="00C61884">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127A0098"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European plaice</w:t>
            </w:r>
          </w:p>
        </w:tc>
        <w:tc>
          <w:tcPr>
            <w:tcW w:w="3824" w:type="dxa"/>
            <w:tcBorders>
              <w:top w:val="nil"/>
              <w:left w:val="nil"/>
              <w:bottom w:val="single" w:sz="4" w:space="0" w:color="auto"/>
              <w:right w:val="single" w:sz="4" w:space="0" w:color="auto"/>
            </w:tcBorders>
            <w:shd w:val="clear" w:color="000000" w:fill="FFE699"/>
            <w:noWrap/>
            <w:vAlign w:val="bottom"/>
            <w:hideMark/>
          </w:tcPr>
          <w:p w14:paraId="6D75864E"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10-30% Widely distributed around the British Isles. Highest densities in Southern North Sea</w:t>
            </w:r>
          </w:p>
        </w:tc>
        <w:tc>
          <w:tcPr>
            <w:tcW w:w="2358" w:type="dxa"/>
            <w:tcBorders>
              <w:top w:val="nil"/>
              <w:left w:val="nil"/>
              <w:bottom w:val="single" w:sz="4" w:space="0" w:color="auto"/>
              <w:right w:val="single" w:sz="4" w:space="0" w:color="auto"/>
            </w:tcBorders>
            <w:shd w:val="clear" w:color="000000" w:fill="FF6600"/>
            <w:noWrap/>
            <w:vAlign w:val="bottom"/>
            <w:hideMark/>
          </w:tcPr>
          <w:p w14:paraId="50AE5C4A"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Demersal / Continental shelves, 15 - 60m</w:t>
            </w:r>
          </w:p>
        </w:tc>
        <w:tc>
          <w:tcPr>
            <w:tcW w:w="1330" w:type="dxa"/>
            <w:tcBorders>
              <w:top w:val="nil"/>
              <w:left w:val="nil"/>
              <w:bottom w:val="single" w:sz="4" w:space="0" w:color="auto"/>
              <w:right w:val="single" w:sz="4" w:space="0" w:color="auto"/>
            </w:tcBorders>
            <w:shd w:val="clear" w:color="000000" w:fill="FF6600"/>
            <w:noWrap/>
            <w:vAlign w:val="bottom"/>
            <w:hideMark/>
          </w:tcPr>
          <w:p w14:paraId="4C1769C2"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High</w:t>
            </w:r>
          </w:p>
        </w:tc>
        <w:tc>
          <w:tcPr>
            <w:tcW w:w="2394" w:type="dxa"/>
            <w:tcBorders>
              <w:top w:val="nil"/>
              <w:left w:val="nil"/>
              <w:bottom w:val="single" w:sz="4" w:space="0" w:color="auto"/>
              <w:right w:val="single" w:sz="4" w:space="0" w:color="auto"/>
            </w:tcBorders>
            <w:shd w:val="clear" w:color="000000" w:fill="FFE699"/>
            <w:noWrap/>
            <w:vAlign w:val="bottom"/>
            <w:hideMark/>
          </w:tcPr>
          <w:p w14:paraId="39412060"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31% survival - Medium</w:t>
            </w:r>
          </w:p>
        </w:tc>
        <w:tc>
          <w:tcPr>
            <w:tcW w:w="2707" w:type="dxa"/>
            <w:tcBorders>
              <w:top w:val="nil"/>
              <w:left w:val="nil"/>
              <w:bottom w:val="single" w:sz="4" w:space="0" w:color="auto"/>
              <w:right w:val="single" w:sz="4" w:space="0" w:color="auto"/>
            </w:tcBorders>
            <w:shd w:val="clear" w:color="000000" w:fill="FFE699"/>
          </w:tcPr>
          <w:p w14:paraId="1E2E3476" w14:textId="3C20FFB3"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Heesen et al, 2015</w:t>
            </w:r>
            <w:r w:rsidR="00D035BE">
              <w:rPr>
                <w:rFonts w:ascii="Calibri" w:eastAsia="Times New Roman" w:hAnsi="Calibri" w:cs="Times New Roman"/>
                <w:color w:val="000000"/>
                <w:lang w:eastAsia="en-GB"/>
              </w:rPr>
              <w:t>; Smith and Catchpole, 2017.</w:t>
            </w:r>
          </w:p>
        </w:tc>
      </w:tr>
      <w:tr w:rsidR="00D2140F" w:rsidRPr="001602CE" w14:paraId="316D5D98" w14:textId="6D9F6390" w:rsidTr="00C61884">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696C167E"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Gurnards</w:t>
            </w:r>
          </w:p>
        </w:tc>
        <w:tc>
          <w:tcPr>
            <w:tcW w:w="3824" w:type="dxa"/>
            <w:tcBorders>
              <w:top w:val="nil"/>
              <w:left w:val="nil"/>
              <w:bottom w:val="single" w:sz="4" w:space="0" w:color="auto"/>
              <w:right w:val="single" w:sz="4" w:space="0" w:color="auto"/>
            </w:tcBorders>
            <w:shd w:val="clear" w:color="000000" w:fill="FFE699"/>
            <w:noWrap/>
            <w:vAlign w:val="bottom"/>
            <w:hideMark/>
          </w:tcPr>
          <w:p w14:paraId="72A7D2EF"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 xml:space="preserve">10-30% Widely distributed around the British Isles. </w:t>
            </w:r>
          </w:p>
        </w:tc>
        <w:tc>
          <w:tcPr>
            <w:tcW w:w="2358" w:type="dxa"/>
            <w:tcBorders>
              <w:top w:val="nil"/>
              <w:left w:val="nil"/>
              <w:bottom w:val="single" w:sz="4" w:space="0" w:color="auto"/>
              <w:right w:val="single" w:sz="4" w:space="0" w:color="auto"/>
            </w:tcBorders>
            <w:shd w:val="clear" w:color="000000" w:fill="FF6600"/>
            <w:noWrap/>
            <w:vAlign w:val="bottom"/>
            <w:hideMark/>
          </w:tcPr>
          <w:p w14:paraId="2B5421FF"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Demersal / Continental shelves, 40-200m</w:t>
            </w:r>
          </w:p>
        </w:tc>
        <w:tc>
          <w:tcPr>
            <w:tcW w:w="1330" w:type="dxa"/>
            <w:tcBorders>
              <w:top w:val="nil"/>
              <w:left w:val="nil"/>
              <w:bottom w:val="single" w:sz="4" w:space="0" w:color="auto"/>
              <w:right w:val="single" w:sz="4" w:space="0" w:color="auto"/>
            </w:tcBorders>
            <w:shd w:val="clear" w:color="000000" w:fill="FF6600"/>
            <w:noWrap/>
            <w:vAlign w:val="bottom"/>
            <w:hideMark/>
          </w:tcPr>
          <w:p w14:paraId="55A90130"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High</w:t>
            </w:r>
          </w:p>
        </w:tc>
        <w:tc>
          <w:tcPr>
            <w:tcW w:w="2394" w:type="dxa"/>
            <w:tcBorders>
              <w:top w:val="nil"/>
              <w:left w:val="nil"/>
              <w:bottom w:val="single" w:sz="4" w:space="0" w:color="auto"/>
              <w:right w:val="single" w:sz="4" w:space="0" w:color="auto"/>
            </w:tcBorders>
            <w:shd w:val="clear" w:color="auto" w:fill="FF6600"/>
            <w:noWrap/>
            <w:vAlign w:val="bottom"/>
            <w:hideMark/>
          </w:tcPr>
          <w:p w14:paraId="4F9F6833"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 </w:t>
            </w:r>
            <w:r>
              <w:rPr>
                <w:rFonts w:ascii="Calibri" w:eastAsia="Times New Roman" w:hAnsi="Calibri" w:cs="Times New Roman"/>
                <w:color w:val="000000"/>
                <w:lang w:eastAsia="en-GB"/>
              </w:rPr>
              <w:t>No info</w:t>
            </w:r>
          </w:p>
        </w:tc>
        <w:tc>
          <w:tcPr>
            <w:tcW w:w="2707" w:type="dxa"/>
            <w:tcBorders>
              <w:top w:val="nil"/>
              <w:left w:val="nil"/>
              <w:bottom w:val="single" w:sz="4" w:space="0" w:color="auto"/>
              <w:right w:val="single" w:sz="4" w:space="0" w:color="auto"/>
            </w:tcBorders>
            <w:shd w:val="clear" w:color="auto" w:fill="FF6600"/>
          </w:tcPr>
          <w:p w14:paraId="16BB7D35" w14:textId="5A64E50B"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Heesen et al, 2015</w:t>
            </w:r>
          </w:p>
        </w:tc>
      </w:tr>
      <w:tr w:rsidR="00D2140F" w:rsidRPr="001602CE" w14:paraId="4AA1F74E" w14:textId="31BF1154" w:rsidTr="00C61884">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4BAC6DBB"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Dover sole</w:t>
            </w:r>
          </w:p>
        </w:tc>
        <w:tc>
          <w:tcPr>
            <w:tcW w:w="3824" w:type="dxa"/>
            <w:tcBorders>
              <w:top w:val="nil"/>
              <w:left w:val="nil"/>
              <w:bottom w:val="single" w:sz="4" w:space="0" w:color="auto"/>
              <w:right w:val="single" w:sz="4" w:space="0" w:color="auto"/>
            </w:tcBorders>
            <w:shd w:val="clear" w:color="000000" w:fill="FFE699"/>
            <w:noWrap/>
            <w:vAlign w:val="bottom"/>
            <w:hideMark/>
          </w:tcPr>
          <w:p w14:paraId="30FA6CC9"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10-30% Widely distributed around the British Isles. Highest densities in Southern North Sea</w:t>
            </w:r>
          </w:p>
        </w:tc>
        <w:tc>
          <w:tcPr>
            <w:tcW w:w="2358" w:type="dxa"/>
            <w:tcBorders>
              <w:top w:val="nil"/>
              <w:left w:val="nil"/>
              <w:bottom w:val="single" w:sz="4" w:space="0" w:color="auto"/>
              <w:right w:val="single" w:sz="4" w:space="0" w:color="auto"/>
            </w:tcBorders>
            <w:shd w:val="clear" w:color="000000" w:fill="FF6600"/>
            <w:noWrap/>
            <w:vAlign w:val="bottom"/>
            <w:hideMark/>
          </w:tcPr>
          <w:p w14:paraId="122C2A4C"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Demersal / Continental shelves, 5-50m</w:t>
            </w:r>
          </w:p>
        </w:tc>
        <w:tc>
          <w:tcPr>
            <w:tcW w:w="1330" w:type="dxa"/>
            <w:tcBorders>
              <w:top w:val="nil"/>
              <w:left w:val="nil"/>
              <w:bottom w:val="single" w:sz="4" w:space="0" w:color="auto"/>
              <w:right w:val="single" w:sz="4" w:space="0" w:color="auto"/>
            </w:tcBorders>
            <w:shd w:val="clear" w:color="000000" w:fill="FF6600"/>
            <w:noWrap/>
            <w:vAlign w:val="bottom"/>
            <w:hideMark/>
          </w:tcPr>
          <w:p w14:paraId="435F5FD4"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High</w:t>
            </w:r>
          </w:p>
        </w:tc>
        <w:tc>
          <w:tcPr>
            <w:tcW w:w="2394" w:type="dxa"/>
            <w:tcBorders>
              <w:top w:val="nil"/>
              <w:left w:val="nil"/>
              <w:bottom w:val="single" w:sz="4" w:space="0" w:color="auto"/>
              <w:right w:val="single" w:sz="4" w:space="0" w:color="auto"/>
            </w:tcBorders>
            <w:shd w:val="clear" w:color="000000" w:fill="FFE699"/>
            <w:noWrap/>
            <w:vAlign w:val="bottom"/>
            <w:hideMark/>
          </w:tcPr>
          <w:p w14:paraId="3CEC2706"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34% - 55% survival - Medium</w:t>
            </w:r>
          </w:p>
        </w:tc>
        <w:tc>
          <w:tcPr>
            <w:tcW w:w="2707" w:type="dxa"/>
            <w:tcBorders>
              <w:top w:val="nil"/>
              <w:left w:val="nil"/>
              <w:bottom w:val="single" w:sz="4" w:space="0" w:color="auto"/>
              <w:right w:val="single" w:sz="4" w:space="0" w:color="auto"/>
            </w:tcBorders>
            <w:shd w:val="clear" w:color="000000" w:fill="FFE699"/>
          </w:tcPr>
          <w:p w14:paraId="0A088A67" w14:textId="0ED54A1A" w:rsidR="00D2140F" w:rsidRPr="00D035BE" w:rsidRDefault="00D2140F" w:rsidP="003C4EE5">
            <w:pPr>
              <w:spacing w:after="0" w:line="240" w:lineRule="auto"/>
              <w:ind w:left="0"/>
              <w:jc w:val="left"/>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Heesen et al, 2015</w:t>
            </w:r>
            <w:r w:rsidR="00D035BE">
              <w:rPr>
                <w:rFonts w:ascii="Calibri" w:eastAsia="Times New Roman" w:hAnsi="Calibri" w:cs="Times New Roman"/>
                <w:color w:val="000000"/>
                <w:lang w:eastAsia="en-GB"/>
              </w:rPr>
              <w:t xml:space="preserve">; Smith </w:t>
            </w:r>
            <w:r w:rsidR="00D035BE">
              <w:rPr>
                <w:rFonts w:ascii="Calibri" w:eastAsia="Times New Roman" w:hAnsi="Calibri" w:cs="Times New Roman"/>
                <w:i/>
                <w:color w:val="000000"/>
                <w:lang w:eastAsia="en-GB"/>
              </w:rPr>
              <w:t>et al</w:t>
            </w:r>
            <w:r w:rsidR="00D035BE">
              <w:rPr>
                <w:rFonts w:ascii="Calibri" w:eastAsia="Times New Roman" w:hAnsi="Calibri" w:cs="Times New Roman"/>
                <w:color w:val="000000"/>
                <w:lang w:eastAsia="en-GB"/>
              </w:rPr>
              <w:t>., 2015</w:t>
            </w:r>
          </w:p>
        </w:tc>
      </w:tr>
      <w:tr w:rsidR="00D2140F" w:rsidRPr="001602CE" w14:paraId="737B2510" w14:textId="04B23E74" w:rsidTr="00C61884">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42995B47"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Whiting-pout</w:t>
            </w:r>
          </w:p>
        </w:tc>
        <w:tc>
          <w:tcPr>
            <w:tcW w:w="3824" w:type="dxa"/>
            <w:tcBorders>
              <w:top w:val="nil"/>
              <w:left w:val="nil"/>
              <w:bottom w:val="single" w:sz="4" w:space="0" w:color="auto"/>
              <w:right w:val="single" w:sz="4" w:space="0" w:color="auto"/>
            </w:tcBorders>
            <w:shd w:val="clear" w:color="000000" w:fill="FFE699"/>
            <w:noWrap/>
            <w:vAlign w:val="bottom"/>
            <w:hideMark/>
          </w:tcPr>
          <w:p w14:paraId="104F9ADF"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 xml:space="preserve">10-30% Widely distributed around the British Isles. </w:t>
            </w:r>
          </w:p>
        </w:tc>
        <w:tc>
          <w:tcPr>
            <w:tcW w:w="2358" w:type="dxa"/>
            <w:tcBorders>
              <w:top w:val="nil"/>
              <w:left w:val="nil"/>
              <w:bottom w:val="single" w:sz="4" w:space="0" w:color="auto"/>
              <w:right w:val="single" w:sz="4" w:space="0" w:color="auto"/>
            </w:tcBorders>
            <w:shd w:val="clear" w:color="000000" w:fill="FF6600"/>
            <w:noWrap/>
            <w:vAlign w:val="bottom"/>
            <w:hideMark/>
          </w:tcPr>
          <w:p w14:paraId="58F51BF3"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Demersal / Continental shelves, 10-40m</w:t>
            </w:r>
          </w:p>
        </w:tc>
        <w:tc>
          <w:tcPr>
            <w:tcW w:w="1330" w:type="dxa"/>
            <w:tcBorders>
              <w:top w:val="nil"/>
              <w:left w:val="nil"/>
              <w:bottom w:val="single" w:sz="4" w:space="0" w:color="auto"/>
              <w:right w:val="single" w:sz="4" w:space="0" w:color="auto"/>
            </w:tcBorders>
            <w:shd w:val="clear" w:color="000000" w:fill="FF6600"/>
            <w:noWrap/>
            <w:vAlign w:val="bottom"/>
            <w:hideMark/>
          </w:tcPr>
          <w:p w14:paraId="4E3E294B"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High</w:t>
            </w:r>
          </w:p>
        </w:tc>
        <w:tc>
          <w:tcPr>
            <w:tcW w:w="2394" w:type="dxa"/>
            <w:tcBorders>
              <w:top w:val="nil"/>
              <w:left w:val="nil"/>
              <w:bottom w:val="single" w:sz="4" w:space="0" w:color="auto"/>
              <w:right w:val="single" w:sz="4" w:space="0" w:color="auto"/>
            </w:tcBorders>
            <w:shd w:val="clear" w:color="000000" w:fill="FF6600"/>
            <w:noWrap/>
            <w:vAlign w:val="bottom"/>
            <w:hideMark/>
          </w:tcPr>
          <w:p w14:paraId="41C3114A"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Low (like the other gadiformes)</w:t>
            </w:r>
          </w:p>
        </w:tc>
        <w:tc>
          <w:tcPr>
            <w:tcW w:w="2707" w:type="dxa"/>
            <w:tcBorders>
              <w:top w:val="nil"/>
              <w:left w:val="nil"/>
              <w:bottom w:val="single" w:sz="4" w:space="0" w:color="auto"/>
              <w:right w:val="single" w:sz="4" w:space="0" w:color="auto"/>
            </w:tcBorders>
            <w:shd w:val="clear" w:color="000000" w:fill="FF6600"/>
          </w:tcPr>
          <w:p w14:paraId="4512A1FC" w14:textId="17758F0A"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Heesen et al, 2015</w:t>
            </w:r>
          </w:p>
        </w:tc>
      </w:tr>
      <w:tr w:rsidR="00D2140F" w:rsidRPr="001602CE" w14:paraId="760DCE72" w14:textId="76DD2313" w:rsidTr="00C61884">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5649C734"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Lesser spotted dogfish</w:t>
            </w:r>
          </w:p>
        </w:tc>
        <w:tc>
          <w:tcPr>
            <w:tcW w:w="3824" w:type="dxa"/>
            <w:tcBorders>
              <w:top w:val="nil"/>
              <w:left w:val="nil"/>
              <w:bottom w:val="single" w:sz="4" w:space="0" w:color="auto"/>
              <w:right w:val="single" w:sz="4" w:space="0" w:color="auto"/>
            </w:tcBorders>
            <w:shd w:val="clear" w:color="000000" w:fill="FFE699"/>
            <w:noWrap/>
            <w:vAlign w:val="bottom"/>
            <w:hideMark/>
          </w:tcPr>
          <w:p w14:paraId="676C0169"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 xml:space="preserve">10-30% Widely distributed around the British Isles. </w:t>
            </w:r>
          </w:p>
        </w:tc>
        <w:tc>
          <w:tcPr>
            <w:tcW w:w="2358" w:type="dxa"/>
            <w:tcBorders>
              <w:top w:val="nil"/>
              <w:left w:val="nil"/>
              <w:bottom w:val="single" w:sz="4" w:space="0" w:color="auto"/>
              <w:right w:val="single" w:sz="4" w:space="0" w:color="auto"/>
            </w:tcBorders>
            <w:shd w:val="clear" w:color="000000" w:fill="FF6600"/>
            <w:noWrap/>
            <w:vAlign w:val="bottom"/>
            <w:hideMark/>
          </w:tcPr>
          <w:p w14:paraId="357F0C16"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Demersal / Continental shelves, 10-250m</w:t>
            </w:r>
          </w:p>
        </w:tc>
        <w:tc>
          <w:tcPr>
            <w:tcW w:w="1330" w:type="dxa"/>
            <w:tcBorders>
              <w:top w:val="nil"/>
              <w:left w:val="nil"/>
              <w:bottom w:val="single" w:sz="4" w:space="0" w:color="auto"/>
              <w:right w:val="single" w:sz="4" w:space="0" w:color="auto"/>
            </w:tcBorders>
            <w:shd w:val="clear" w:color="000000" w:fill="FF6600"/>
            <w:noWrap/>
            <w:vAlign w:val="bottom"/>
            <w:hideMark/>
          </w:tcPr>
          <w:p w14:paraId="65FF73E4"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High</w:t>
            </w:r>
          </w:p>
        </w:tc>
        <w:tc>
          <w:tcPr>
            <w:tcW w:w="2394" w:type="dxa"/>
            <w:tcBorders>
              <w:top w:val="nil"/>
              <w:left w:val="nil"/>
              <w:bottom w:val="single" w:sz="4" w:space="0" w:color="auto"/>
              <w:right w:val="single" w:sz="4" w:space="0" w:color="auto"/>
            </w:tcBorders>
            <w:shd w:val="clear" w:color="000000" w:fill="C6E0B4"/>
            <w:noWrap/>
            <w:vAlign w:val="bottom"/>
            <w:hideMark/>
          </w:tcPr>
          <w:p w14:paraId="140DF21C" w14:textId="77777777"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98% High</w:t>
            </w:r>
          </w:p>
        </w:tc>
        <w:tc>
          <w:tcPr>
            <w:tcW w:w="2707" w:type="dxa"/>
            <w:tcBorders>
              <w:top w:val="nil"/>
              <w:left w:val="nil"/>
              <w:bottom w:val="single" w:sz="4" w:space="0" w:color="auto"/>
              <w:right w:val="single" w:sz="4" w:space="0" w:color="auto"/>
            </w:tcBorders>
            <w:shd w:val="clear" w:color="000000" w:fill="C6E0B4"/>
          </w:tcPr>
          <w:p w14:paraId="1C978AA3" w14:textId="3F2BC683" w:rsidR="00D2140F" w:rsidRPr="001602CE" w:rsidRDefault="00D2140F" w:rsidP="003C4EE5">
            <w:pPr>
              <w:spacing w:after="0" w:line="240" w:lineRule="auto"/>
              <w:ind w:left="0"/>
              <w:jc w:val="left"/>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Heesen et al, 2015</w:t>
            </w:r>
            <w:r w:rsidR="00125544">
              <w:rPr>
                <w:rFonts w:ascii="Calibri" w:eastAsia="Times New Roman" w:hAnsi="Calibri" w:cs="Times New Roman"/>
                <w:color w:val="000000"/>
                <w:lang w:eastAsia="en-GB"/>
              </w:rPr>
              <w:t xml:space="preserve">; </w:t>
            </w:r>
            <w:r w:rsidR="00125544">
              <w:t>Revill et al., 2005.</w:t>
            </w:r>
          </w:p>
        </w:tc>
      </w:tr>
    </w:tbl>
    <w:p w14:paraId="0AB5E70D" w14:textId="77777777" w:rsidR="003C4EE5" w:rsidRDefault="003C4EE5" w:rsidP="003C4EE5">
      <w:pPr>
        <w:spacing w:after="160" w:line="259" w:lineRule="auto"/>
        <w:ind w:left="0"/>
        <w:jc w:val="left"/>
        <w:rPr>
          <w:rFonts w:eastAsiaTheme="majorEastAsia" w:cstheme="majorBidi"/>
          <w:b/>
          <w:color w:val="244061"/>
          <w:sz w:val="36"/>
          <w:szCs w:val="36"/>
        </w:rPr>
      </w:pPr>
      <w:r>
        <w:fldChar w:fldCharType="end"/>
      </w:r>
    </w:p>
    <w:p w14:paraId="7F6D861B" w14:textId="77777777" w:rsidR="003C4EE5" w:rsidRDefault="003C4EE5" w:rsidP="003C4EE5">
      <w:pPr>
        <w:spacing w:after="160" w:line="259" w:lineRule="auto"/>
        <w:ind w:left="0"/>
        <w:jc w:val="left"/>
        <w:rPr>
          <w:rFonts w:eastAsiaTheme="majorEastAsia" w:cstheme="majorBidi"/>
          <w:b/>
          <w:color w:val="244061"/>
          <w:sz w:val="36"/>
          <w:szCs w:val="36"/>
        </w:rPr>
      </w:pPr>
      <w:r>
        <w:br w:type="page"/>
      </w:r>
    </w:p>
    <w:p w14:paraId="166E4A3E" w14:textId="77777777" w:rsidR="003C4EE5" w:rsidRDefault="003C4EE5" w:rsidP="003C4EE5">
      <w:pPr>
        <w:pStyle w:val="Heading1"/>
        <w:numPr>
          <w:ilvl w:val="0"/>
          <w:numId w:val="0"/>
        </w:numPr>
        <w:ind w:left="567"/>
        <w:sectPr w:rsidR="003C4EE5" w:rsidSect="00DC32A7">
          <w:headerReference w:type="default" r:id="rId23"/>
          <w:footerReference w:type="default" r:id="rId24"/>
          <w:pgSz w:w="16838" w:h="11906" w:orient="landscape"/>
          <w:pgMar w:top="1440" w:right="1440" w:bottom="1440" w:left="1440" w:header="708" w:footer="708" w:gutter="0"/>
          <w:cols w:space="708"/>
          <w:docGrid w:linePitch="360"/>
        </w:sectPr>
      </w:pPr>
    </w:p>
    <w:p w14:paraId="68E9A108" w14:textId="77777777" w:rsidR="003C4EE5" w:rsidRPr="00D609A0" w:rsidRDefault="003C4EE5" w:rsidP="003C4EE5">
      <w:pPr>
        <w:pStyle w:val="Heading2"/>
      </w:pPr>
      <w:bookmarkStart w:id="88" w:name="_Toc516750548"/>
      <w:bookmarkStart w:id="89" w:name="_Toc518658154"/>
      <w:r>
        <w:lastRenderedPageBreak/>
        <w:t>PSA Risk Assessment</w:t>
      </w:r>
      <w:bookmarkEnd w:id="88"/>
      <w:bookmarkEnd w:id="89"/>
      <w:r>
        <w:t xml:space="preserve"> </w:t>
      </w:r>
    </w:p>
    <w:p w14:paraId="65D3A65E" w14:textId="4C10780D" w:rsidR="003C4EE5" w:rsidRDefault="0042602A" w:rsidP="003C4EE5">
      <w:pPr>
        <w:autoSpaceDE w:val="0"/>
        <w:autoSpaceDN w:val="0"/>
        <w:adjustRightInd w:val="0"/>
        <w:spacing w:after="0"/>
        <w:ind w:left="0"/>
        <w:rPr>
          <w:rFonts w:ascii="Calibri" w:hAnsi="Calibri" w:cs="Calibri"/>
        </w:rPr>
      </w:pPr>
      <w:r>
        <w:rPr>
          <w:rFonts w:ascii="Calibri" w:hAnsi="Calibri" w:cs="Calibri"/>
          <w:color w:val="000000"/>
        </w:rPr>
        <w:t>T</w:t>
      </w:r>
      <w:r w:rsidR="003C4EE5">
        <w:rPr>
          <w:rFonts w:ascii="Calibri" w:hAnsi="Calibri" w:cs="Calibri"/>
          <w:color w:val="000000"/>
        </w:rPr>
        <w:t xml:space="preserve">he overall PSA scores </w:t>
      </w:r>
      <w:r>
        <w:rPr>
          <w:rFonts w:ascii="Calibri" w:hAnsi="Calibri" w:cs="Calibri"/>
          <w:color w:val="000000"/>
        </w:rPr>
        <w:t xml:space="preserve">based on the productivity and susceptibility score are given in </w:t>
      </w:r>
      <w:r w:rsidR="003C4EE5">
        <w:rPr>
          <w:rFonts w:ascii="Calibri" w:hAnsi="Calibri" w:cs="Calibri"/>
          <w:color w:val="000000"/>
        </w:rPr>
        <w:fldChar w:fldCharType="begin"/>
      </w:r>
      <w:r w:rsidR="003C4EE5">
        <w:rPr>
          <w:rFonts w:ascii="Calibri" w:hAnsi="Calibri" w:cs="Calibri"/>
          <w:color w:val="000000"/>
        </w:rPr>
        <w:instrText xml:space="preserve"> REF _Ref516645777 \h  \* MERGEFORMAT </w:instrText>
      </w:r>
      <w:r w:rsidR="003C4EE5">
        <w:rPr>
          <w:rFonts w:ascii="Calibri" w:hAnsi="Calibri" w:cs="Calibri"/>
          <w:color w:val="000000"/>
        </w:rPr>
      </w:r>
      <w:r w:rsidR="003C4EE5">
        <w:rPr>
          <w:rFonts w:ascii="Calibri" w:hAnsi="Calibri" w:cs="Calibri"/>
          <w:color w:val="000000"/>
        </w:rPr>
        <w:fldChar w:fldCharType="separate"/>
      </w:r>
      <w:r w:rsidR="003C4EE5">
        <w:t xml:space="preserve">Table </w:t>
      </w:r>
      <w:r w:rsidR="003C4EE5">
        <w:rPr>
          <w:noProof/>
        </w:rPr>
        <w:t>5</w:t>
      </w:r>
      <w:r w:rsidR="003C4EE5">
        <w:rPr>
          <w:rFonts w:ascii="Calibri" w:hAnsi="Calibri" w:cs="Calibri"/>
          <w:color w:val="000000"/>
        </w:rPr>
        <w:fldChar w:fldCharType="end"/>
      </w:r>
      <w:r w:rsidR="003C4EE5">
        <w:rPr>
          <w:rFonts w:ascii="Calibri" w:hAnsi="Calibri" w:cs="Calibri"/>
          <w:color w:val="000000"/>
        </w:rPr>
        <w:t xml:space="preserve">. The arithmetic </w:t>
      </w:r>
      <w:r w:rsidR="00C2061C">
        <w:rPr>
          <w:rFonts w:ascii="Calibri" w:hAnsi="Calibri" w:cs="Calibri"/>
          <w:color w:val="000000"/>
        </w:rPr>
        <w:t xml:space="preserve">mean </w:t>
      </w:r>
      <w:r w:rsidR="003C4EE5">
        <w:rPr>
          <w:rFonts w:ascii="Calibri" w:hAnsi="Calibri" w:cs="Calibri"/>
          <w:color w:val="000000"/>
        </w:rPr>
        <w:t>was calculated for the productivity attribute and the geometric mean should be calculated for the susceptibility attribute. These were then plotted on a graph with productivity risk (high to low productivity) for each gear type (</w:t>
      </w:r>
      <w:r w:rsidR="003C4EE5">
        <w:rPr>
          <w:rFonts w:ascii="Calibri" w:hAnsi="Calibri" w:cs="Calibri"/>
          <w:color w:val="000000"/>
        </w:rPr>
        <w:fldChar w:fldCharType="begin"/>
      </w:r>
      <w:r w:rsidR="003C4EE5">
        <w:rPr>
          <w:rFonts w:ascii="Calibri" w:hAnsi="Calibri" w:cs="Calibri"/>
          <w:color w:val="000000"/>
        </w:rPr>
        <w:instrText xml:space="preserve"> REF _Ref516646042 \h  \* MERGEFORMAT </w:instrText>
      </w:r>
      <w:r w:rsidR="003C4EE5">
        <w:rPr>
          <w:rFonts w:ascii="Calibri" w:hAnsi="Calibri" w:cs="Calibri"/>
          <w:color w:val="000000"/>
        </w:rPr>
      </w:r>
      <w:r w:rsidR="003C4EE5">
        <w:rPr>
          <w:rFonts w:ascii="Calibri" w:hAnsi="Calibri" w:cs="Calibri"/>
          <w:color w:val="000000"/>
        </w:rPr>
        <w:fldChar w:fldCharType="separate"/>
      </w:r>
      <w:r w:rsidR="003C4EE5">
        <w:t xml:space="preserve">Figures </w:t>
      </w:r>
      <w:r w:rsidR="003C4EE5">
        <w:rPr>
          <w:noProof/>
        </w:rPr>
        <w:t>1</w:t>
      </w:r>
      <w:r w:rsidR="003C4EE5">
        <w:rPr>
          <w:rFonts w:ascii="Calibri" w:hAnsi="Calibri" w:cs="Calibri"/>
          <w:color w:val="000000"/>
        </w:rPr>
        <w:fldChar w:fldCharType="end"/>
      </w:r>
      <w:r w:rsidR="003C4EE5">
        <w:rPr>
          <w:rFonts w:ascii="Calibri" w:hAnsi="Calibri" w:cs="Calibri"/>
          <w:color w:val="000000"/>
        </w:rPr>
        <w:t xml:space="preserve">, </w:t>
      </w:r>
      <w:r w:rsidR="003C4EE5">
        <w:rPr>
          <w:rFonts w:ascii="Calibri" w:hAnsi="Calibri" w:cs="Calibri"/>
          <w:color w:val="000000"/>
        </w:rPr>
        <w:fldChar w:fldCharType="begin"/>
      </w:r>
      <w:r w:rsidR="003C4EE5">
        <w:rPr>
          <w:rFonts w:ascii="Calibri" w:hAnsi="Calibri" w:cs="Calibri"/>
          <w:color w:val="000000"/>
        </w:rPr>
        <w:instrText xml:space="preserve"> REF _Ref516646120 \h  \* MERGEFORMAT </w:instrText>
      </w:r>
      <w:r w:rsidR="003C4EE5">
        <w:rPr>
          <w:rFonts w:ascii="Calibri" w:hAnsi="Calibri" w:cs="Calibri"/>
          <w:color w:val="000000"/>
        </w:rPr>
      </w:r>
      <w:r w:rsidR="003C4EE5">
        <w:rPr>
          <w:rFonts w:ascii="Calibri" w:hAnsi="Calibri" w:cs="Calibri"/>
          <w:color w:val="000000"/>
        </w:rPr>
        <w:fldChar w:fldCharType="separate"/>
      </w:r>
      <w:r w:rsidR="003C4EE5">
        <w:rPr>
          <w:noProof/>
        </w:rPr>
        <w:t>2</w:t>
      </w:r>
      <w:r w:rsidR="003C4EE5">
        <w:rPr>
          <w:rFonts w:ascii="Calibri" w:hAnsi="Calibri" w:cs="Calibri"/>
          <w:color w:val="000000"/>
        </w:rPr>
        <w:fldChar w:fldCharType="end"/>
      </w:r>
      <w:r w:rsidR="003C4EE5">
        <w:rPr>
          <w:rFonts w:ascii="Calibri" w:hAnsi="Calibri" w:cs="Calibri"/>
          <w:color w:val="000000"/>
        </w:rPr>
        <w:t xml:space="preserve"> and 3). </w:t>
      </w:r>
      <w:r w:rsidR="003C4EE5">
        <w:rPr>
          <w:rFonts w:ascii="Calibri" w:hAnsi="Calibri" w:cs="Calibri"/>
        </w:rPr>
        <w:t xml:space="preserve">The PSA and risk analysis </w:t>
      </w:r>
      <w:r>
        <w:rPr>
          <w:rFonts w:ascii="Calibri" w:hAnsi="Calibri" w:cs="Calibri"/>
        </w:rPr>
        <w:t>indicate</w:t>
      </w:r>
      <w:r w:rsidR="003C4EE5">
        <w:rPr>
          <w:rFonts w:ascii="Calibri" w:hAnsi="Calibri" w:cs="Calibri"/>
        </w:rPr>
        <w:t xml:space="preserve"> the species that are most at risk from fishing pressure, including their recoverability from removal through fishing. </w:t>
      </w:r>
    </w:p>
    <w:p w14:paraId="04EEFC8A" w14:textId="77777777" w:rsidR="0042602A" w:rsidRPr="00453801" w:rsidRDefault="0042602A" w:rsidP="003C4EE5">
      <w:pPr>
        <w:autoSpaceDE w:val="0"/>
        <w:autoSpaceDN w:val="0"/>
        <w:adjustRightInd w:val="0"/>
        <w:spacing w:after="0"/>
        <w:ind w:left="0"/>
        <w:rPr>
          <w:rFonts w:ascii="Calibri" w:hAnsi="Calibri" w:cs="Calibri"/>
        </w:rPr>
      </w:pPr>
    </w:p>
    <w:p w14:paraId="03A25BAA" w14:textId="5A1C04B8" w:rsidR="003C4EE5" w:rsidRDefault="003C4EE5" w:rsidP="003C4EE5">
      <w:pPr>
        <w:autoSpaceDE w:val="0"/>
        <w:autoSpaceDN w:val="0"/>
        <w:adjustRightInd w:val="0"/>
        <w:spacing w:after="0"/>
        <w:ind w:left="0"/>
        <w:rPr>
          <w:rFonts w:ascii="Calibri" w:hAnsi="Calibri" w:cs="Calibri"/>
        </w:rPr>
      </w:pPr>
      <w:r>
        <w:rPr>
          <w:rFonts w:ascii="Calibri" w:hAnsi="Calibri" w:cs="Calibri"/>
          <w:color w:val="000000"/>
        </w:rPr>
        <w:t xml:space="preserve">According with the PSA scores, most of the secondary species have medium risk (between 2 and 3) for all the three gears types. The species with highest of PSA scores across all gears were the skates and rays species – cuckoo ray, blonde ray and undulate ray. They have lower productivity than the teleosts fish and have </w:t>
      </w:r>
      <w:r>
        <w:rPr>
          <w:rFonts w:ascii="Calibri" w:hAnsi="Calibri" w:cs="Calibri"/>
        </w:rPr>
        <w:t>high level of spatial and ecological overlap with the fishery. However, there is sufficient evidence that suggests that these species demonstrate a resilience to fishing pressure due to their survivability</w:t>
      </w:r>
      <w:r w:rsidR="0042602A">
        <w:rPr>
          <w:rFonts w:ascii="Calibri" w:hAnsi="Calibri" w:cs="Calibri"/>
        </w:rPr>
        <w:t xml:space="preserve"> potential</w:t>
      </w:r>
      <w:r>
        <w:rPr>
          <w:rFonts w:ascii="Calibri" w:hAnsi="Calibri" w:cs="Calibri"/>
        </w:rPr>
        <w:t>. Lesser spotted dogfish exhibited the lowest risk levels for elasmobranch species. Although it had the same productivity score as the skates and ray species, this species has discard rates of 100% and according with the available evidence has very high survivability (98%).</w:t>
      </w:r>
    </w:p>
    <w:p w14:paraId="11965A48" w14:textId="77777777" w:rsidR="0042602A" w:rsidRDefault="0042602A" w:rsidP="003C4EE5">
      <w:pPr>
        <w:autoSpaceDE w:val="0"/>
        <w:autoSpaceDN w:val="0"/>
        <w:adjustRightInd w:val="0"/>
        <w:spacing w:after="0"/>
        <w:ind w:left="0"/>
        <w:rPr>
          <w:rFonts w:ascii="Calibri" w:hAnsi="Calibri" w:cs="Calibri"/>
        </w:rPr>
      </w:pPr>
    </w:p>
    <w:p w14:paraId="06A3315F" w14:textId="06151536" w:rsidR="003C4EE5" w:rsidRDefault="003C4EE5" w:rsidP="003C4EE5">
      <w:pPr>
        <w:autoSpaceDE w:val="0"/>
        <w:autoSpaceDN w:val="0"/>
        <w:adjustRightInd w:val="0"/>
        <w:spacing w:after="0"/>
        <w:ind w:left="0"/>
        <w:rPr>
          <w:rFonts w:ascii="Calibri" w:hAnsi="Calibri" w:cs="Calibri"/>
        </w:rPr>
      </w:pPr>
      <w:r>
        <w:rPr>
          <w:rFonts w:ascii="Calibri" w:hAnsi="Calibri" w:cs="Calibri"/>
        </w:rPr>
        <w:t xml:space="preserve">The species with lowest PSA score which means that are less vulnerable to fishing pressure are the invertebrate species, cuttlefish and common spider crab. They have geographically widely spread distribution and </w:t>
      </w:r>
      <w:r w:rsidR="00C2061C">
        <w:rPr>
          <w:rFonts w:ascii="Calibri" w:hAnsi="Calibri" w:cs="Calibri"/>
        </w:rPr>
        <w:t xml:space="preserve">are </w:t>
      </w:r>
      <w:r>
        <w:rPr>
          <w:rFonts w:ascii="Calibri" w:hAnsi="Calibri" w:cs="Calibri"/>
        </w:rPr>
        <w:t>highly productive. Common spider crab is caught as a by-catch and are often discarded and as crustacean it was considered to have high survivability</w:t>
      </w:r>
      <w:r w:rsidR="007C5FEC">
        <w:rPr>
          <w:rFonts w:ascii="Calibri" w:hAnsi="Calibri" w:cs="Calibri"/>
        </w:rPr>
        <w:t xml:space="preserve"> (Revill, 2012)</w:t>
      </w:r>
      <w:r>
        <w:rPr>
          <w:rFonts w:ascii="Calibri" w:hAnsi="Calibri" w:cs="Calibri"/>
        </w:rPr>
        <w:t>, demonstrating their high resilience to the fishery.</w:t>
      </w:r>
    </w:p>
    <w:p w14:paraId="3F9C3CDC" w14:textId="77777777" w:rsidR="0042602A" w:rsidRDefault="0042602A" w:rsidP="003C4EE5">
      <w:pPr>
        <w:autoSpaceDE w:val="0"/>
        <w:autoSpaceDN w:val="0"/>
        <w:adjustRightInd w:val="0"/>
        <w:spacing w:after="0"/>
        <w:ind w:left="0"/>
        <w:rPr>
          <w:rFonts w:ascii="Calibri" w:hAnsi="Calibri" w:cs="Calibri"/>
        </w:rPr>
      </w:pPr>
    </w:p>
    <w:p w14:paraId="3DA9CE39" w14:textId="096C2596" w:rsidR="003C4EE5" w:rsidRDefault="003C4EE5" w:rsidP="003C4EE5">
      <w:pPr>
        <w:autoSpaceDE w:val="0"/>
        <w:autoSpaceDN w:val="0"/>
        <w:adjustRightInd w:val="0"/>
        <w:spacing w:after="0"/>
        <w:ind w:left="0"/>
        <w:rPr>
          <w:rFonts w:ascii="Calibri" w:hAnsi="Calibri" w:cs="Calibri"/>
        </w:rPr>
      </w:pPr>
      <w:r>
        <w:rPr>
          <w:rFonts w:ascii="Calibri" w:hAnsi="Calibri" w:cs="Calibri"/>
        </w:rPr>
        <w:t xml:space="preserve">Among the teleost fish, European plaice was considered to be most resilience - </w:t>
      </w:r>
      <w:r w:rsidR="00562CB7">
        <w:rPr>
          <w:rFonts w:ascii="Calibri" w:hAnsi="Calibri" w:cs="Calibri"/>
        </w:rPr>
        <w:t xml:space="preserve">based on </w:t>
      </w:r>
      <w:r>
        <w:rPr>
          <w:rFonts w:ascii="Calibri" w:hAnsi="Calibri" w:cs="Calibri"/>
        </w:rPr>
        <w:t xml:space="preserve">widely spread </w:t>
      </w:r>
      <w:r w:rsidR="00562CB7">
        <w:rPr>
          <w:rFonts w:ascii="Calibri" w:hAnsi="Calibri" w:cs="Calibri"/>
        </w:rPr>
        <w:t xml:space="preserve">geographic </w:t>
      </w:r>
      <w:r>
        <w:rPr>
          <w:rFonts w:ascii="Calibri" w:hAnsi="Calibri" w:cs="Calibri"/>
        </w:rPr>
        <w:t>distribution, high productiv</w:t>
      </w:r>
      <w:r w:rsidR="00562CB7">
        <w:rPr>
          <w:rFonts w:ascii="Calibri" w:hAnsi="Calibri" w:cs="Calibri"/>
        </w:rPr>
        <w:t xml:space="preserve">ity </w:t>
      </w:r>
      <w:r>
        <w:rPr>
          <w:rFonts w:ascii="Calibri" w:hAnsi="Calibri" w:cs="Calibri"/>
        </w:rPr>
        <w:t xml:space="preserve">and evidence of </w:t>
      </w:r>
      <w:r w:rsidR="00562CB7">
        <w:rPr>
          <w:rFonts w:ascii="Calibri" w:hAnsi="Calibri" w:cs="Calibri"/>
        </w:rPr>
        <w:t xml:space="preserve">medium </w:t>
      </w:r>
      <w:r>
        <w:rPr>
          <w:rFonts w:ascii="Calibri" w:hAnsi="Calibri" w:cs="Calibri"/>
        </w:rPr>
        <w:t>survival rates for both gears, beam and otter trawls.</w:t>
      </w:r>
      <w:r w:rsidR="007C5FEC">
        <w:rPr>
          <w:rFonts w:ascii="Calibri" w:hAnsi="Calibri" w:cs="Calibri"/>
        </w:rPr>
        <w:t xml:space="preserve"> On the other hand, c</w:t>
      </w:r>
      <w:r>
        <w:rPr>
          <w:rFonts w:ascii="Calibri" w:hAnsi="Calibri" w:cs="Calibri"/>
        </w:rPr>
        <w:t>ommon ling and pollack have higher PSA scores</w:t>
      </w:r>
      <w:r w:rsidR="007C5FEC">
        <w:rPr>
          <w:rFonts w:ascii="Calibri" w:hAnsi="Calibri" w:cs="Calibri"/>
        </w:rPr>
        <w:t xml:space="preserve"> (i.e. lower resilience)</w:t>
      </w:r>
      <w:r>
        <w:rPr>
          <w:rFonts w:ascii="Calibri" w:hAnsi="Calibri" w:cs="Calibri"/>
        </w:rPr>
        <w:t xml:space="preserve">, mainly due life history traits, long longevity and late maturity, but also the low post-capture survivability rates. </w:t>
      </w:r>
    </w:p>
    <w:p w14:paraId="365929D7" w14:textId="77777777" w:rsidR="003C4EE5" w:rsidRPr="00763E27" w:rsidRDefault="003C4EE5" w:rsidP="003C4EE5">
      <w:pPr>
        <w:spacing w:after="160" w:line="259" w:lineRule="auto"/>
        <w:ind w:left="0"/>
        <w:jc w:val="left"/>
        <w:rPr>
          <w:rFonts w:ascii="Calibri" w:hAnsi="Calibri" w:cs="Calibri"/>
        </w:rPr>
      </w:pPr>
      <w:r>
        <w:rPr>
          <w:rFonts w:ascii="Calibri" w:hAnsi="Calibri" w:cs="Calibri"/>
        </w:rPr>
        <w:br w:type="page"/>
      </w:r>
    </w:p>
    <w:p w14:paraId="15A6DB60" w14:textId="77777777" w:rsidR="003C4EE5" w:rsidRPr="00453801" w:rsidRDefault="003C4EE5" w:rsidP="003C4EE5">
      <w:pPr>
        <w:autoSpaceDE w:val="0"/>
        <w:autoSpaceDN w:val="0"/>
        <w:adjustRightInd w:val="0"/>
        <w:spacing w:after="0" w:line="240" w:lineRule="auto"/>
        <w:ind w:left="0"/>
        <w:jc w:val="left"/>
        <w:rPr>
          <w:rFonts w:ascii="Calibri" w:hAnsi="Calibri" w:cs="Calibri"/>
        </w:rPr>
      </w:pPr>
      <w:r>
        <w:rPr>
          <w:rFonts w:ascii="Calibri" w:hAnsi="Calibri" w:cs="Calibri"/>
          <w:color w:val="000000"/>
        </w:rPr>
        <w:lastRenderedPageBreak/>
        <w:fldChar w:fldCharType="begin"/>
      </w:r>
      <w:r>
        <w:rPr>
          <w:rFonts w:ascii="Calibri" w:hAnsi="Calibri" w:cs="Calibri"/>
          <w:color w:val="000000"/>
        </w:rPr>
        <w:instrText xml:space="preserve"> REF _Ref516646059 \h </w:instrText>
      </w:r>
      <w:r>
        <w:rPr>
          <w:rFonts w:ascii="Calibri" w:hAnsi="Calibri" w:cs="Calibri"/>
          <w:color w:val="000000"/>
        </w:rPr>
      </w:r>
      <w:r>
        <w:rPr>
          <w:rFonts w:ascii="Calibri" w:hAnsi="Calibri" w:cs="Calibri"/>
          <w:color w:val="000000"/>
        </w:rPr>
        <w:fldChar w:fldCharType="end"/>
      </w:r>
    </w:p>
    <w:p w14:paraId="0D92E31F" w14:textId="705B899B" w:rsidR="003C4EE5" w:rsidRPr="00896697" w:rsidRDefault="003C4EE5" w:rsidP="00896697">
      <w:pPr>
        <w:pStyle w:val="Caption"/>
        <w:jc w:val="center"/>
      </w:pPr>
      <w:bookmarkStart w:id="90" w:name="_Ref516645777"/>
      <w:bookmarkStart w:id="91" w:name="_Toc516668629"/>
      <w:bookmarkStart w:id="92" w:name="_Toc516669272"/>
      <w:bookmarkStart w:id="93" w:name="_Toc516669284"/>
      <w:bookmarkStart w:id="94" w:name="_Toc518658168"/>
      <w:bookmarkStart w:id="95" w:name="_Toc518658180"/>
      <w:r>
        <w:t xml:space="preserve">Table </w:t>
      </w:r>
      <w:r w:rsidR="00DB2E87">
        <w:rPr>
          <w:noProof/>
        </w:rPr>
        <w:fldChar w:fldCharType="begin"/>
      </w:r>
      <w:r w:rsidR="00DB2E87">
        <w:rPr>
          <w:noProof/>
        </w:rPr>
        <w:instrText xml:space="preserve"> SEQ Table \* ARABIC </w:instrText>
      </w:r>
      <w:r w:rsidR="00DB2E87">
        <w:rPr>
          <w:noProof/>
        </w:rPr>
        <w:fldChar w:fldCharType="separate"/>
      </w:r>
      <w:r>
        <w:rPr>
          <w:noProof/>
        </w:rPr>
        <w:t>10</w:t>
      </w:r>
      <w:r w:rsidR="00DB2E87">
        <w:rPr>
          <w:noProof/>
        </w:rPr>
        <w:fldChar w:fldCharType="end"/>
      </w:r>
      <w:bookmarkEnd w:id="90"/>
      <w:r>
        <w:t>. Productivity and susceptibility scores and final PSA score for the monkfish fisheries main secondary species</w:t>
      </w:r>
      <w:bookmarkEnd w:id="91"/>
      <w:bookmarkEnd w:id="92"/>
      <w:bookmarkEnd w:id="93"/>
      <w:r w:rsidR="00896697">
        <w:t>.</w:t>
      </w:r>
      <w:bookmarkEnd w:id="94"/>
      <w:bookmarkEnd w:id="95"/>
      <w:r>
        <w:rPr>
          <w:color w:val="auto"/>
        </w:rPr>
        <w:fldChar w:fldCharType="begin"/>
      </w:r>
      <w:r>
        <w:instrText xml:space="preserve"> LINK </w:instrText>
      </w:r>
      <w:r w:rsidR="00896697">
        <w:instrText xml:space="preserve">Excel.Sheet.12 "C:\\Users\\as15\\OneDrive - CEFAS\\TASK 6 (Ana) Monkfish sec species status\\Analysis\\PSA_results.xlsx" PSA_results!R1C1:R21C9 </w:instrText>
      </w:r>
      <w:r>
        <w:instrText xml:space="preserve">\a \f 4 \h  \* MERGEFORMAT </w:instrText>
      </w:r>
      <w:r>
        <w:rPr>
          <w:color w:val="auto"/>
        </w:rPr>
        <w:fldChar w:fldCharType="separate"/>
      </w:r>
    </w:p>
    <w:tbl>
      <w:tblPr>
        <w:tblW w:w="9276" w:type="dxa"/>
        <w:tblLook w:val="04A0" w:firstRow="1" w:lastRow="0" w:firstColumn="1" w:lastColumn="0" w:noHBand="0" w:noVBand="1"/>
      </w:tblPr>
      <w:tblGrid>
        <w:gridCol w:w="827"/>
        <w:gridCol w:w="1000"/>
        <w:gridCol w:w="1226"/>
        <w:gridCol w:w="1480"/>
        <w:gridCol w:w="674"/>
        <w:gridCol w:w="1108"/>
        <w:gridCol w:w="910"/>
        <w:gridCol w:w="1034"/>
        <w:gridCol w:w="1122"/>
      </w:tblGrid>
      <w:tr w:rsidR="003C4EE5" w:rsidRPr="002637AB" w14:paraId="401B8B8F" w14:textId="77777777" w:rsidTr="003C4EE5">
        <w:trPr>
          <w:trHeight w:val="869"/>
        </w:trPr>
        <w:tc>
          <w:tcPr>
            <w:tcW w:w="983" w:type="dxa"/>
            <w:tcBorders>
              <w:top w:val="single" w:sz="4" w:space="0" w:color="auto"/>
              <w:left w:val="single" w:sz="4" w:space="0" w:color="auto"/>
              <w:bottom w:val="single" w:sz="4" w:space="0" w:color="auto"/>
              <w:right w:val="single" w:sz="4" w:space="0" w:color="auto"/>
            </w:tcBorders>
            <w:shd w:val="clear" w:color="000000" w:fill="BFBFBF"/>
            <w:vAlign w:val="bottom"/>
            <w:hideMark/>
          </w:tcPr>
          <w:p w14:paraId="571FD3B5" w14:textId="77777777" w:rsidR="003C4EE5" w:rsidRPr="002637AB" w:rsidRDefault="003C4EE5" w:rsidP="003C4EE5">
            <w:pPr>
              <w:spacing w:after="0" w:line="240" w:lineRule="auto"/>
              <w:ind w:left="0"/>
              <w:jc w:val="left"/>
              <w:rPr>
                <w:rFonts w:ascii="Calibri" w:eastAsia="Times New Roman" w:hAnsi="Calibri" w:cs="Times New Roman"/>
                <w:b/>
                <w:bCs/>
                <w:color w:val="000000"/>
                <w:sz w:val="20"/>
                <w:szCs w:val="20"/>
                <w:lang w:eastAsia="en-GB"/>
              </w:rPr>
            </w:pPr>
            <w:r w:rsidRPr="002637AB">
              <w:rPr>
                <w:rFonts w:ascii="Calibri" w:eastAsia="Times New Roman" w:hAnsi="Calibri" w:cs="Times New Roman"/>
                <w:b/>
                <w:bCs/>
                <w:color w:val="000000"/>
                <w:sz w:val="20"/>
                <w:szCs w:val="20"/>
                <w:lang w:eastAsia="en-GB"/>
              </w:rPr>
              <w:t>Gear type</w:t>
            </w:r>
          </w:p>
        </w:tc>
        <w:tc>
          <w:tcPr>
            <w:tcW w:w="993" w:type="dxa"/>
            <w:tcBorders>
              <w:top w:val="single" w:sz="4" w:space="0" w:color="auto"/>
              <w:left w:val="nil"/>
              <w:bottom w:val="single" w:sz="4" w:space="0" w:color="auto"/>
              <w:right w:val="single" w:sz="4" w:space="0" w:color="auto"/>
            </w:tcBorders>
            <w:shd w:val="clear" w:color="000000" w:fill="BFBFBF"/>
            <w:vAlign w:val="bottom"/>
            <w:hideMark/>
          </w:tcPr>
          <w:p w14:paraId="7B09B079" w14:textId="77777777" w:rsidR="003C4EE5" w:rsidRPr="002637AB" w:rsidRDefault="003C4EE5" w:rsidP="003C4EE5">
            <w:pPr>
              <w:spacing w:after="0" w:line="240" w:lineRule="auto"/>
              <w:ind w:left="0"/>
              <w:jc w:val="left"/>
              <w:rPr>
                <w:rFonts w:ascii="Calibri" w:eastAsia="Times New Roman" w:hAnsi="Calibri" w:cs="Times New Roman"/>
                <w:b/>
                <w:bCs/>
                <w:color w:val="000000"/>
                <w:sz w:val="20"/>
                <w:szCs w:val="20"/>
                <w:lang w:eastAsia="en-GB"/>
              </w:rPr>
            </w:pPr>
            <w:r w:rsidRPr="002637AB">
              <w:rPr>
                <w:rFonts w:ascii="Calibri" w:eastAsia="Times New Roman" w:hAnsi="Calibri" w:cs="Times New Roman"/>
                <w:b/>
                <w:bCs/>
                <w:color w:val="000000"/>
                <w:sz w:val="20"/>
                <w:szCs w:val="20"/>
                <w:lang w:eastAsia="en-GB"/>
              </w:rPr>
              <w:t xml:space="preserve">Species </w:t>
            </w:r>
          </w:p>
        </w:tc>
        <w:tc>
          <w:tcPr>
            <w:tcW w:w="1061" w:type="dxa"/>
            <w:tcBorders>
              <w:top w:val="single" w:sz="4" w:space="0" w:color="auto"/>
              <w:left w:val="nil"/>
              <w:bottom w:val="single" w:sz="4" w:space="0" w:color="auto"/>
              <w:right w:val="single" w:sz="4" w:space="0" w:color="auto"/>
            </w:tcBorders>
            <w:shd w:val="clear" w:color="000000" w:fill="BFBFBF"/>
            <w:vAlign w:val="bottom"/>
            <w:hideMark/>
          </w:tcPr>
          <w:p w14:paraId="3DC41D79" w14:textId="77777777" w:rsidR="003C4EE5" w:rsidRPr="002637AB" w:rsidRDefault="003C4EE5" w:rsidP="003C4EE5">
            <w:pPr>
              <w:spacing w:after="0" w:line="240" w:lineRule="auto"/>
              <w:ind w:left="0"/>
              <w:jc w:val="center"/>
              <w:rPr>
                <w:rFonts w:ascii="Calibri" w:eastAsia="Times New Roman" w:hAnsi="Calibri" w:cs="Times New Roman"/>
                <w:b/>
                <w:bCs/>
                <w:sz w:val="20"/>
                <w:szCs w:val="20"/>
                <w:lang w:eastAsia="en-GB"/>
              </w:rPr>
            </w:pPr>
            <w:r w:rsidRPr="002637AB">
              <w:rPr>
                <w:rFonts w:ascii="Calibri" w:eastAsia="Times New Roman" w:hAnsi="Calibri" w:cs="Times New Roman"/>
                <w:b/>
                <w:bCs/>
                <w:sz w:val="20"/>
                <w:szCs w:val="20"/>
                <w:lang w:eastAsia="en-GB"/>
              </w:rPr>
              <w:t>Total Productivity (average)</w:t>
            </w:r>
          </w:p>
        </w:tc>
        <w:tc>
          <w:tcPr>
            <w:tcW w:w="1281" w:type="dxa"/>
            <w:tcBorders>
              <w:top w:val="single" w:sz="4" w:space="0" w:color="auto"/>
              <w:left w:val="nil"/>
              <w:bottom w:val="single" w:sz="4" w:space="0" w:color="auto"/>
              <w:right w:val="single" w:sz="4" w:space="0" w:color="auto"/>
            </w:tcBorders>
            <w:shd w:val="clear" w:color="000000" w:fill="BFBFBF"/>
            <w:vAlign w:val="bottom"/>
            <w:hideMark/>
          </w:tcPr>
          <w:p w14:paraId="27AB8D31" w14:textId="77777777" w:rsidR="003C4EE5" w:rsidRPr="002637AB" w:rsidRDefault="003C4EE5" w:rsidP="003C4EE5">
            <w:pPr>
              <w:spacing w:after="0" w:line="240" w:lineRule="auto"/>
              <w:ind w:left="0"/>
              <w:jc w:val="center"/>
              <w:rPr>
                <w:rFonts w:ascii="Calibri" w:eastAsia="Times New Roman" w:hAnsi="Calibri" w:cs="Times New Roman"/>
                <w:b/>
                <w:bCs/>
                <w:sz w:val="20"/>
                <w:szCs w:val="20"/>
                <w:lang w:eastAsia="en-GB"/>
              </w:rPr>
            </w:pPr>
            <w:r w:rsidRPr="002637AB">
              <w:rPr>
                <w:rFonts w:ascii="Calibri" w:eastAsia="Times New Roman" w:hAnsi="Calibri" w:cs="Times New Roman"/>
                <w:b/>
                <w:bCs/>
                <w:sz w:val="20"/>
                <w:szCs w:val="20"/>
                <w:lang w:eastAsia="en-GB"/>
              </w:rPr>
              <w:t>Total Susceptibility (multiplicative)</w:t>
            </w:r>
          </w:p>
        </w:tc>
        <w:tc>
          <w:tcPr>
            <w:tcW w:w="973" w:type="dxa"/>
            <w:tcBorders>
              <w:top w:val="single" w:sz="4" w:space="0" w:color="auto"/>
              <w:left w:val="nil"/>
              <w:bottom w:val="single" w:sz="4" w:space="0" w:color="auto"/>
              <w:right w:val="single" w:sz="4" w:space="0" w:color="auto"/>
            </w:tcBorders>
            <w:shd w:val="clear" w:color="000000" w:fill="BFBFBF"/>
            <w:vAlign w:val="bottom"/>
            <w:hideMark/>
          </w:tcPr>
          <w:p w14:paraId="7B54494B" w14:textId="77777777" w:rsidR="003C4EE5" w:rsidRPr="002637AB" w:rsidRDefault="003C4EE5" w:rsidP="003C4EE5">
            <w:pPr>
              <w:spacing w:after="0" w:line="240" w:lineRule="auto"/>
              <w:ind w:left="0"/>
              <w:jc w:val="center"/>
              <w:rPr>
                <w:rFonts w:ascii="Calibri" w:eastAsia="Times New Roman" w:hAnsi="Calibri" w:cs="Times New Roman"/>
                <w:b/>
                <w:bCs/>
                <w:sz w:val="20"/>
                <w:szCs w:val="20"/>
                <w:lang w:eastAsia="en-GB"/>
              </w:rPr>
            </w:pPr>
            <w:r w:rsidRPr="002637AB">
              <w:rPr>
                <w:rFonts w:ascii="Calibri" w:eastAsia="Times New Roman" w:hAnsi="Calibri" w:cs="Times New Roman"/>
                <w:b/>
                <w:bCs/>
                <w:sz w:val="20"/>
                <w:szCs w:val="20"/>
                <w:lang w:eastAsia="en-GB"/>
              </w:rPr>
              <w:t>PSA Score</w:t>
            </w:r>
          </w:p>
        </w:tc>
        <w:tc>
          <w:tcPr>
            <w:tcW w:w="1000" w:type="dxa"/>
            <w:tcBorders>
              <w:top w:val="single" w:sz="4" w:space="0" w:color="auto"/>
              <w:left w:val="nil"/>
              <w:bottom w:val="single" w:sz="4" w:space="0" w:color="auto"/>
              <w:right w:val="single" w:sz="4" w:space="0" w:color="auto"/>
            </w:tcBorders>
            <w:shd w:val="clear" w:color="000000" w:fill="BFBFBF"/>
            <w:vAlign w:val="bottom"/>
            <w:hideMark/>
          </w:tcPr>
          <w:p w14:paraId="6B8CC0CC" w14:textId="77777777" w:rsidR="003C4EE5" w:rsidRPr="002637AB" w:rsidRDefault="003C4EE5" w:rsidP="003C4EE5">
            <w:pPr>
              <w:spacing w:after="0" w:line="240" w:lineRule="auto"/>
              <w:ind w:left="0"/>
              <w:jc w:val="left"/>
              <w:rPr>
                <w:rFonts w:ascii="Calibri" w:eastAsia="Times New Roman" w:hAnsi="Calibri" w:cs="Times New Roman"/>
                <w:b/>
                <w:bCs/>
                <w:color w:val="000000"/>
                <w:lang w:eastAsia="en-GB"/>
              </w:rPr>
            </w:pPr>
            <w:r w:rsidRPr="002637AB">
              <w:rPr>
                <w:rFonts w:ascii="Calibri" w:eastAsia="Times New Roman" w:hAnsi="Calibri" w:cs="Times New Roman"/>
                <w:b/>
                <w:bCs/>
                <w:color w:val="000000"/>
                <w:lang w:eastAsia="en-GB"/>
              </w:rPr>
              <w:t>Weighted PSA Score</w:t>
            </w:r>
          </w:p>
        </w:tc>
        <w:tc>
          <w:tcPr>
            <w:tcW w:w="988" w:type="dxa"/>
            <w:tcBorders>
              <w:top w:val="single" w:sz="4" w:space="0" w:color="auto"/>
              <w:left w:val="nil"/>
              <w:bottom w:val="single" w:sz="4" w:space="0" w:color="auto"/>
              <w:right w:val="single" w:sz="4" w:space="0" w:color="auto"/>
            </w:tcBorders>
            <w:shd w:val="clear" w:color="000000" w:fill="BFBFBF"/>
            <w:vAlign w:val="bottom"/>
            <w:hideMark/>
          </w:tcPr>
          <w:p w14:paraId="11CD4A5F" w14:textId="77777777" w:rsidR="003C4EE5" w:rsidRPr="002637AB" w:rsidRDefault="003C4EE5" w:rsidP="003C4EE5">
            <w:pPr>
              <w:spacing w:after="0" w:line="240" w:lineRule="auto"/>
              <w:ind w:left="0"/>
              <w:jc w:val="left"/>
              <w:rPr>
                <w:rFonts w:ascii="Calibri" w:eastAsia="Times New Roman" w:hAnsi="Calibri" w:cs="Times New Roman"/>
                <w:b/>
                <w:bCs/>
                <w:color w:val="000000"/>
                <w:lang w:eastAsia="en-GB"/>
              </w:rPr>
            </w:pPr>
            <w:r w:rsidRPr="002637AB">
              <w:rPr>
                <w:rFonts w:ascii="Calibri" w:eastAsia="Times New Roman" w:hAnsi="Calibri" w:cs="Times New Roman"/>
                <w:b/>
                <w:bCs/>
                <w:color w:val="000000"/>
                <w:lang w:eastAsia="en-GB"/>
              </w:rPr>
              <w:t>MSC PSA-derived score</w:t>
            </w:r>
          </w:p>
        </w:tc>
        <w:tc>
          <w:tcPr>
            <w:tcW w:w="996" w:type="dxa"/>
            <w:tcBorders>
              <w:top w:val="single" w:sz="4" w:space="0" w:color="auto"/>
              <w:left w:val="nil"/>
              <w:bottom w:val="single" w:sz="4" w:space="0" w:color="auto"/>
              <w:right w:val="single" w:sz="4" w:space="0" w:color="auto"/>
            </w:tcBorders>
            <w:shd w:val="clear" w:color="000000" w:fill="BFBFBF"/>
            <w:vAlign w:val="bottom"/>
            <w:hideMark/>
          </w:tcPr>
          <w:p w14:paraId="0BAAE685" w14:textId="77777777" w:rsidR="003C4EE5" w:rsidRPr="002637AB" w:rsidRDefault="003C4EE5" w:rsidP="003C4EE5">
            <w:pPr>
              <w:spacing w:after="0" w:line="240" w:lineRule="auto"/>
              <w:ind w:left="0"/>
              <w:jc w:val="left"/>
              <w:rPr>
                <w:rFonts w:ascii="Calibri" w:eastAsia="Times New Roman" w:hAnsi="Calibri" w:cs="Times New Roman"/>
                <w:b/>
                <w:bCs/>
                <w:color w:val="000000"/>
                <w:lang w:eastAsia="en-GB"/>
              </w:rPr>
            </w:pPr>
            <w:r w:rsidRPr="002637AB">
              <w:rPr>
                <w:rFonts w:ascii="Calibri" w:eastAsia="Times New Roman" w:hAnsi="Calibri" w:cs="Times New Roman"/>
                <w:b/>
                <w:bCs/>
                <w:color w:val="000000"/>
                <w:lang w:eastAsia="en-GB"/>
              </w:rPr>
              <w:t>Risk Category Name</w:t>
            </w:r>
          </w:p>
        </w:tc>
        <w:tc>
          <w:tcPr>
            <w:tcW w:w="1001" w:type="dxa"/>
            <w:tcBorders>
              <w:top w:val="single" w:sz="4" w:space="0" w:color="auto"/>
              <w:left w:val="nil"/>
              <w:bottom w:val="single" w:sz="4" w:space="0" w:color="auto"/>
              <w:right w:val="single" w:sz="4" w:space="0" w:color="auto"/>
            </w:tcBorders>
            <w:shd w:val="clear" w:color="000000" w:fill="BFBFBF"/>
            <w:vAlign w:val="bottom"/>
            <w:hideMark/>
          </w:tcPr>
          <w:p w14:paraId="365A4526" w14:textId="77777777" w:rsidR="003C4EE5" w:rsidRPr="002637AB" w:rsidRDefault="003C4EE5" w:rsidP="003C4EE5">
            <w:pPr>
              <w:spacing w:after="0" w:line="240" w:lineRule="auto"/>
              <w:ind w:left="0"/>
              <w:jc w:val="left"/>
              <w:rPr>
                <w:rFonts w:ascii="Calibri" w:eastAsia="Times New Roman" w:hAnsi="Calibri" w:cs="Times New Roman"/>
                <w:b/>
                <w:bCs/>
                <w:color w:val="000000"/>
                <w:lang w:eastAsia="en-GB"/>
              </w:rPr>
            </w:pPr>
            <w:r w:rsidRPr="002637AB">
              <w:rPr>
                <w:rFonts w:ascii="Calibri" w:eastAsia="Times New Roman" w:hAnsi="Calibri" w:cs="Times New Roman"/>
                <w:b/>
                <w:bCs/>
                <w:color w:val="000000"/>
                <w:lang w:eastAsia="en-GB"/>
              </w:rPr>
              <w:t>MSC scoring guidepost</w:t>
            </w:r>
          </w:p>
        </w:tc>
      </w:tr>
      <w:tr w:rsidR="003C4EE5" w:rsidRPr="002637AB" w14:paraId="2F085131" w14:textId="77777777" w:rsidTr="003C4EE5">
        <w:trPr>
          <w:trHeight w:val="289"/>
        </w:trPr>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C5D519" w14:textId="77777777" w:rsidR="003C4EE5" w:rsidRPr="002637AB" w:rsidRDefault="003C4EE5" w:rsidP="003C4EE5">
            <w:pPr>
              <w:spacing w:after="0" w:line="240" w:lineRule="auto"/>
              <w:ind w:left="0"/>
              <w:jc w:val="left"/>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Netters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8D0C5A" w14:textId="77777777" w:rsidR="003C4EE5" w:rsidRPr="002637AB" w:rsidRDefault="003C4EE5" w:rsidP="003C4EE5">
            <w:pPr>
              <w:spacing w:after="0" w:line="240" w:lineRule="auto"/>
              <w:ind w:left="0"/>
              <w:jc w:val="left"/>
              <w:rPr>
                <w:rFonts w:ascii="Calibri" w:eastAsia="Times New Roman" w:hAnsi="Calibri" w:cs="Times New Roman"/>
                <w:color w:val="000000"/>
                <w:sz w:val="20"/>
                <w:szCs w:val="20"/>
                <w:lang w:eastAsia="en-GB"/>
              </w:rPr>
            </w:pPr>
            <w:r w:rsidRPr="002637AB">
              <w:rPr>
                <w:rFonts w:ascii="Calibri" w:eastAsia="Times New Roman" w:hAnsi="Calibri" w:cs="Times New Roman"/>
                <w:color w:val="000000"/>
                <w:sz w:val="20"/>
                <w:szCs w:val="20"/>
                <w:lang w:eastAsia="en-GB"/>
              </w:rPr>
              <w:t>Turbot</w:t>
            </w:r>
          </w:p>
        </w:tc>
        <w:tc>
          <w:tcPr>
            <w:tcW w:w="1061" w:type="dxa"/>
            <w:tcBorders>
              <w:top w:val="nil"/>
              <w:left w:val="nil"/>
              <w:bottom w:val="single" w:sz="4" w:space="0" w:color="auto"/>
              <w:right w:val="single" w:sz="4" w:space="0" w:color="auto"/>
            </w:tcBorders>
            <w:shd w:val="clear" w:color="auto" w:fill="auto"/>
            <w:vAlign w:val="bottom"/>
            <w:hideMark/>
          </w:tcPr>
          <w:p w14:paraId="111FC4AC"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1.43</w:t>
            </w:r>
          </w:p>
        </w:tc>
        <w:tc>
          <w:tcPr>
            <w:tcW w:w="1281" w:type="dxa"/>
            <w:tcBorders>
              <w:top w:val="nil"/>
              <w:left w:val="nil"/>
              <w:bottom w:val="single" w:sz="4" w:space="0" w:color="auto"/>
              <w:right w:val="single" w:sz="4" w:space="0" w:color="auto"/>
            </w:tcBorders>
            <w:shd w:val="clear" w:color="auto" w:fill="auto"/>
            <w:vAlign w:val="bottom"/>
            <w:hideMark/>
          </w:tcPr>
          <w:p w14:paraId="0AC8A439"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1.88</w:t>
            </w:r>
          </w:p>
        </w:tc>
        <w:tc>
          <w:tcPr>
            <w:tcW w:w="973" w:type="dxa"/>
            <w:tcBorders>
              <w:top w:val="nil"/>
              <w:left w:val="nil"/>
              <w:bottom w:val="single" w:sz="4" w:space="0" w:color="auto"/>
              <w:right w:val="single" w:sz="4" w:space="0" w:color="auto"/>
            </w:tcBorders>
            <w:shd w:val="clear" w:color="auto" w:fill="auto"/>
            <w:vAlign w:val="bottom"/>
            <w:hideMark/>
          </w:tcPr>
          <w:p w14:paraId="4E50D8DA"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2.36</w:t>
            </w:r>
          </w:p>
        </w:tc>
        <w:tc>
          <w:tcPr>
            <w:tcW w:w="1000" w:type="dxa"/>
            <w:tcBorders>
              <w:top w:val="nil"/>
              <w:left w:val="nil"/>
              <w:bottom w:val="single" w:sz="4" w:space="0" w:color="auto"/>
              <w:right w:val="single" w:sz="4" w:space="0" w:color="auto"/>
            </w:tcBorders>
            <w:shd w:val="clear" w:color="auto" w:fill="auto"/>
            <w:vAlign w:val="bottom"/>
            <w:hideMark/>
          </w:tcPr>
          <w:p w14:paraId="0E9BFB3D"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2.36</w:t>
            </w:r>
          </w:p>
        </w:tc>
        <w:tc>
          <w:tcPr>
            <w:tcW w:w="988" w:type="dxa"/>
            <w:tcBorders>
              <w:top w:val="nil"/>
              <w:left w:val="nil"/>
              <w:bottom w:val="single" w:sz="4" w:space="0" w:color="auto"/>
              <w:right w:val="single" w:sz="4" w:space="0" w:color="auto"/>
            </w:tcBorders>
            <w:shd w:val="clear" w:color="auto" w:fill="auto"/>
            <w:vAlign w:val="bottom"/>
            <w:hideMark/>
          </w:tcPr>
          <w:p w14:paraId="1102170C"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89</w:t>
            </w:r>
          </w:p>
        </w:tc>
        <w:tc>
          <w:tcPr>
            <w:tcW w:w="996" w:type="dxa"/>
            <w:tcBorders>
              <w:top w:val="nil"/>
              <w:left w:val="nil"/>
              <w:bottom w:val="single" w:sz="4" w:space="0" w:color="auto"/>
              <w:right w:val="single" w:sz="4" w:space="0" w:color="auto"/>
            </w:tcBorders>
            <w:shd w:val="clear" w:color="000000" w:fill="92D050"/>
            <w:vAlign w:val="bottom"/>
            <w:hideMark/>
          </w:tcPr>
          <w:p w14:paraId="183AF091"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Low</w:t>
            </w:r>
          </w:p>
        </w:tc>
        <w:tc>
          <w:tcPr>
            <w:tcW w:w="1001" w:type="dxa"/>
            <w:tcBorders>
              <w:top w:val="nil"/>
              <w:left w:val="nil"/>
              <w:bottom w:val="single" w:sz="4" w:space="0" w:color="auto"/>
              <w:right w:val="single" w:sz="4" w:space="0" w:color="auto"/>
            </w:tcBorders>
            <w:shd w:val="clear" w:color="000000" w:fill="92D050"/>
            <w:vAlign w:val="bottom"/>
            <w:hideMark/>
          </w:tcPr>
          <w:p w14:paraId="282BAFE9"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≥80</w:t>
            </w:r>
          </w:p>
        </w:tc>
      </w:tr>
      <w:tr w:rsidR="003C4EE5" w:rsidRPr="002637AB" w14:paraId="05894783" w14:textId="77777777" w:rsidTr="003C4EE5">
        <w:trPr>
          <w:trHeight w:val="289"/>
        </w:trPr>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1F8C94" w14:textId="77777777" w:rsidR="003C4EE5" w:rsidRPr="002637AB" w:rsidRDefault="003C4EE5" w:rsidP="003C4EE5">
            <w:pPr>
              <w:spacing w:after="0" w:line="240" w:lineRule="auto"/>
              <w:ind w:left="0"/>
              <w:jc w:val="left"/>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Netters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610A6A" w14:textId="77777777" w:rsidR="003C4EE5" w:rsidRPr="002637AB" w:rsidRDefault="003C4EE5" w:rsidP="003C4EE5">
            <w:pPr>
              <w:spacing w:after="0" w:line="240" w:lineRule="auto"/>
              <w:ind w:left="0"/>
              <w:jc w:val="left"/>
              <w:rPr>
                <w:rFonts w:ascii="Calibri" w:eastAsia="Times New Roman" w:hAnsi="Calibri" w:cs="Times New Roman"/>
                <w:color w:val="000000"/>
                <w:sz w:val="20"/>
                <w:szCs w:val="20"/>
                <w:lang w:eastAsia="en-GB"/>
              </w:rPr>
            </w:pPr>
            <w:r w:rsidRPr="002637AB">
              <w:rPr>
                <w:rFonts w:ascii="Calibri" w:eastAsia="Times New Roman" w:hAnsi="Calibri" w:cs="Times New Roman"/>
                <w:color w:val="000000"/>
                <w:sz w:val="20"/>
                <w:szCs w:val="20"/>
                <w:lang w:eastAsia="en-GB"/>
              </w:rPr>
              <w:t>Pollack</w:t>
            </w:r>
          </w:p>
        </w:tc>
        <w:tc>
          <w:tcPr>
            <w:tcW w:w="1061" w:type="dxa"/>
            <w:tcBorders>
              <w:top w:val="nil"/>
              <w:left w:val="nil"/>
              <w:bottom w:val="single" w:sz="4" w:space="0" w:color="auto"/>
              <w:right w:val="single" w:sz="4" w:space="0" w:color="auto"/>
            </w:tcBorders>
            <w:shd w:val="clear" w:color="auto" w:fill="auto"/>
            <w:vAlign w:val="bottom"/>
            <w:hideMark/>
          </w:tcPr>
          <w:p w14:paraId="1BD98011"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1.71</w:t>
            </w:r>
          </w:p>
        </w:tc>
        <w:tc>
          <w:tcPr>
            <w:tcW w:w="1281" w:type="dxa"/>
            <w:tcBorders>
              <w:top w:val="nil"/>
              <w:left w:val="nil"/>
              <w:bottom w:val="single" w:sz="4" w:space="0" w:color="auto"/>
              <w:right w:val="single" w:sz="4" w:space="0" w:color="auto"/>
            </w:tcBorders>
            <w:shd w:val="clear" w:color="auto" w:fill="auto"/>
            <w:vAlign w:val="bottom"/>
            <w:hideMark/>
          </w:tcPr>
          <w:p w14:paraId="0212D3E3"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2.33</w:t>
            </w:r>
          </w:p>
        </w:tc>
        <w:tc>
          <w:tcPr>
            <w:tcW w:w="973" w:type="dxa"/>
            <w:tcBorders>
              <w:top w:val="nil"/>
              <w:left w:val="nil"/>
              <w:bottom w:val="single" w:sz="4" w:space="0" w:color="auto"/>
              <w:right w:val="single" w:sz="4" w:space="0" w:color="auto"/>
            </w:tcBorders>
            <w:shd w:val="clear" w:color="auto" w:fill="auto"/>
            <w:vAlign w:val="bottom"/>
            <w:hideMark/>
          </w:tcPr>
          <w:p w14:paraId="2757586C"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2.89</w:t>
            </w:r>
          </w:p>
        </w:tc>
        <w:tc>
          <w:tcPr>
            <w:tcW w:w="1000" w:type="dxa"/>
            <w:tcBorders>
              <w:top w:val="nil"/>
              <w:left w:val="nil"/>
              <w:bottom w:val="single" w:sz="4" w:space="0" w:color="auto"/>
              <w:right w:val="single" w:sz="4" w:space="0" w:color="auto"/>
            </w:tcBorders>
            <w:shd w:val="clear" w:color="auto" w:fill="auto"/>
            <w:vAlign w:val="bottom"/>
            <w:hideMark/>
          </w:tcPr>
          <w:p w14:paraId="5CE8007A"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2.89</w:t>
            </w:r>
          </w:p>
        </w:tc>
        <w:tc>
          <w:tcPr>
            <w:tcW w:w="988" w:type="dxa"/>
            <w:tcBorders>
              <w:top w:val="nil"/>
              <w:left w:val="nil"/>
              <w:bottom w:val="single" w:sz="4" w:space="0" w:color="auto"/>
              <w:right w:val="single" w:sz="4" w:space="0" w:color="auto"/>
            </w:tcBorders>
            <w:shd w:val="clear" w:color="auto" w:fill="auto"/>
            <w:vAlign w:val="bottom"/>
            <w:hideMark/>
          </w:tcPr>
          <w:p w14:paraId="4B671F9D"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77</w:t>
            </w:r>
          </w:p>
        </w:tc>
        <w:tc>
          <w:tcPr>
            <w:tcW w:w="996" w:type="dxa"/>
            <w:tcBorders>
              <w:top w:val="nil"/>
              <w:left w:val="nil"/>
              <w:bottom w:val="single" w:sz="4" w:space="0" w:color="auto"/>
              <w:right w:val="single" w:sz="4" w:space="0" w:color="auto"/>
            </w:tcBorders>
            <w:shd w:val="clear" w:color="000000" w:fill="FFFF00"/>
            <w:vAlign w:val="bottom"/>
            <w:hideMark/>
          </w:tcPr>
          <w:p w14:paraId="4E3494F7"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Med</w:t>
            </w:r>
          </w:p>
        </w:tc>
        <w:tc>
          <w:tcPr>
            <w:tcW w:w="1001" w:type="dxa"/>
            <w:tcBorders>
              <w:top w:val="nil"/>
              <w:left w:val="nil"/>
              <w:bottom w:val="single" w:sz="4" w:space="0" w:color="auto"/>
              <w:right w:val="single" w:sz="4" w:space="0" w:color="auto"/>
            </w:tcBorders>
            <w:shd w:val="clear" w:color="000000" w:fill="FFFF00"/>
            <w:vAlign w:val="bottom"/>
            <w:hideMark/>
          </w:tcPr>
          <w:p w14:paraId="524393C8"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60-79</w:t>
            </w:r>
          </w:p>
        </w:tc>
      </w:tr>
      <w:tr w:rsidR="003C4EE5" w:rsidRPr="002637AB" w14:paraId="70CA816E" w14:textId="77777777" w:rsidTr="003C4EE5">
        <w:trPr>
          <w:trHeight w:val="289"/>
        </w:trPr>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89169F" w14:textId="77777777" w:rsidR="003C4EE5" w:rsidRPr="002637AB" w:rsidRDefault="003C4EE5" w:rsidP="003C4EE5">
            <w:pPr>
              <w:spacing w:after="0" w:line="240" w:lineRule="auto"/>
              <w:ind w:left="0"/>
              <w:jc w:val="left"/>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Netters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35CE24" w14:textId="77777777" w:rsidR="003C4EE5" w:rsidRPr="002637AB" w:rsidRDefault="003C4EE5" w:rsidP="003C4EE5">
            <w:pPr>
              <w:spacing w:after="0" w:line="240" w:lineRule="auto"/>
              <w:ind w:left="0"/>
              <w:jc w:val="left"/>
              <w:rPr>
                <w:rFonts w:ascii="Calibri" w:eastAsia="Times New Roman" w:hAnsi="Calibri" w:cs="Times New Roman"/>
                <w:color w:val="000000"/>
                <w:sz w:val="20"/>
                <w:szCs w:val="20"/>
                <w:lang w:eastAsia="en-GB"/>
              </w:rPr>
            </w:pPr>
            <w:r w:rsidRPr="002637AB">
              <w:rPr>
                <w:rFonts w:ascii="Calibri" w:eastAsia="Times New Roman" w:hAnsi="Calibri" w:cs="Times New Roman"/>
                <w:color w:val="000000"/>
                <w:sz w:val="20"/>
                <w:szCs w:val="20"/>
                <w:lang w:eastAsia="en-GB"/>
              </w:rPr>
              <w:t>Common ling</w:t>
            </w:r>
          </w:p>
        </w:tc>
        <w:tc>
          <w:tcPr>
            <w:tcW w:w="1061" w:type="dxa"/>
            <w:tcBorders>
              <w:top w:val="nil"/>
              <w:left w:val="nil"/>
              <w:bottom w:val="single" w:sz="4" w:space="0" w:color="auto"/>
              <w:right w:val="single" w:sz="4" w:space="0" w:color="auto"/>
            </w:tcBorders>
            <w:shd w:val="clear" w:color="auto" w:fill="auto"/>
            <w:vAlign w:val="bottom"/>
            <w:hideMark/>
          </w:tcPr>
          <w:p w14:paraId="673228FF"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1.86</w:t>
            </w:r>
          </w:p>
        </w:tc>
        <w:tc>
          <w:tcPr>
            <w:tcW w:w="1281" w:type="dxa"/>
            <w:tcBorders>
              <w:top w:val="nil"/>
              <w:left w:val="nil"/>
              <w:bottom w:val="single" w:sz="4" w:space="0" w:color="auto"/>
              <w:right w:val="single" w:sz="4" w:space="0" w:color="auto"/>
            </w:tcBorders>
            <w:shd w:val="clear" w:color="auto" w:fill="auto"/>
            <w:vAlign w:val="bottom"/>
            <w:hideMark/>
          </w:tcPr>
          <w:p w14:paraId="0A5BAA76"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2.33</w:t>
            </w:r>
          </w:p>
        </w:tc>
        <w:tc>
          <w:tcPr>
            <w:tcW w:w="973" w:type="dxa"/>
            <w:tcBorders>
              <w:top w:val="nil"/>
              <w:left w:val="nil"/>
              <w:bottom w:val="single" w:sz="4" w:space="0" w:color="auto"/>
              <w:right w:val="single" w:sz="4" w:space="0" w:color="auto"/>
            </w:tcBorders>
            <w:shd w:val="clear" w:color="auto" w:fill="auto"/>
            <w:vAlign w:val="bottom"/>
            <w:hideMark/>
          </w:tcPr>
          <w:p w14:paraId="79A732F3"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2.98</w:t>
            </w:r>
          </w:p>
        </w:tc>
        <w:tc>
          <w:tcPr>
            <w:tcW w:w="1000" w:type="dxa"/>
            <w:tcBorders>
              <w:top w:val="nil"/>
              <w:left w:val="nil"/>
              <w:bottom w:val="single" w:sz="4" w:space="0" w:color="auto"/>
              <w:right w:val="single" w:sz="4" w:space="0" w:color="auto"/>
            </w:tcBorders>
            <w:shd w:val="clear" w:color="auto" w:fill="auto"/>
            <w:vAlign w:val="bottom"/>
            <w:hideMark/>
          </w:tcPr>
          <w:p w14:paraId="1E5A9C6D"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2.98</w:t>
            </w:r>
          </w:p>
        </w:tc>
        <w:tc>
          <w:tcPr>
            <w:tcW w:w="988" w:type="dxa"/>
            <w:tcBorders>
              <w:top w:val="nil"/>
              <w:left w:val="nil"/>
              <w:bottom w:val="single" w:sz="4" w:space="0" w:color="auto"/>
              <w:right w:val="single" w:sz="4" w:space="0" w:color="auto"/>
            </w:tcBorders>
            <w:shd w:val="clear" w:color="auto" w:fill="auto"/>
            <w:vAlign w:val="bottom"/>
            <w:hideMark/>
          </w:tcPr>
          <w:p w14:paraId="152FB6BA"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74</w:t>
            </w:r>
          </w:p>
        </w:tc>
        <w:tc>
          <w:tcPr>
            <w:tcW w:w="996" w:type="dxa"/>
            <w:tcBorders>
              <w:top w:val="nil"/>
              <w:left w:val="nil"/>
              <w:bottom w:val="single" w:sz="4" w:space="0" w:color="auto"/>
              <w:right w:val="single" w:sz="4" w:space="0" w:color="auto"/>
            </w:tcBorders>
            <w:shd w:val="clear" w:color="000000" w:fill="FFFF00"/>
            <w:vAlign w:val="bottom"/>
            <w:hideMark/>
          </w:tcPr>
          <w:p w14:paraId="6281A8BA"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Med</w:t>
            </w:r>
          </w:p>
        </w:tc>
        <w:tc>
          <w:tcPr>
            <w:tcW w:w="1001" w:type="dxa"/>
            <w:tcBorders>
              <w:top w:val="nil"/>
              <w:left w:val="nil"/>
              <w:bottom w:val="single" w:sz="4" w:space="0" w:color="auto"/>
              <w:right w:val="single" w:sz="4" w:space="0" w:color="auto"/>
            </w:tcBorders>
            <w:shd w:val="clear" w:color="000000" w:fill="FFFF00"/>
            <w:vAlign w:val="bottom"/>
            <w:hideMark/>
          </w:tcPr>
          <w:p w14:paraId="2332D963"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60-79</w:t>
            </w:r>
          </w:p>
        </w:tc>
      </w:tr>
      <w:tr w:rsidR="003C4EE5" w:rsidRPr="002637AB" w14:paraId="2C698DDA" w14:textId="77777777" w:rsidTr="003C4EE5">
        <w:trPr>
          <w:trHeight w:val="289"/>
        </w:trPr>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D44A54" w14:textId="77777777" w:rsidR="003C4EE5" w:rsidRPr="002637AB" w:rsidRDefault="003C4EE5" w:rsidP="003C4EE5">
            <w:pPr>
              <w:spacing w:after="0" w:line="240" w:lineRule="auto"/>
              <w:ind w:left="0"/>
              <w:jc w:val="left"/>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Netters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344B9D" w14:textId="77777777" w:rsidR="003C4EE5" w:rsidRPr="002637AB" w:rsidRDefault="003C4EE5" w:rsidP="003C4EE5">
            <w:pPr>
              <w:spacing w:after="0" w:line="240" w:lineRule="auto"/>
              <w:ind w:left="0"/>
              <w:jc w:val="left"/>
              <w:rPr>
                <w:rFonts w:ascii="Calibri" w:eastAsia="Times New Roman" w:hAnsi="Calibri" w:cs="Times New Roman"/>
                <w:color w:val="000000"/>
                <w:sz w:val="20"/>
                <w:szCs w:val="20"/>
                <w:lang w:eastAsia="en-GB"/>
              </w:rPr>
            </w:pPr>
            <w:r w:rsidRPr="002637AB">
              <w:rPr>
                <w:rFonts w:ascii="Calibri" w:eastAsia="Times New Roman" w:hAnsi="Calibri" w:cs="Times New Roman"/>
                <w:color w:val="000000"/>
                <w:sz w:val="20"/>
                <w:szCs w:val="20"/>
                <w:lang w:eastAsia="en-GB"/>
              </w:rPr>
              <w:t>Blonde ray</w:t>
            </w:r>
          </w:p>
        </w:tc>
        <w:tc>
          <w:tcPr>
            <w:tcW w:w="1061" w:type="dxa"/>
            <w:tcBorders>
              <w:top w:val="nil"/>
              <w:left w:val="nil"/>
              <w:bottom w:val="single" w:sz="4" w:space="0" w:color="auto"/>
              <w:right w:val="single" w:sz="4" w:space="0" w:color="auto"/>
            </w:tcBorders>
            <w:shd w:val="clear" w:color="auto" w:fill="auto"/>
            <w:vAlign w:val="bottom"/>
            <w:hideMark/>
          </w:tcPr>
          <w:p w14:paraId="4B458A5F"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2.29</w:t>
            </w:r>
          </w:p>
        </w:tc>
        <w:tc>
          <w:tcPr>
            <w:tcW w:w="1281" w:type="dxa"/>
            <w:tcBorders>
              <w:top w:val="nil"/>
              <w:left w:val="nil"/>
              <w:bottom w:val="single" w:sz="4" w:space="0" w:color="auto"/>
              <w:right w:val="single" w:sz="4" w:space="0" w:color="auto"/>
            </w:tcBorders>
            <w:shd w:val="clear" w:color="auto" w:fill="auto"/>
            <w:vAlign w:val="bottom"/>
            <w:hideMark/>
          </w:tcPr>
          <w:p w14:paraId="45DA2B2A"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1.88</w:t>
            </w:r>
          </w:p>
        </w:tc>
        <w:tc>
          <w:tcPr>
            <w:tcW w:w="973" w:type="dxa"/>
            <w:tcBorders>
              <w:top w:val="nil"/>
              <w:left w:val="nil"/>
              <w:bottom w:val="single" w:sz="4" w:space="0" w:color="auto"/>
              <w:right w:val="single" w:sz="4" w:space="0" w:color="auto"/>
            </w:tcBorders>
            <w:shd w:val="clear" w:color="auto" w:fill="auto"/>
            <w:vAlign w:val="bottom"/>
            <w:hideMark/>
          </w:tcPr>
          <w:p w14:paraId="5DB6BD21"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2.96</w:t>
            </w:r>
          </w:p>
        </w:tc>
        <w:tc>
          <w:tcPr>
            <w:tcW w:w="1000" w:type="dxa"/>
            <w:tcBorders>
              <w:top w:val="nil"/>
              <w:left w:val="nil"/>
              <w:bottom w:val="single" w:sz="4" w:space="0" w:color="auto"/>
              <w:right w:val="single" w:sz="4" w:space="0" w:color="auto"/>
            </w:tcBorders>
            <w:shd w:val="clear" w:color="auto" w:fill="auto"/>
            <w:vAlign w:val="bottom"/>
            <w:hideMark/>
          </w:tcPr>
          <w:p w14:paraId="468270C8"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2.96</w:t>
            </w:r>
          </w:p>
        </w:tc>
        <w:tc>
          <w:tcPr>
            <w:tcW w:w="988" w:type="dxa"/>
            <w:tcBorders>
              <w:top w:val="nil"/>
              <w:left w:val="nil"/>
              <w:bottom w:val="single" w:sz="4" w:space="0" w:color="auto"/>
              <w:right w:val="single" w:sz="4" w:space="0" w:color="auto"/>
            </w:tcBorders>
            <w:shd w:val="clear" w:color="auto" w:fill="auto"/>
            <w:vAlign w:val="bottom"/>
            <w:hideMark/>
          </w:tcPr>
          <w:p w14:paraId="152D81AD"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75</w:t>
            </w:r>
          </w:p>
        </w:tc>
        <w:tc>
          <w:tcPr>
            <w:tcW w:w="996" w:type="dxa"/>
            <w:tcBorders>
              <w:top w:val="nil"/>
              <w:left w:val="nil"/>
              <w:bottom w:val="single" w:sz="4" w:space="0" w:color="auto"/>
              <w:right w:val="single" w:sz="4" w:space="0" w:color="auto"/>
            </w:tcBorders>
            <w:shd w:val="clear" w:color="000000" w:fill="FFFF00"/>
            <w:vAlign w:val="bottom"/>
            <w:hideMark/>
          </w:tcPr>
          <w:p w14:paraId="0DD4753C"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Med</w:t>
            </w:r>
          </w:p>
        </w:tc>
        <w:tc>
          <w:tcPr>
            <w:tcW w:w="1001" w:type="dxa"/>
            <w:tcBorders>
              <w:top w:val="nil"/>
              <w:left w:val="nil"/>
              <w:bottom w:val="single" w:sz="4" w:space="0" w:color="auto"/>
              <w:right w:val="single" w:sz="4" w:space="0" w:color="auto"/>
            </w:tcBorders>
            <w:shd w:val="clear" w:color="000000" w:fill="FFFF00"/>
            <w:vAlign w:val="bottom"/>
            <w:hideMark/>
          </w:tcPr>
          <w:p w14:paraId="2AA238CB"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60-79</w:t>
            </w:r>
          </w:p>
        </w:tc>
      </w:tr>
      <w:tr w:rsidR="003C4EE5" w:rsidRPr="002637AB" w14:paraId="46826658" w14:textId="77777777" w:rsidTr="003C4EE5">
        <w:trPr>
          <w:trHeight w:val="289"/>
        </w:trPr>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73B052" w14:textId="77777777" w:rsidR="003C4EE5" w:rsidRPr="002637AB" w:rsidRDefault="003C4EE5" w:rsidP="003C4EE5">
            <w:pPr>
              <w:spacing w:after="0" w:line="240" w:lineRule="auto"/>
              <w:ind w:left="0"/>
              <w:jc w:val="left"/>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Netters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40289C" w14:textId="77777777" w:rsidR="003C4EE5" w:rsidRPr="002637AB" w:rsidRDefault="003C4EE5" w:rsidP="003C4EE5">
            <w:pPr>
              <w:spacing w:after="0" w:line="240" w:lineRule="auto"/>
              <w:ind w:left="0"/>
              <w:jc w:val="left"/>
              <w:rPr>
                <w:rFonts w:ascii="Calibri" w:eastAsia="Times New Roman" w:hAnsi="Calibri" w:cs="Times New Roman"/>
                <w:color w:val="000000"/>
                <w:sz w:val="20"/>
                <w:szCs w:val="20"/>
                <w:lang w:eastAsia="en-GB"/>
              </w:rPr>
            </w:pPr>
            <w:r w:rsidRPr="002637AB">
              <w:rPr>
                <w:rFonts w:ascii="Calibri" w:eastAsia="Times New Roman" w:hAnsi="Calibri" w:cs="Times New Roman"/>
                <w:color w:val="000000"/>
                <w:sz w:val="20"/>
                <w:szCs w:val="20"/>
                <w:lang w:eastAsia="en-GB"/>
              </w:rPr>
              <w:t>Cuckoo ray</w:t>
            </w:r>
          </w:p>
        </w:tc>
        <w:tc>
          <w:tcPr>
            <w:tcW w:w="1061" w:type="dxa"/>
            <w:tcBorders>
              <w:top w:val="nil"/>
              <w:left w:val="nil"/>
              <w:bottom w:val="single" w:sz="4" w:space="0" w:color="auto"/>
              <w:right w:val="single" w:sz="4" w:space="0" w:color="auto"/>
            </w:tcBorders>
            <w:shd w:val="clear" w:color="auto" w:fill="auto"/>
            <w:vAlign w:val="bottom"/>
            <w:hideMark/>
          </w:tcPr>
          <w:p w14:paraId="6D62B4F2"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2.29</w:t>
            </w:r>
          </w:p>
        </w:tc>
        <w:tc>
          <w:tcPr>
            <w:tcW w:w="1281" w:type="dxa"/>
            <w:tcBorders>
              <w:top w:val="nil"/>
              <w:left w:val="nil"/>
              <w:bottom w:val="single" w:sz="4" w:space="0" w:color="auto"/>
              <w:right w:val="single" w:sz="4" w:space="0" w:color="auto"/>
            </w:tcBorders>
            <w:shd w:val="clear" w:color="auto" w:fill="auto"/>
            <w:vAlign w:val="bottom"/>
            <w:hideMark/>
          </w:tcPr>
          <w:p w14:paraId="7EC4A4AB"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1.88</w:t>
            </w:r>
          </w:p>
        </w:tc>
        <w:tc>
          <w:tcPr>
            <w:tcW w:w="973" w:type="dxa"/>
            <w:tcBorders>
              <w:top w:val="nil"/>
              <w:left w:val="nil"/>
              <w:bottom w:val="single" w:sz="4" w:space="0" w:color="auto"/>
              <w:right w:val="single" w:sz="4" w:space="0" w:color="auto"/>
            </w:tcBorders>
            <w:shd w:val="clear" w:color="auto" w:fill="auto"/>
            <w:vAlign w:val="bottom"/>
            <w:hideMark/>
          </w:tcPr>
          <w:p w14:paraId="58EE1E98"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2.96</w:t>
            </w:r>
          </w:p>
        </w:tc>
        <w:tc>
          <w:tcPr>
            <w:tcW w:w="1000" w:type="dxa"/>
            <w:tcBorders>
              <w:top w:val="nil"/>
              <w:left w:val="nil"/>
              <w:bottom w:val="single" w:sz="4" w:space="0" w:color="auto"/>
              <w:right w:val="single" w:sz="4" w:space="0" w:color="auto"/>
            </w:tcBorders>
            <w:shd w:val="clear" w:color="auto" w:fill="auto"/>
            <w:vAlign w:val="bottom"/>
            <w:hideMark/>
          </w:tcPr>
          <w:p w14:paraId="42188B67"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2.96</w:t>
            </w:r>
          </w:p>
        </w:tc>
        <w:tc>
          <w:tcPr>
            <w:tcW w:w="988" w:type="dxa"/>
            <w:tcBorders>
              <w:top w:val="nil"/>
              <w:left w:val="nil"/>
              <w:bottom w:val="single" w:sz="4" w:space="0" w:color="auto"/>
              <w:right w:val="single" w:sz="4" w:space="0" w:color="auto"/>
            </w:tcBorders>
            <w:shd w:val="clear" w:color="auto" w:fill="auto"/>
            <w:vAlign w:val="bottom"/>
            <w:hideMark/>
          </w:tcPr>
          <w:p w14:paraId="42A8D49F"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75</w:t>
            </w:r>
          </w:p>
        </w:tc>
        <w:tc>
          <w:tcPr>
            <w:tcW w:w="996" w:type="dxa"/>
            <w:tcBorders>
              <w:top w:val="nil"/>
              <w:left w:val="nil"/>
              <w:bottom w:val="single" w:sz="4" w:space="0" w:color="auto"/>
              <w:right w:val="single" w:sz="4" w:space="0" w:color="auto"/>
            </w:tcBorders>
            <w:shd w:val="clear" w:color="000000" w:fill="FFFF00"/>
            <w:vAlign w:val="bottom"/>
            <w:hideMark/>
          </w:tcPr>
          <w:p w14:paraId="61F1A84F"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Med</w:t>
            </w:r>
          </w:p>
        </w:tc>
        <w:tc>
          <w:tcPr>
            <w:tcW w:w="1001" w:type="dxa"/>
            <w:tcBorders>
              <w:top w:val="nil"/>
              <w:left w:val="nil"/>
              <w:bottom w:val="single" w:sz="4" w:space="0" w:color="auto"/>
              <w:right w:val="single" w:sz="4" w:space="0" w:color="auto"/>
            </w:tcBorders>
            <w:shd w:val="clear" w:color="000000" w:fill="FFFF00"/>
            <w:vAlign w:val="bottom"/>
            <w:hideMark/>
          </w:tcPr>
          <w:p w14:paraId="0ED2C2A8"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60-79</w:t>
            </w:r>
          </w:p>
        </w:tc>
      </w:tr>
      <w:tr w:rsidR="003C4EE5" w:rsidRPr="002637AB" w14:paraId="60E4BF20" w14:textId="77777777" w:rsidTr="003C4EE5">
        <w:trPr>
          <w:trHeight w:val="289"/>
        </w:trPr>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9D2A78" w14:textId="77777777" w:rsidR="003C4EE5" w:rsidRPr="002637AB" w:rsidRDefault="003C4EE5" w:rsidP="003C4EE5">
            <w:pPr>
              <w:spacing w:after="0" w:line="240" w:lineRule="auto"/>
              <w:ind w:left="0"/>
              <w:jc w:val="left"/>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Netters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72F1AC" w14:textId="77777777" w:rsidR="003C4EE5" w:rsidRPr="002637AB" w:rsidRDefault="003C4EE5" w:rsidP="003C4EE5">
            <w:pPr>
              <w:spacing w:after="0" w:line="240" w:lineRule="auto"/>
              <w:ind w:left="0"/>
              <w:jc w:val="left"/>
              <w:rPr>
                <w:rFonts w:ascii="Calibri" w:eastAsia="Times New Roman" w:hAnsi="Calibri" w:cs="Times New Roman"/>
                <w:color w:val="000000"/>
                <w:sz w:val="20"/>
                <w:szCs w:val="20"/>
                <w:lang w:eastAsia="en-GB"/>
              </w:rPr>
            </w:pPr>
            <w:r w:rsidRPr="002637AB">
              <w:rPr>
                <w:rFonts w:ascii="Calibri" w:eastAsia="Times New Roman" w:hAnsi="Calibri" w:cs="Times New Roman"/>
                <w:color w:val="000000"/>
                <w:sz w:val="20"/>
                <w:szCs w:val="20"/>
                <w:lang w:eastAsia="en-GB"/>
              </w:rPr>
              <w:t>Undulate ray</w:t>
            </w:r>
          </w:p>
        </w:tc>
        <w:tc>
          <w:tcPr>
            <w:tcW w:w="1061" w:type="dxa"/>
            <w:tcBorders>
              <w:top w:val="nil"/>
              <w:left w:val="nil"/>
              <w:bottom w:val="single" w:sz="4" w:space="0" w:color="auto"/>
              <w:right w:val="single" w:sz="4" w:space="0" w:color="auto"/>
            </w:tcBorders>
            <w:shd w:val="clear" w:color="auto" w:fill="auto"/>
            <w:vAlign w:val="bottom"/>
            <w:hideMark/>
          </w:tcPr>
          <w:p w14:paraId="47AE102D"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2.29</w:t>
            </w:r>
          </w:p>
        </w:tc>
        <w:tc>
          <w:tcPr>
            <w:tcW w:w="1281" w:type="dxa"/>
            <w:tcBorders>
              <w:top w:val="nil"/>
              <w:left w:val="nil"/>
              <w:bottom w:val="single" w:sz="4" w:space="0" w:color="auto"/>
              <w:right w:val="single" w:sz="4" w:space="0" w:color="auto"/>
            </w:tcBorders>
            <w:shd w:val="clear" w:color="auto" w:fill="auto"/>
            <w:vAlign w:val="bottom"/>
            <w:hideMark/>
          </w:tcPr>
          <w:p w14:paraId="7BAF6D21"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1.65</w:t>
            </w:r>
          </w:p>
        </w:tc>
        <w:tc>
          <w:tcPr>
            <w:tcW w:w="973" w:type="dxa"/>
            <w:tcBorders>
              <w:top w:val="nil"/>
              <w:left w:val="nil"/>
              <w:bottom w:val="single" w:sz="4" w:space="0" w:color="auto"/>
              <w:right w:val="single" w:sz="4" w:space="0" w:color="auto"/>
            </w:tcBorders>
            <w:shd w:val="clear" w:color="auto" w:fill="auto"/>
            <w:vAlign w:val="bottom"/>
            <w:hideMark/>
          </w:tcPr>
          <w:p w14:paraId="13FA8294"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2.82</w:t>
            </w:r>
          </w:p>
        </w:tc>
        <w:tc>
          <w:tcPr>
            <w:tcW w:w="1000" w:type="dxa"/>
            <w:tcBorders>
              <w:top w:val="nil"/>
              <w:left w:val="nil"/>
              <w:bottom w:val="single" w:sz="4" w:space="0" w:color="auto"/>
              <w:right w:val="single" w:sz="4" w:space="0" w:color="auto"/>
            </w:tcBorders>
            <w:shd w:val="clear" w:color="auto" w:fill="auto"/>
            <w:vAlign w:val="bottom"/>
            <w:hideMark/>
          </w:tcPr>
          <w:p w14:paraId="0C701759"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2.82</w:t>
            </w:r>
          </w:p>
        </w:tc>
        <w:tc>
          <w:tcPr>
            <w:tcW w:w="988" w:type="dxa"/>
            <w:tcBorders>
              <w:top w:val="nil"/>
              <w:left w:val="nil"/>
              <w:bottom w:val="single" w:sz="4" w:space="0" w:color="auto"/>
              <w:right w:val="single" w:sz="4" w:space="0" w:color="auto"/>
            </w:tcBorders>
            <w:shd w:val="clear" w:color="auto" w:fill="auto"/>
            <w:vAlign w:val="bottom"/>
            <w:hideMark/>
          </w:tcPr>
          <w:p w14:paraId="433C71EC"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78</w:t>
            </w:r>
          </w:p>
        </w:tc>
        <w:tc>
          <w:tcPr>
            <w:tcW w:w="996" w:type="dxa"/>
            <w:tcBorders>
              <w:top w:val="nil"/>
              <w:left w:val="nil"/>
              <w:bottom w:val="single" w:sz="4" w:space="0" w:color="auto"/>
              <w:right w:val="single" w:sz="4" w:space="0" w:color="auto"/>
            </w:tcBorders>
            <w:shd w:val="clear" w:color="000000" w:fill="FFFF00"/>
            <w:vAlign w:val="bottom"/>
            <w:hideMark/>
          </w:tcPr>
          <w:p w14:paraId="00EB343E"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Med</w:t>
            </w:r>
          </w:p>
        </w:tc>
        <w:tc>
          <w:tcPr>
            <w:tcW w:w="1001" w:type="dxa"/>
            <w:tcBorders>
              <w:top w:val="nil"/>
              <w:left w:val="nil"/>
              <w:bottom w:val="single" w:sz="4" w:space="0" w:color="auto"/>
              <w:right w:val="single" w:sz="4" w:space="0" w:color="auto"/>
            </w:tcBorders>
            <w:shd w:val="clear" w:color="000000" w:fill="FFFF00"/>
            <w:vAlign w:val="bottom"/>
            <w:hideMark/>
          </w:tcPr>
          <w:p w14:paraId="5A3FE944"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60-79</w:t>
            </w:r>
          </w:p>
        </w:tc>
      </w:tr>
      <w:tr w:rsidR="003C4EE5" w:rsidRPr="002637AB" w14:paraId="0CADC1DE" w14:textId="77777777" w:rsidTr="003C4EE5">
        <w:trPr>
          <w:trHeight w:val="289"/>
        </w:trPr>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8529BB" w14:textId="77777777" w:rsidR="003C4EE5" w:rsidRPr="002637AB" w:rsidRDefault="003C4EE5" w:rsidP="003C4EE5">
            <w:pPr>
              <w:spacing w:after="0" w:line="240" w:lineRule="auto"/>
              <w:ind w:left="0"/>
              <w:jc w:val="left"/>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Netters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9ED57C" w14:textId="77777777" w:rsidR="003C4EE5" w:rsidRPr="002637AB" w:rsidRDefault="003C4EE5" w:rsidP="003C4EE5">
            <w:pPr>
              <w:spacing w:after="0" w:line="240" w:lineRule="auto"/>
              <w:ind w:left="0"/>
              <w:jc w:val="left"/>
              <w:rPr>
                <w:rFonts w:ascii="Calibri" w:eastAsia="Times New Roman" w:hAnsi="Calibri" w:cs="Times New Roman"/>
                <w:color w:val="000000"/>
                <w:sz w:val="20"/>
                <w:szCs w:val="20"/>
                <w:lang w:eastAsia="en-GB"/>
              </w:rPr>
            </w:pPr>
            <w:r w:rsidRPr="002637AB">
              <w:rPr>
                <w:rFonts w:ascii="Calibri" w:eastAsia="Times New Roman" w:hAnsi="Calibri" w:cs="Times New Roman"/>
                <w:color w:val="000000"/>
                <w:sz w:val="20"/>
                <w:szCs w:val="20"/>
                <w:lang w:eastAsia="en-GB"/>
              </w:rPr>
              <w:t>Common spider crab</w:t>
            </w:r>
          </w:p>
        </w:tc>
        <w:tc>
          <w:tcPr>
            <w:tcW w:w="1061" w:type="dxa"/>
            <w:tcBorders>
              <w:top w:val="nil"/>
              <w:left w:val="nil"/>
              <w:bottom w:val="single" w:sz="4" w:space="0" w:color="auto"/>
              <w:right w:val="single" w:sz="4" w:space="0" w:color="auto"/>
            </w:tcBorders>
            <w:shd w:val="clear" w:color="auto" w:fill="auto"/>
            <w:vAlign w:val="bottom"/>
            <w:hideMark/>
          </w:tcPr>
          <w:p w14:paraId="2D70B4C3"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1.50</w:t>
            </w:r>
          </w:p>
        </w:tc>
        <w:tc>
          <w:tcPr>
            <w:tcW w:w="1281" w:type="dxa"/>
            <w:tcBorders>
              <w:top w:val="nil"/>
              <w:left w:val="nil"/>
              <w:bottom w:val="single" w:sz="4" w:space="0" w:color="auto"/>
              <w:right w:val="single" w:sz="4" w:space="0" w:color="auto"/>
            </w:tcBorders>
            <w:shd w:val="clear" w:color="auto" w:fill="auto"/>
            <w:vAlign w:val="bottom"/>
            <w:hideMark/>
          </w:tcPr>
          <w:p w14:paraId="57D377F4"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1.20</w:t>
            </w:r>
          </w:p>
        </w:tc>
        <w:tc>
          <w:tcPr>
            <w:tcW w:w="973" w:type="dxa"/>
            <w:tcBorders>
              <w:top w:val="nil"/>
              <w:left w:val="nil"/>
              <w:bottom w:val="single" w:sz="4" w:space="0" w:color="auto"/>
              <w:right w:val="single" w:sz="4" w:space="0" w:color="auto"/>
            </w:tcBorders>
            <w:shd w:val="clear" w:color="auto" w:fill="auto"/>
            <w:vAlign w:val="bottom"/>
            <w:hideMark/>
          </w:tcPr>
          <w:p w14:paraId="66ADA0AF"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1.92</w:t>
            </w:r>
          </w:p>
        </w:tc>
        <w:tc>
          <w:tcPr>
            <w:tcW w:w="1000" w:type="dxa"/>
            <w:tcBorders>
              <w:top w:val="nil"/>
              <w:left w:val="nil"/>
              <w:bottom w:val="single" w:sz="4" w:space="0" w:color="auto"/>
              <w:right w:val="single" w:sz="4" w:space="0" w:color="auto"/>
            </w:tcBorders>
            <w:shd w:val="clear" w:color="auto" w:fill="auto"/>
            <w:vAlign w:val="bottom"/>
            <w:hideMark/>
          </w:tcPr>
          <w:p w14:paraId="2DFA39A2"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1.92</w:t>
            </w:r>
          </w:p>
        </w:tc>
        <w:tc>
          <w:tcPr>
            <w:tcW w:w="988" w:type="dxa"/>
            <w:tcBorders>
              <w:top w:val="nil"/>
              <w:left w:val="nil"/>
              <w:bottom w:val="single" w:sz="4" w:space="0" w:color="auto"/>
              <w:right w:val="single" w:sz="4" w:space="0" w:color="auto"/>
            </w:tcBorders>
            <w:shd w:val="clear" w:color="auto" w:fill="auto"/>
            <w:vAlign w:val="bottom"/>
            <w:hideMark/>
          </w:tcPr>
          <w:p w14:paraId="7381D071"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97</w:t>
            </w:r>
          </w:p>
        </w:tc>
        <w:tc>
          <w:tcPr>
            <w:tcW w:w="996" w:type="dxa"/>
            <w:tcBorders>
              <w:top w:val="nil"/>
              <w:left w:val="nil"/>
              <w:bottom w:val="single" w:sz="4" w:space="0" w:color="auto"/>
              <w:right w:val="single" w:sz="4" w:space="0" w:color="auto"/>
            </w:tcBorders>
            <w:shd w:val="clear" w:color="000000" w:fill="92D050"/>
            <w:vAlign w:val="bottom"/>
            <w:hideMark/>
          </w:tcPr>
          <w:p w14:paraId="56268206"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Low</w:t>
            </w:r>
          </w:p>
        </w:tc>
        <w:tc>
          <w:tcPr>
            <w:tcW w:w="1001" w:type="dxa"/>
            <w:tcBorders>
              <w:top w:val="nil"/>
              <w:left w:val="nil"/>
              <w:bottom w:val="single" w:sz="4" w:space="0" w:color="auto"/>
              <w:right w:val="single" w:sz="4" w:space="0" w:color="auto"/>
            </w:tcBorders>
            <w:shd w:val="clear" w:color="000000" w:fill="92D050"/>
            <w:vAlign w:val="bottom"/>
            <w:hideMark/>
          </w:tcPr>
          <w:p w14:paraId="1E570D81"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≥80</w:t>
            </w:r>
          </w:p>
        </w:tc>
      </w:tr>
      <w:tr w:rsidR="003C4EE5" w:rsidRPr="002637AB" w14:paraId="363AB1D2" w14:textId="77777777" w:rsidTr="003C4EE5">
        <w:trPr>
          <w:trHeight w:val="289"/>
        </w:trPr>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F31760" w14:textId="77777777" w:rsidR="003C4EE5" w:rsidRPr="002637AB" w:rsidRDefault="003C4EE5" w:rsidP="003C4EE5">
            <w:pPr>
              <w:spacing w:after="0" w:line="240" w:lineRule="auto"/>
              <w:ind w:left="0"/>
              <w:jc w:val="left"/>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OTB</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D47A6C" w14:textId="77777777" w:rsidR="003C4EE5" w:rsidRPr="002637AB" w:rsidRDefault="003C4EE5" w:rsidP="003C4EE5">
            <w:pPr>
              <w:spacing w:after="0" w:line="240" w:lineRule="auto"/>
              <w:ind w:left="0"/>
              <w:jc w:val="left"/>
              <w:rPr>
                <w:rFonts w:ascii="Calibri" w:eastAsia="Times New Roman" w:hAnsi="Calibri" w:cs="Times New Roman"/>
                <w:color w:val="000000"/>
                <w:sz w:val="20"/>
                <w:szCs w:val="20"/>
                <w:lang w:eastAsia="en-GB"/>
              </w:rPr>
            </w:pPr>
            <w:r w:rsidRPr="002637AB">
              <w:rPr>
                <w:rFonts w:ascii="Calibri" w:eastAsia="Times New Roman" w:hAnsi="Calibri" w:cs="Times New Roman"/>
                <w:color w:val="000000"/>
                <w:sz w:val="20"/>
                <w:szCs w:val="20"/>
                <w:lang w:eastAsia="en-GB"/>
              </w:rPr>
              <w:t>Cuttlefish</w:t>
            </w:r>
          </w:p>
        </w:tc>
        <w:tc>
          <w:tcPr>
            <w:tcW w:w="1061" w:type="dxa"/>
            <w:tcBorders>
              <w:top w:val="nil"/>
              <w:left w:val="nil"/>
              <w:bottom w:val="single" w:sz="4" w:space="0" w:color="auto"/>
              <w:right w:val="single" w:sz="4" w:space="0" w:color="auto"/>
            </w:tcBorders>
            <w:shd w:val="clear" w:color="auto" w:fill="auto"/>
            <w:vAlign w:val="bottom"/>
            <w:hideMark/>
          </w:tcPr>
          <w:p w14:paraId="5A692BB8"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1.17</w:t>
            </w:r>
          </w:p>
        </w:tc>
        <w:tc>
          <w:tcPr>
            <w:tcW w:w="1281" w:type="dxa"/>
            <w:tcBorders>
              <w:top w:val="nil"/>
              <w:left w:val="nil"/>
              <w:bottom w:val="single" w:sz="4" w:space="0" w:color="auto"/>
              <w:right w:val="single" w:sz="4" w:space="0" w:color="auto"/>
            </w:tcBorders>
            <w:shd w:val="clear" w:color="auto" w:fill="auto"/>
            <w:vAlign w:val="bottom"/>
            <w:hideMark/>
          </w:tcPr>
          <w:p w14:paraId="0FBF16D0"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1.65</w:t>
            </w:r>
          </w:p>
        </w:tc>
        <w:tc>
          <w:tcPr>
            <w:tcW w:w="973" w:type="dxa"/>
            <w:tcBorders>
              <w:top w:val="nil"/>
              <w:left w:val="nil"/>
              <w:bottom w:val="single" w:sz="4" w:space="0" w:color="auto"/>
              <w:right w:val="single" w:sz="4" w:space="0" w:color="auto"/>
            </w:tcBorders>
            <w:shd w:val="clear" w:color="auto" w:fill="auto"/>
            <w:vAlign w:val="bottom"/>
            <w:hideMark/>
          </w:tcPr>
          <w:p w14:paraId="30DAE701"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2.02</w:t>
            </w:r>
          </w:p>
        </w:tc>
        <w:tc>
          <w:tcPr>
            <w:tcW w:w="1000" w:type="dxa"/>
            <w:tcBorders>
              <w:top w:val="nil"/>
              <w:left w:val="nil"/>
              <w:bottom w:val="single" w:sz="4" w:space="0" w:color="auto"/>
              <w:right w:val="single" w:sz="4" w:space="0" w:color="auto"/>
            </w:tcBorders>
            <w:shd w:val="clear" w:color="auto" w:fill="auto"/>
            <w:vAlign w:val="bottom"/>
            <w:hideMark/>
          </w:tcPr>
          <w:p w14:paraId="58DCE91A"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2.02</w:t>
            </w:r>
          </w:p>
        </w:tc>
        <w:tc>
          <w:tcPr>
            <w:tcW w:w="988" w:type="dxa"/>
            <w:tcBorders>
              <w:top w:val="nil"/>
              <w:left w:val="nil"/>
              <w:bottom w:val="single" w:sz="4" w:space="0" w:color="auto"/>
              <w:right w:val="single" w:sz="4" w:space="0" w:color="auto"/>
            </w:tcBorders>
            <w:shd w:val="clear" w:color="auto" w:fill="auto"/>
            <w:vAlign w:val="bottom"/>
            <w:hideMark/>
          </w:tcPr>
          <w:p w14:paraId="2DE77F2F"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95</w:t>
            </w:r>
          </w:p>
        </w:tc>
        <w:tc>
          <w:tcPr>
            <w:tcW w:w="996" w:type="dxa"/>
            <w:tcBorders>
              <w:top w:val="nil"/>
              <w:left w:val="nil"/>
              <w:bottom w:val="single" w:sz="4" w:space="0" w:color="auto"/>
              <w:right w:val="single" w:sz="4" w:space="0" w:color="auto"/>
            </w:tcBorders>
            <w:shd w:val="clear" w:color="000000" w:fill="92D050"/>
            <w:vAlign w:val="bottom"/>
            <w:hideMark/>
          </w:tcPr>
          <w:p w14:paraId="250707C4"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Low</w:t>
            </w:r>
          </w:p>
        </w:tc>
        <w:tc>
          <w:tcPr>
            <w:tcW w:w="1001" w:type="dxa"/>
            <w:tcBorders>
              <w:top w:val="nil"/>
              <w:left w:val="nil"/>
              <w:bottom w:val="single" w:sz="4" w:space="0" w:color="auto"/>
              <w:right w:val="single" w:sz="4" w:space="0" w:color="auto"/>
            </w:tcBorders>
            <w:shd w:val="clear" w:color="000000" w:fill="92D050"/>
            <w:vAlign w:val="bottom"/>
            <w:hideMark/>
          </w:tcPr>
          <w:p w14:paraId="19C1ADF1"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≥80</w:t>
            </w:r>
          </w:p>
        </w:tc>
      </w:tr>
      <w:tr w:rsidR="003C4EE5" w:rsidRPr="002637AB" w14:paraId="2C1BD559" w14:textId="77777777" w:rsidTr="003C4EE5">
        <w:trPr>
          <w:trHeight w:val="289"/>
        </w:trPr>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C492C5" w14:textId="77777777" w:rsidR="003C4EE5" w:rsidRPr="002637AB" w:rsidRDefault="003C4EE5" w:rsidP="003C4EE5">
            <w:pPr>
              <w:spacing w:after="0" w:line="240" w:lineRule="auto"/>
              <w:ind w:left="0"/>
              <w:jc w:val="left"/>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OTB</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3F3C01" w14:textId="77777777" w:rsidR="003C4EE5" w:rsidRPr="002637AB" w:rsidRDefault="003C4EE5" w:rsidP="003C4EE5">
            <w:pPr>
              <w:spacing w:after="0" w:line="240" w:lineRule="auto"/>
              <w:ind w:left="0"/>
              <w:jc w:val="left"/>
              <w:rPr>
                <w:rFonts w:ascii="Calibri" w:eastAsia="Times New Roman" w:hAnsi="Calibri" w:cs="Times New Roman"/>
                <w:color w:val="000000"/>
                <w:sz w:val="20"/>
                <w:szCs w:val="20"/>
                <w:lang w:eastAsia="en-GB"/>
              </w:rPr>
            </w:pPr>
            <w:r w:rsidRPr="002637AB">
              <w:rPr>
                <w:rFonts w:ascii="Calibri" w:eastAsia="Times New Roman" w:hAnsi="Calibri" w:cs="Times New Roman"/>
                <w:color w:val="000000"/>
                <w:sz w:val="20"/>
                <w:szCs w:val="20"/>
                <w:lang w:eastAsia="en-GB"/>
              </w:rPr>
              <w:t>Lemon sole</w:t>
            </w:r>
          </w:p>
        </w:tc>
        <w:tc>
          <w:tcPr>
            <w:tcW w:w="1061" w:type="dxa"/>
            <w:tcBorders>
              <w:top w:val="nil"/>
              <w:left w:val="nil"/>
              <w:bottom w:val="single" w:sz="4" w:space="0" w:color="auto"/>
              <w:right w:val="single" w:sz="4" w:space="0" w:color="auto"/>
            </w:tcBorders>
            <w:shd w:val="clear" w:color="auto" w:fill="auto"/>
            <w:vAlign w:val="bottom"/>
            <w:hideMark/>
          </w:tcPr>
          <w:p w14:paraId="08ED9AD4"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1.43</w:t>
            </w:r>
          </w:p>
        </w:tc>
        <w:tc>
          <w:tcPr>
            <w:tcW w:w="1281" w:type="dxa"/>
            <w:tcBorders>
              <w:top w:val="nil"/>
              <w:left w:val="nil"/>
              <w:bottom w:val="single" w:sz="4" w:space="0" w:color="auto"/>
              <w:right w:val="single" w:sz="4" w:space="0" w:color="auto"/>
            </w:tcBorders>
            <w:shd w:val="clear" w:color="auto" w:fill="auto"/>
            <w:vAlign w:val="bottom"/>
            <w:hideMark/>
          </w:tcPr>
          <w:p w14:paraId="1E596DCA"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1.88</w:t>
            </w:r>
          </w:p>
        </w:tc>
        <w:tc>
          <w:tcPr>
            <w:tcW w:w="973" w:type="dxa"/>
            <w:tcBorders>
              <w:top w:val="nil"/>
              <w:left w:val="nil"/>
              <w:bottom w:val="single" w:sz="4" w:space="0" w:color="auto"/>
              <w:right w:val="single" w:sz="4" w:space="0" w:color="auto"/>
            </w:tcBorders>
            <w:shd w:val="clear" w:color="auto" w:fill="auto"/>
            <w:vAlign w:val="bottom"/>
            <w:hideMark/>
          </w:tcPr>
          <w:p w14:paraId="67D5AFC1"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2.36</w:t>
            </w:r>
          </w:p>
        </w:tc>
        <w:tc>
          <w:tcPr>
            <w:tcW w:w="1000" w:type="dxa"/>
            <w:tcBorders>
              <w:top w:val="nil"/>
              <w:left w:val="nil"/>
              <w:bottom w:val="single" w:sz="4" w:space="0" w:color="auto"/>
              <w:right w:val="single" w:sz="4" w:space="0" w:color="auto"/>
            </w:tcBorders>
            <w:shd w:val="clear" w:color="auto" w:fill="auto"/>
            <w:vAlign w:val="bottom"/>
            <w:hideMark/>
          </w:tcPr>
          <w:p w14:paraId="0BC462FF"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2.36</w:t>
            </w:r>
          </w:p>
        </w:tc>
        <w:tc>
          <w:tcPr>
            <w:tcW w:w="988" w:type="dxa"/>
            <w:tcBorders>
              <w:top w:val="nil"/>
              <w:left w:val="nil"/>
              <w:bottom w:val="single" w:sz="4" w:space="0" w:color="auto"/>
              <w:right w:val="single" w:sz="4" w:space="0" w:color="auto"/>
            </w:tcBorders>
            <w:shd w:val="clear" w:color="auto" w:fill="auto"/>
            <w:vAlign w:val="bottom"/>
            <w:hideMark/>
          </w:tcPr>
          <w:p w14:paraId="081688FD"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89</w:t>
            </w:r>
          </w:p>
        </w:tc>
        <w:tc>
          <w:tcPr>
            <w:tcW w:w="996" w:type="dxa"/>
            <w:tcBorders>
              <w:top w:val="nil"/>
              <w:left w:val="nil"/>
              <w:bottom w:val="single" w:sz="4" w:space="0" w:color="auto"/>
              <w:right w:val="single" w:sz="4" w:space="0" w:color="auto"/>
            </w:tcBorders>
            <w:shd w:val="clear" w:color="000000" w:fill="92D050"/>
            <w:vAlign w:val="bottom"/>
            <w:hideMark/>
          </w:tcPr>
          <w:p w14:paraId="6391F5CD"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Low</w:t>
            </w:r>
          </w:p>
        </w:tc>
        <w:tc>
          <w:tcPr>
            <w:tcW w:w="1001" w:type="dxa"/>
            <w:tcBorders>
              <w:top w:val="nil"/>
              <w:left w:val="nil"/>
              <w:bottom w:val="single" w:sz="4" w:space="0" w:color="auto"/>
              <w:right w:val="single" w:sz="4" w:space="0" w:color="auto"/>
            </w:tcBorders>
            <w:shd w:val="clear" w:color="000000" w:fill="92D050"/>
            <w:vAlign w:val="bottom"/>
            <w:hideMark/>
          </w:tcPr>
          <w:p w14:paraId="718F9389"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≥80</w:t>
            </w:r>
          </w:p>
        </w:tc>
      </w:tr>
      <w:tr w:rsidR="003C4EE5" w:rsidRPr="002637AB" w14:paraId="1B1E4E7F" w14:textId="77777777" w:rsidTr="003C4EE5">
        <w:trPr>
          <w:trHeight w:val="289"/>
        </w:trPr>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D4846F" w14:textId="77777777" w:rsidR="003C4EE5" w:rsidRPr="002637AB" w:rsidRDefault="003C4EE5" w:rsidP="003C4EE5">
            <w:pPr>
              <w:spacing w:after="0" w:line="240" w:lineRule="auto"/>
              <w:ind w:left="0"/>
              <w:jc w:val="left"/>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OTB</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E96CA4" w14:textId="77777777" w:rsidR="003C4EE5" w:rsidRPr="002637AB" w:rsidRDefault="003C4EE5" w:rsidP="003C4EE5">
            <w:pPr>
              <w:spacing w:after="0" w:line="240" w:lineRule="auto"/>
              <w:ind w:left="0"/>
              <w:jc w:val="left"/>
              <w:rPr>
                <w:rFonts w:ascii="Calibri" w:eastAsia="Times New Roman" w:hAnsi="Calibri" w:cs="Times New Roman"/>
                <w:color w:val="000000"/>
                <w:sz w:val="20"/>
                <w:szCs w:val="20"/>
                <w:lang w:eastAsia="en-GB"/>
              </w:rPr>
            </w:pPr>
            <w:r w:rsidRPr="002637AB">
              <w:rPr>
                <w:rFonts w:ascii="Calibri" w:eastAsia="Times New Roman" w:hAnsi="Calibri" w:cs="Times New Roman"/>
                <w:color w:val="000000"/>
                <w:sz w:val="20"/>
                <w:szCs w:val="20"/>
                <w:lang w:eastAsia="en-GB"/>
              </w:rPr>
              <w:t>Megrim</w:t>
            </w:r>
          </w:p>
        </w:tc>
        <w:tc>
          <w:tcPr>
            <w:tcW w:w="1061" w:type="dxa"/>
            <w:tcBorders>
              <w:top w:val="nil"/>
              <w:left w:val="nil"/>
              <w:bottom w:val="single" w:sz="4" w:space="0" w:color="auto"/>
              <w:right w:val="single" w:sz="4" w:space="0" w:color="auto"/>
            </w:tcBorders>
            <w:shd w:val="clear" w:color="auto" w:fill="auto"/>
            <w:vAlign w:val="bottom"/>
            <w:hideMark/>
          </w:tcPr>
          <w:p w14:paraId="2EF9B302"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1.43</w:t>
            </w:r>
          </w:p>
        </w:tc>
        <w:tc>
          <w:tcPr>
            <w:tcW w:w="1281" w:type="dxa"/>
            <w:tcBorders>
              <w:top w:val="nil"/>
              <w:left w:val="nil"/>
              <w:bottom w:val="single" w:sz="4" w:space="0" w:color="auto"/>
              <w:right w:val="single" w:sz="4" w:space="0" w:color="auto"/>
            </w:tcBorders>
            <w:shd w:val="clear" w:color="auto" w:fill="auto"/>
            <w:vAlign w:val="bottom"/>
            <w:hideMark/>
          </w:tcPr>
          <w:p w14:paraId="3C552F11"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1.88</w:t>
            </w:r>
          </w:p>
        </w:tc>
        <w:tc>
          <w:tcPr>
            <w:tcW w:w="973" w:type="dxa"/>
            <w:tcBorders>
              <w:top w:val="nil"/>
              <w:left w:val="nil"/>
              <w:bottom w:val="single" w:sz="4" w:space="0" w:color="auto"/>
              <w:right w:val="single" w:sz="4" w:space="0" w:color="auto"/>
            </w:tcBorders>
            <w:shd w:val="clear" w:color="auto" w:fill="auto"/>
            <w:vAlign w:val="bottom"/>
            <w:hideMark/>
          </w:tcPr>
          <w:p w14:paraId="2AFB62C3"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2.36</w:t>
            </w:r>
          </w:p>
        </w:tc>
        <w:tc>
          <w:tcPr>
            <w:tcW w:w="1000" w:type="dxa"/>
            <w:tcBorders>
              <w:top w:val="nil"/>
              <w:left w:val="nil"/>
              <w:bottom w:val="single" w:sz="4" w:space="0" w:color="auto"/>
              <w:right w:val="single" w:sz="4" w:space="0" w:color="auto"/>
            </w:tcBorders>
            <w:shd w:val="clear" w:color="auto" w:fill="auto"/>
            <w:vAlign w:val="bottom"/>
            <w:hideMark/>
          </w:tcPr>
          <w:p w14:paraId="0908A68A"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2.36</w:t>
            </w:r>
          </w:p>
        </w:tc>
        <w:tc>
          <w:tcPr>
            <w:tcW w:w="988" w:type="dxa"/>
            <w:tcBorders>
              <w:top w:val="nil"/>
              <w:left w:val="nil"/>
              <w:bottom w:val="single" w:sz="4" w:space="0" w:color="auto"/>
              <w:right w:val="single" w:sz="4" w:space="0" w:color="auto"/>
            </w:tcBorders>
            <w:shd w:val="clear" w:color="auto" w:fill="auto"/>
            <w:vAlign w:val="bottom"/>
            <w:hideMark/>
          </w:tcPr>
          <w:p w14:paraId="2BE9AB7D"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89</w:t>
            </w:r>
          </w:p>
        </w:tc>
        <w:tc>
          <w:tcPr>
            <w:tcW w:w="996" w:type="dxa"/>
            <w:tcBorders>
              <w:top w:val="nil"/>
              <w:left w:val="nil"/>
              <w:bottom w:val="single" w:sz="4" w:space="0" w:color="auto"/>
              <w:right w:val="single" w:sz="4" w:space="0" w:color="auto"/>
            </w:tcBorders>
            <w:shd w:val="clear" w:color="000000" w:fill="92D050"/>
            <w:vAlign w:val="bottom"/>
            <w:hideMark/>
          </w:tcPr>
          <w:p w14:paraId="3E64AC75"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Low</w:t>
            </w:r>
          </w:p>
        </w:tc>
        <w:tc>
          <w:tcPr>
            <w:tcW w:w="1001" w:type="dxa"/>
            <w:tcBorders>
              <w:top w:val="nil"/>
              <w:left w:val="nil"/>
              <w:bottom w:val="single" w:sz="4" w:space="0" w:color="auto"/>
              <w:right w:val="single" w:sz="4" w:space="0" w:color="auto"/>
            </w:tcBorders>
            <w:shd w:val="clear" w:color="000000" w:fill="92D050"/>
            <w:vAlign w:val="bottom"/>
            <w:hideMark/>
          </w:tcPr>
          <w:p w14:paraId="3738DA5F"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≥80</w:t>
            </w:r>
          </w:p>
        </w:tc>
      </w:tr>
      <w:tr w:rsidR="003C4EE5" w:rsidRPr="002637AB" w14:paraId="707B1AFD" w14:textId="77777777" w:rsidTr="003C4EE5">
        <w:trPr>
          <w:trHeight w:val="289"/>
        </w:trPr>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B62BC2" w14:textId="77777777" w:rsidR="003C4EE5" w:rsidRPr="002637AB" w:rsidRDefault="003C4EE5" w:rsidP="003C4EE5">
            <w:pPr>
              <w:spacing w:after="0" w:line="240" w:lineRule="auto"/>
              <w:ind w:left="0"/>
              <w:jc w:val="left"/>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OTB</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B9B893" w14:textId="77777777" w:rsidR="003C4EE5" w:rsidRPr="002637AB" w:rsidRDefault="003C4EE5" w:rsidP="003C4EE5">
            <w:pPr>
              <w:spacing w:after="0" w:line="240" w:lineRule="auto"/>
              <w:ind w:left="0"/>
              <w:jc w:val="left"/>
              <w:rPr>
                <w:rFonts w:ascii="Calibri" w:eastAsia="Times New Roman" w:hAnsi="Calibri" w:cs="Times New Roman"/>
                <w:color w:val="000000"/>
                <w:sz w:val="20"/>
                <w:szCs w:val="20"/>
                <w:lang w:eastAsia="en-GB"/>
              </w:rPr>
            </w:pPr>
            <w:r w:rsidRPr="002637AB">
              <w:rPr>
                <w:rFonts w:ascii="Calibri" w:eastAsia="Times New Roman" w:hAnsi="Calibri" w:cs="Times New Roman"/>
                <w:color w:val="000000"/>
                <w:sz w:val="20"/>
                <w:szCs w:val="20"/>
                <w:lang w:eastAsia="en-GB"/>
              </w:rPr>
              <w:t>European plaice</w:t>
            </w:r>
          </w:p>
        </w:tc>
        <w:tc>
          <w:tcPr>
            <w:tcW w:w="1061" w:type="dxa"/>
            <w:tcBorders>
              <w:top w:val="nil"/>
              <w:left w:val="nil"/>
              <w:bottom w:val="single" w:sz="4" w:space="0" w:color="auto"/>
              <w:right w:val="single" w:sz="4" w:space="0" w:color="auto"/>
            </w:tcBorders>
            <w:shd w:val="clear" w:color="auto" w:fill="auto"/>
            <w:vAlign w:val="bottom"/>
            <w:hideMark/>
          </w:tcPr>
          <w:p w14:paraId="6EEAA60F"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1.43</w:t>
            </w:r>
          </w:p>
        </w:tc>
        <w:tc>
          <w:tcPr>
            <w:tcW w:w="1281" w:type="dxa"/>
            <w:tcBorders>
              <w:top w:val="nil"/>
              <w:left w:val="nil"/>
              <w:bottom w:val="single" w:sz="4" w:space="0" w:color="auto"/>
              <w:right w:val="single" w:sz="4" w:space="0" w:color="auto"/>
            </w:tcBorders>
            <w:shd w:val="clear" w:color="auto" w:fill="auto"/>
            <w:vAlign w:val="bottom"/>
            <w:hideMark/>
          </w:tcPr>
          <w:p w14:paraId="3AF1724E"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1.43</w:t>
            </w:r>
          </w:p>
        </w:tc>
        <w:tc>
          <w:tcPr>
            <w:tcW w:w="973" w:type="dxa"/>
            <w:tcBorders>
              <w:top w:val="nil"/>
              <w:left w:val="nil"/>
              <w:bottom w:val="single" w:sz="4" w:space="0" w:color="auto"/>
              <w:right w:val="single" w:sz="4" w:space="0" w:color="auto"/>
            </w:tcBorders>
            <w:shd w:val="clear" w:color="auto" w:fill="auto"/>
            <w:vAlign w:val="bottom"/>
            <w:hideMark/>
          </w:tcPr>
          <w:p w14:paraId="5BBAE0B1"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2.02</w:t>
            </w:r>
          </w:p>
        </w:tc>
        <w:tc>
          <w:tcPr>
            <w:tcW w:w="1000" w:type="dxa"/>
            <w:tcBorders>
              <w:top w:val="nil"/>
              <w:left w:val="nil"/>
              <w:bottom w:val="single" w:sz="4" w:space="0" w:color="auto"/>
              <w:right w:val="single" w:sz="4" w:space="0" w:color="auto"/>
            </w:tcBorders>
            <w:shd w:val="clear" w:color="auto" w:fill="auto"/>
            <w:vAlign w:val="bottom"/>
            <w:hideMark/>
          </w:tcPr>
          <w:p w14:paraId="2B4AD5A5"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2.02</w:t>
            </w:r>
          </w:p>
        </w:tc>
        <w:tc>
          <w:tcPr>
            <w:tcW w:w="988" w:type="dxa"/>
            <w:tcBorders>
              <w:top w:val="nil"/>
              <w:left w:val="nil"/>
              <w:bottom w:val="single" w:sz="4" w:space="0" w:color="auto"/>
              <w:right w:val="single" w:sz="4" w:space="0" w:color="auto"/>
            </w:tcBorders>
            <w:shd w:val="clear" w:color="auto" w:fill="auto"/>
            <w:vAlign w:val="bottom"/>
            <w:hideMark/>
          </w:tcPr>
          <w:p w14:paraId="70F2F1A1"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95</w:t>
            </w:r>
          </w:p>
        </w:tc>
        <w:tc>
          <w:tcPr>
            <w:tcW w:w="996" w:type="dxa"/>
            <w:tcBorders>
              <w:top w:val="nil"/>
              <w:left w:val="nil"/>
              <w:bottom w:val="single" w:sz="4" w:space="0" w:color="auto"/>
              <w:right w:val="single" w:sz="4" w:space="0" w:color="auto"/>
            </w:tcBorders>
            <w:shd w:val="clear" w:color="000000" w:fill="92D050"/>
            <w:vAlign w:val="bottom"/>
            <w:hideMark/>
          </w:tcPr>
          <w:p w14:paraId="332CB3C3"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Low</w:t>
            </w:r>
          </w:p>
        </w:tc>
        <w:tc>
          <w:tcPr>
            <w:tcW w:w="1001" w:type="dxa"/>
            <w:tcBorders>
              <w:top w:val="nil"/>
              <w:left w:val="nil"/>
              <w:bottom w:val="single" w:sz="4" w:space="0" w:color="auto"/>
              <w:right w:val="single" w:sz="4" w:space="0" w:color="auto"/>
            </w:tcBorders>
            <w:shd w:val="clear" w:color="000000" w:fill="92D050"/>
            <w:vAlign w:val="bottom"/>
            <w:hideMark/>
          </w:tcPr>
          <w:p w14:paraId="54F9067F"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≥80</w:t>
            </w:r>
          </w:p>
        </w:tc>
      </w:tr>
      <w:tr w:rsidR="003C4EE5" w:rsidRPr="002637AB" w14:paraId="64F66AFB" w14:textId="77777777" w:rsidTr="003C4EE5">
        <w:trPr>
          <w:trHeight w:val="289"/>
        </w:trPr>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C7487B" w14:textId="77777777" w:rsidR="003C4EE5" w:rsidRPr="002637AB" w:rsidRDefault="003C4EE5" w:rsidP="003C4EE5">
            <w:pPr>
              <w:spacing w:after="0" w:line="240" w:lineRule="auto"/>
              <w:ind w:left="0"/>
              <w:jc w:val="left"/>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OTB</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34782B" w14:textId="77777777" w:rsidR="003C4EE5" w:rsidRPr="002637AB" w:rsidRDefault="003C4EE5" w:rsidP="003C4EE5">
            <w:pPr>
              <w:spacing w:after="0" w:line="240" w:lineRule="auto"/>
              <w:ind w:left="0"/>
              <w:jc w:val="left"/>
              <w:rPr>
                <w:rFonts w:ascii="Calibri" w:eastAsia="Times New Roman" w:hAnsi="Calibri" w:cs="Times New Roman"/>
                <w:color w:val="000000"/>
                <w:sz w:val="20"/>
                <w:szCs w:val="20"/>
                <w:lang w:eastAsia="en-GB"/>
              </w:rPr>
            </w:pPr>
            <w:r w:rsidRPr="002637AB">
              <w:rPr>
                <w:rFonts w:ascii="Calibri" w:eastAsia="Times New Roman" w:hAnsi="Calibri" w:cs="Times New Roman"/>
                <w:color w:val="000000"/>
                <w:sz w:val="20"/>
                <w:szCs w:val="20"/>
                <w:lang w:eastAsia="en-GB"/>
              </w:rPr>
              <w:t>Gurnards</w:t>
            </w:r>
          </w:p>
        </w:tc>
        <w:tc>
          <w:tcPr>
            <w:tcW w:w="1061" w:type="dxa"/>
            <w:tcBorders>
              <w:top w:val="nil"/>
              <w:left w:val="nil"/>
              <w:bottom w:val="single" w:sz="4" w:space="0" w:color="auto"/>
              <w:right w:val="single" w:sz="4" w:space="0" w:color="auto"/>
            </w:tcBorders>
            <w:shd w:val="clear" w:color="auto" w:fill="auto"/>
            <w:vAlign w:val="bottom"/>
            <w:hideMark/>
          </w:tcPr>
          <w:p w14:paraId="74F2C928"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1.43</w:t>
            </w:r>
          </w:p>
        </w:tc>
        <w:tc>
          <w:tcPr>
            <w:tcW w:w="1281" w:type="dxa"/>
            <w:tcBorders>
              <w:top w:val="nil"/>
              <w:left w:val="nil"/>
              <w:bottom w:val="single" w:sz="4" w:space="0" w:color="auto"/>
              <w:right w:val="single" w:sz="4" w:space="0" w:color="auto"/>
            </w:tcBorders>
            <w:shd w:val="clear" w:color="auto" w:fill="auto"/>
            <w:vAlign w:val="bottom"/>
            <w:hideMark/>
          </w:tcPr>
          <w:p w14:paraId="211C04EF"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2.33</w:t>
            </w:r>
          </w:p>
        </w:tc>
        <w:tc>
          <w:tcPr>
            <w:tcW w:w="973" w:type="dxa"/>
            <w:tcBorders>
              <w:top w:val="nil"/>
              <w:left w:val="nil"/>
              <w:bottom w:val="single" w:sz="4" w:space="0" w:color="auto"/>
              <w:right w:val="single" w:sz="4" w:space="0" w:color="auto"/>
            </w:tcBorders>
            <w:shd w:val="clear" w:color="auto" w:fill="auto"/>
            <w:vAlign w:val="bottom"/>
            <w:hideMark/>
          </w:tcPr>
          <w:p w14:paraId="4AF612F9"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2.73</w:t>
            </w:r>
          </w:p>
        </w:tc>
        <w:tc>
          <w:tcPr>
            <w:tcW w:w="1000" w:type="dxa"/>
            <w:tcBorders>
              <w:top w:val="nil"/>
              <w:left w:val="nil"/>
              <w:bottom w:val="single" w:sz="4" w:space="0" w:color="auto"/>
              <w:right w:val="single" w:sz="4" w:space="0" w:color="auto"/>
            </w:tcBorders>
            <w:shd w:val="clear" w:color="auto" w:fill="auto"/>
            <w:vAlign w:val="bottom"/>
            <w:hideMark/>
          </w:tcPr>
          <w:p w14:paraId="5D42C59A"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2.73</w:t>
            </w:r>
          </w:p>
        </w:tc>
        <w:tc>
          <w:tcPr>
            <w:tcW w:w="988" w:type="dxa"/>
            <w:tcBorders>
              <w:top w:val="nil"/>
              <w:left w:val="nil"/>
              <w:bottom w:val="single" w:sz="4" w:space="0" w:color="auto"/>
              <w:right w:val="single" w:sz="4" w:space="0" w:color="auto"/>
            </w:tcBorders>
            <w:shd w:val="clear" w:color="auto" w:fill="auto"/>
            <w:vAlign w:val="bottom"/>
            <w:hideMark/>
          </w:tcPr>
          <w:p w14:paraId="65A39B68"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81</w:t>
            </w:r>
          </w:p>
        </w:tc>
        <w:tc>
          <w:tcPr>
            <w:tcW w:w="996" w:type="dxa"/>
            <w:tcBorders>
              <w:top w:val="nil"/>
              <w:left w:val="nil"/>
              <w:bottom w:val="single" w:sz="4" w:space="0" w:color="auto"/>
              <w:right w:val="single" w:sz="4" w:space="0" w:color="auto"/>
            </w:tcBorders>
            <w:shd w:val="clear" w:color="000000" w:fill="92D050"/>
            <w:vAlign w:val="bottom"/>
            <w:hideMark/>
          </w:tcPr>
          <w:p w14:paraId="508DC54A"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Low</w:t>
            </w:r>
          </w:p>
        </w:tc>
        <w:tc>
          <w:tcPr>
            <w:tcW w:w="1001" w:type="dxa"/>
            <w:tcBorders>
              <w:top w:val="nil"/>
              <w:left w:val="nil"/>
              <w:bottom w:val="single" w:sz="4" w:space="0" w:color="auto"/>
              <w:right w:val="single" w:sz="4" w:space="0" w:color="auto"/>
            </w:tcBorders>
            <w:shd w:val="clear" w:color="000000" w:fill="92D050"/>
            <w:vAlign w:val="bottom"/>
            <w:hideMark/>
          </w:tcPr>
          <w:p w14:paraId="69D67FEC"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≥80</w:t>
            </w:r>
          </w:p>
        </w:tc>
      </w:tr>
      <w:tr w:rsidR="003C4EE5" w:rsidRPr="002637AB" w14:paraId="02DD1E8E" w14:textId="77777777" w:rsidTr="003C4EE5">
        <w:trPr>
          <w:trHeight w:val="289"/>
        </w:trPr>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730EC0" w14:textId="77777777" w:rsidR="003C4EE5" w:rsidRPr="002637AB" w:rsidRDefault="003C4EE5" w:rsidP="003C4EE5">
            <w:pPr>
              <w:spacing w:after="0" w:line="240" w:lineRule="auto"/>
              <w:ind w:left="0"/>
              <w:jc w:val="left"/>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OTB</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09C759" w14:textId="77777777" w:rsidR="003C4EE5" w:rsidRPr="002637AB" w:rsidRDefault="003C4EE5" w:rsidP="003C4EE5">
            <w:pPr>
              <w:spacing w:after="0" w:line="240" w:lineRule="auto"/>
              <w:ind w:left="0"/>
              <w:jc w:val="left"/>
              <w:rPr>
                <w:rFonts w:ascii="Calibri" w:eastAsia="Times New Roman" w:hAnsi="Calibri" w:cs="Times New Roman"/>
                <w:color w:val="000000"/>
                <w:sz w:val="20"/>
                <w:szCs w:val="20"/>
                <w:lang w:eastAsia="en-GB"/>
              </w:rPr>
            </w:pPr>
            <w:r w:rsidRPr="002637AB">
              <w:rPr>
                <w:rFonts w:ascii="Calibri" w:eastAsia="Times New Roman" w:hAnsi="Calibri" w:cs="Times New Roman"/>
                <w:color w:val="000000"/>
                <w:sz w:val="20"/>
                <w:szCs w:val="20"/>
                <w:lang w:eastAsia="en-GB"/>
              </w:rPr>
              <w:t>Lesser spotted dogfish</w:t>
            </w:r>
          </w:p>
        </w:tc>
        <w:tc>
          <w:tcPr>
            <w:tcW w:w="1061" w:type="dxa"/>
            <w:tcBorders>
              <w:top w:val="nil"/>
              <w:left w:val="nil"/>
              <w:bottom w:val="single" w:sz="4" w:space="0" w:color="auto"/>
              <w:right w:val="single" w:sz="4" w:space="0" w:color="auto"/>
            </w:tcBorders>
            <w:shd w:val="clear" w:color="auto" w:fill="auto"/>
            <w:vAlign w:val="bottom"/>
            <w:hideMark/>
          </w:tcPr>
          <w:p w14:paraId="233174E1"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2.29</w:t>
            </w:r>
          </w:p>
        </w:tc>
        <w:tc>
          <w:tcPr>
            <w:tcW w:w="1281" w:type="dxa"/>
            <w:tcBorders>
              <w:top w:val="nil"/>
              <w:left w:val="nil"/>
              <w:bottom w:val="single" w:sz="4" w:space="0" w:color="auto"/>
              <w:right w:val="single" w:sz="4" w:space="0" w:color="auto"/>
            </w:tcBorders>
            <w:shd w:val="clear" w:color="auto" w:fill="auto"/>
            <w:vAlign w:val="bottom"/>
            <w:hideMark/>
          </w:tcPr>
          <w:p w14:paraId="3B5DA385"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1.43</w:t>
            </w:r>
          </w:p>
        </w:tc>
        <w:tc>
          <w:tcPr>
            <w:tcW w:w="973" w:type="dxa"/>
            <w:tcBorders>
              <w:top w:val="nil"/>
              <w:left w:val="nil"/>
              <w:bottom w:val="single" w:sz="4" w:space="0" w:color="auto"/>
              <w:right w:val="single" w:sz="4" w:space="0" w:color="auto"/>
            </w:tcBorders>
            <w:shd w:val="clear" w:color="auto" w:fill="auto"/>
            <w:vAlign w:val="bottom"/>
            <w:hideMark/>
          </w:tcPr>
          <w:p w14:paraId="1256FF9C"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2.69</w:t>
            </w:r>
          </w:p>
        </w:tc>
        <w:tc>
          <w:tcPr>
            <w:tcW w:w="1000" w:type="dxa"/>
            <w:tcBorders>
              <w:top w:val="nil"/>
              <w:left w:val="nil"/>
              <w:bottom w:val="single" w:sz="4" w:space="0" w:color="auto"/>
              <w:right w:val="single" w:sz="4" w:space="0" w:color="auto"/>
            </w:tcBorders>
            <w:shd w:val="clear" w:color="auto" w:fill="auto"/>
            <w:vAlign w:val="bottom"/>
            <w:hideMark/>
          </w:tcPr>
          <w:p w14:paraId="2E98B26E"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2.69</w:t>
            </w:r>
          </w:p>
        </w:tc>
        <w:tc>
          <w:tcPr>
            <w:tcW w:w="988" w:type="dxa"/>
            <w:tcBorders>
              <w:top w:val="nil"/>
              <w:left w:val="nil"/>
              <w:bottom w:val="single" w:sz="4" w:space="0" w:color="auto"/>
              <w:right w:val="single" w:sz="4" w:space="0" w:color="auto"/>
            </w:tcBorders>
            <w:shd w:val="clear" w:color="auto" w:fill="auto"/>
            <w:vAlign w:val="bottom"/>
            <w:hideMark/>
          </w:tcPr>
          <w:p w14:paraId="3301E6A0"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82</w:t>
            </w:r>
          </w:p>
        </w:tc>
        <w:tc>
          <w:tcPr>
            <w:tcW w:w="996" w:type="dxa"/>
            <w:tcBorders>
              <w:top w:val="nil"/>
              <w:left w:val="nil"/>
              <w:bottom w:val="single" w:sz="4" w:space="0" w:color="auto"/>
              <w:right w:val="single" w:sz="4" w:space="0" w:color="auto"/>
            </w:tcBorders>
            <w:shd w:val="clear" w:color="000000" w:fill="92D050"/>
            <w:vAlign w:val="bottom"/>
            <w:hideMark/>
          </w:tcPr>
          <w:p w14:paraId="6AF95898"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Low</w:t>
            </w:r>
          </w:p>
        </w:tc>
        <w:tc>
          <w:tcPr>
            <w:tcW w:w="1001" w:type="dxa"/>
            <w:tcBorders>
              <w:top w:val="nil"/>
              <w:left w:val="nil"/>
              <w:bottom w:val="single" w:sz="4" w:space="0" w:color="auto"/>
              <w:right w:val="single" w:sz="4" w:space="0" w:color="auto"/>
            </w:tcBorders>
            <w:shd w:val="clear" w:color="000000" w:fill="92D050"/>
            <w:vAlign w:val="bottom"/>
            <w:hideMark/>
          </w:tcPr>
          <w:p w14:paraId="7AC8C291"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≥80</w:t>
            </w:r>
          </w:p>
        </w:tc>
      </w:tr>
      <w:tr w:rsidR="003C4EE5" w:rsidRPr="002637AB" w14:paraId="1919E283" w14:textId="77777777" w:rsidTr="003C4EE5">
        <w:trPr>
          <w:trHeight w:val="289"/>
        </w:trPr>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E9D405" w14:textId="77777777" w:rsidR="003C4EE5" w:rsidRPr="002637AB" w:rsidRDefault="003C4EE5" w:rsidP="003C4EE5">
            <w:pPr>
              <w:spacing w:after="0" w:line="240" w:lineRule="auto"/>
              <w:ind w:left="0"/>
              <w:jc w:val="left"/>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TBB</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77CAFD" w14:textId="77777777" w:rsidR="003C4EE5" w:rsidRPr="002637AB" w:rsidRDefault="003C4EE5" w:rsidP="003C4EE5">
            <w:pPr>
              <w:spacing w:after="0" w:line="240" w:lineRule="auto"/>
              <w:ind w:left="0"/>
              <w:jc w:val="left"/>
              <w:rPr>
                <w:rFonts w:ascii="Calibri" w:eastAsia="Times New Roman" w:hAnsi="Calibri" w:cs="Times New Roman"/>
                <w:color w:val="000000"/>
                <w:sz w:val="20"/>
                <w:szCs w:val="20"/>
                <w:lang w:eastAsia="en-GB"/>
              </w:rPr>
            </w:pPr>
            <w:r w:rsidRPr="002637AB">
              <w:rPr>
                <w:rFonts w:ascii="Calibri" w:eastAsia="Times New Roman" w:hAnsi="Calibri" w:cs="Times New Roman"/>
                <w:color w:val="000000"/>
                <w:sz w:val="20"/>
                <w:szCs w:val="20"/>
                <w:lang w:eastAsia="en-GB"/>
              </w:rPr>
              <w:t>Cuttlefish</w:t>
            </w:r>
          </w:p>
        </w:tc>
        <w:tc>
          <w:tcPr>
            <w:tcW w:w="1061" w:type="dxa"/>
            <w:tcBorders>
              <w:top w:val="nil"/>
              <w:left w:val="nil"/>
              <w:bottom w:val="single" w:sz="4" w:space="0" w:color="auto"/>
              <w:right w:val="single" w:sz="4" w:space="0" w:color="auto"/>
            </w:tcBorders>
            <w:shd w:val="clear" w:color="auto" w:fill="auto"/>
            <w:vAlign w:val="bottom"/>
            <w:hideMark/>
          </w:tcPr>
          <w:p w14:paraId="6EB33089"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1.17</w:t>
            </w:r>
          </w:p>
        </w:tc>
        <w:tc>
          <w:tcPr>
            <w:tcW w:w="1281" w:type="dxa"/>
            <w:tcBorders>
              <w:top w:val="nil"/>
              <w:left w:val="nil"/>
              <w:bottom w:val="single" w:sz="4" w:space="0" w:color="auto"/>
              <w:right w:val="single" w:sz="4" w:space="0" w:color="auto"/>
            </w:tcBorders>
            <w:shd w:val="clear" w:color="auto" w:fill="auto"/>
            <w:vAlign w:val="bottom"/>
            <w:hideMark/>
          </w:tcPr>
          <w:p w14:paraId="6B59F5CC"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1.65</w:t>
            </w:r>
          </w:p>
        </w:tc>
        <w:tc>
          <w:tcPr>
            <w:tcW w:w="973" w:type="dxa"/>
            <w:tcBorders>
              <w:top w:val="nil"/>
              <w:left w:val="nil"/>
              <w:bottom w:val="single" w:sz="4" w:space="0" w:color="auto"/>
              <w:right w:val="single" w:sz="4" w:space="0" w:color="auto"/>
            </w:tcBorders>
            <w:shd w:val="clear" w:color="auto" w:fill="auto"/>
            <w:vAlign w:val="bottom"/>
            <w:hideMark/>
          </w:tcPr>
          <w:p w14:paraId="75378107"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2.02</w:t>
            </w:r>
          </w:p>
        </w:tc>
        <w:tc>
          <w:tcPr>
            <w:tcW w:w="1000" w:type="dxa"/>
            <w:tcBorders>
              <w:top w:val="nil"/>
              <w:left w:val="nil"/>
              <w:bottom w:val="single" w:sz="4" w:space="0" w:color="auto"/>
              <w:right w:val="single" w:sz="4" w:space="0" w:color="auto"/>
            </w:tcBorders>
            <w:shd w:val="clear" w:color="auto" w:fill="auto"/>
            <w:vAlign w:val="bottom"/>
            <w:hideMark/>
          </w:tcPr>
          <w:p w14:paraId="6D5DD55D"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2.02</w:t>
            </w:r>
          </w:p>
        </w:tc>
        <w:tc>
          <w:tcPr>
            <w:tcW w:w="988" w:type="dxa"/>
            <w:tcBorders>
              <w:top w:val="nil"/>
              <w:left w:val="nil"/>
              <w:bottom w:val="single" w:sz="4" w:space="0" w:color="auto"/>
              <w:right w:val="single" w:sz="4" w:space="0" w:color="auto"/>
            </w:tcBorders>
            <w:shd w:val="clear" w:color="auto" w:fill="auto"/>
            <w:vAlign w:val="bottom"/>
            <w:hideMark/>
          </w:tcPr>
          <w:p w14:paraId="43CF394F"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95</w:t>
            </w:r>
          </w:p>
        </w:tc>
        <w:tc>
          <w:tcPr>
            <w:tcW w:w="996" w:type="dxa"/>
            <w:tcBorders>
              <w:top w:val="nil"/>
              <w:left w:val="nil"/>
              <w:bottom w:val="single" w:sz="4" w:space="0" w:color="auto"/>
              <w:right w:val="single" w:sz="4" w:space="0" w:color="auto"/>
            </w:tcBorders>
            <w:shd w:val="clear" w:color="000000" w:fill="92D050"/>
            <w:vAlign w:val="bottom"/>
            <w:hideMark/>
          </w:tcPr>
          <w:p w14:paraId="7FD67485"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Low</w:t>
            </w:r>
          </w:p>
        </w:tc>
        <w:tc>
          <w:tcPr>
            <w:tcW w:w="1001" w:type="dxa"/>
            <w:tcBorders>
              <w:top w:val="nil"/>
              <w:left w:val="nil"/>
              <w:bottom w:val="single" w:sz="4" w:space="0" w:color="auto"/>
              <w:right w:val="single" w:sz="4" w:space="0" w:color="auto"/>
            </w:tcBorders>
            <w:shd w:val="clear" w:color="000000" w:fill="92D050"/>
            <w:vAlign w:val="bottom"/>
            <w:hideMark/>
          </w:tcPr>
          <w:p w14:paraId="614116F0"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≥80</w:t>
            </w:r>
          </w:p>
        </w:tc>
      </w:tr>
      <w:tr w:rsidR="003C4EE5" w:rsidRPr="002637AB" w14:paraId="650B3F4D" w14:textId="77777777" w:rsidTr="003C4EE5">
        <w:trPr>
          <w:trHeight w:val="289"/>
        </w:trPr>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136F98" w14:textId="77777777" w:rsidR="003C4EE5" w:rsidRPr="002637AB" w:rsidRDefault="003C4EE5" w:rsidP="003C4EE5">
            <w:pPr>
              <w:spacing w:after="0" w:line="240" w:lineRule="auto"/>
              <w:ind w:left="0"/>
              <w:jc w:val="left"/>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TBB</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ACCFF2" w14:textId="77777777" w:rsidR="003C4EE5" w:rsidRPr="002637AB" w:rsidRDefault="003C4EE5" w:rsidP="003C4EE5">
            <w:pPr>
              <w:spacing w:after="0" w:line="240" w:lineRule="auto"/>
              <w:ind w:left="0"/>
              <w:jc w:val="left"/>
              <w:rPr>
                <w:rFonts w:ascii="Calibri" w:eastAsia="Times New Roman" w:hAnsi="Calibri" w:cs="Times New Roman"/>
                <w:color w:val="000000"/>
                <w:sz w:val="20"/>
                <w:szCs w:val="20"/>
                <w:lang w:eastAsia="en-GB"/>
              </w:rPr>
            </w:pPr>
            <w:r w:rsidRPr="002637AB">
              <w:rPr>
                <w:rFonts w:ascii="Calibri" w:eastAsia="Times New Roman" w:hAnsi="Calibri" w:cs="Times New Roman"/>
                <w:color w:val="000000"/>
                <w:sz w:val="20"/>
                <w:szCs w:val="20"/>
                <w:lang w:eastAsia="en-GB"/>
              </w:rPr>
              <w:t>Megrim</w:t>
            </w:r>
          </w:p>
        </w:tc>
        <w:tc>
          <w:tcPr>
            <w:tcW w:w="1061" w:type="dxa"/>
            <w:tcBorders>
              <w:top w:val="nil"/>
              <w:left w:val="nil"/>
              <w:bottom w:val="single" w:sz="4" w:space="0" w:color="auto"/>
              <w:right w:val="single" w:sz="4" w:space="0" w:color="auto"/>
            </w:tcBorders>
            <w:shd w:val="clear" w:color="auto" w:fill="auto"/>
            <w:vAlign w:val="bottom"/>
            <w:hideMark/>
          </w:tcPr>
          <w:p w14:paraId="4DB23375"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1.43</w:t>
            </w:r>
          </w:p>
        </w:tc>
        <w:tc>
          <w:tcPr>
            <w:tcW w:w="1281" w:type="dxa"/>
            <w:tcBorders>
              <w:top w:val="nil"/>
              <w:left w:val="nil"/>
              <w:bottom w:val="single" w:sz="4" w:space="0" w:color="auto"/>
              <w:right w:val="single" w:sz="4" w:space="0" w:color="auto"/>
            </w:tcBorders>
            <w:shd w:val="clear" w:color="auto" w:fill="auto"/>
            <w:vAlign w:val="bottom"/>
            <w:hideMark/>
          </w:tcPr>
          <w:p w14:paraId="486CE05A"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1.88</w:t>
            </w:r>
          </w:p>
        </w:tc>
        <w:tc>
          <w:tcPr>
            <w:tcW w:w="973" w:type="dxa"/>
            <w:tcBorders>
              <w:top w:val="nil"/>
              <w:left w:val="nil"/>
              <w:bottom w:val="single" w:sz="4" w:space="0" w:color="auto"/>
              <w:right w:val="single" w:sz="4" w:space="0" w:color="auto"/>
            </w:tcBorders>
            <w:shd w:val="clear" w:color="auto" w:fill="auto"/>
            <w:vAlign w:val="bottom"/>
            <w:hideMark/>
          </w:tcPr>
          <w:p w14:paraId="13E7B62A"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2.36</w:t>
            </w:r>
          </w:p>
        </w:tc>
        <w:tc>
          <w:tcPr>
            <w:tcW w:w="1000" w:type="dxa"/>
            <w:tcBorders>
              <w:top w:val="nil"/>
              <w:left w:val="nil"/>
              <w:bottom w:val="single" w:sz="4" w:space="0" w:color="auto"/>
              <w:right w:val="single" w:sz="4" w:space="0" w:color="auto"/>
            </w:tcBorders>
            <w:shd w:val="clear" w:color="auto" w:fill="auto"/>
            <w:vAlign w:val="bottom"/>
            <w:hideMark/>
          </w:tcPr>
          <w:p w14:paraId="3B441817"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2.36</w:t>
            </w:r>
          </w:p>
        </w:tc>
        <w:tc>
          <w:tcPr>
            <w:tcW w:w="988" w:type="dxa"/>
            <w:tcBorders>
              <w:top w:val="nil"/>
              <w:left w:val="nil"/>
              <w:bottom w:val="single" w:sz="4" w:space="0" w:color="auto"/>
              <w:right w:val="single" w:sz="4" w:space="0" w:color="auto"/>
            </w:tcBorders>
            <w:shd w:val="clear" w:color="auto" w:fill="auto"/>
            <w:vAlign w:val="bottom"/>
            <w:hideMark/>
          </w:tcPr>
          <w:p w14:paraId="3E5CF1FD"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89</w:t>
            </w:r>
          </w:p>
        </w:tc>
        <w:tc>
          <w:tcPr>
            <w:tcW w:w="996" w:type="dxa"/>
            <w:tcBorders>
              <w:top w:val="nil"/>
              <w:left w:val="nil"/>
              <w:bottom w:val="single" w:sz="4" w:space="0" w:color="auto"/>
              <w:right w:val="single" w:sz="4" w:space="0" w:color="auto"/>
            </w:tcBorders>
            <w:shd w:val="clear" w:color="000000" w:fill="92D050"/>
            <w:vAlign w:val="bottom"/>
            <w:hideMark/>
          </w:tcPr>
          <w:p w14:paraId="0EBC4344"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Low</w:t>
            </w:r>
          </w:p>
        </w:tc>
        <w:tc>
          <w:tcPr>
            <w:tcW w:w="1001" w:type="dxa"/>
            <w:tcBorders>
              <w:top w:val="nil"/>
              <w:left w:val="nil"/>
              <w:bottom w:val="single" w:sz="4" w:space="0" w:color="auto"/>
              <w:right w:val="single" w:sz="4" w:space="0" w:color="auto"/>
            </w:tcBorders>
            <w:shd w:val="clear" w:color="000000" w:fill="92D050"/>
            <w:vAlign w:val="bottom"/>
            <w:hideMark/>
          </w:tcPr>
          <w:p w14:paraId="676D3EB3"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≥80</w:t>
            </w:r>
          </w:p>
        </w:tc>
      </w:tr>
      <w:tr w:rsidR="003C4EE5" w:rsidRPr="002637AB" w14:paraId="0BAF45D6" w14:textId="77777777" w:rsidTr="003C4EE5">
        <w:trPr>
          <w:trHeight w:val="289"/>
        </w:trPr>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886AD9" w14:textId="77777777" w:rsidR="003C4EE5" w:rsidRPr="002637AB" w:rsidRDefault="003C4EE5" w:rsidP="003C4EE5">
            <w:pPr>
              <w:spacing w:after="0" w:line="240" w:lineRule="auto"/>
              <w:ind w:left="0"/>
              <w:jc w:val="left"/>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TBB</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780D07" w14:textId="77777777" w:rsidR="003C4EE5" w:rsidRPr="002637AB" w:rsidRDefault="003C4EE5" w:rsidP="003C4EE5">
            <w:pPr>
              <w:spacing w:after="0" w:line="240" w:lineRule="auto"/>
              <w:ind w:left="0"/>
              <w:jc w:val="left"/>
              <w:rPr>
                <w:rFonts w:ascii="Calibri" w:eastAsia="Times New Roman" w:hAnsi="Calibri" w:cs="Times New Roman"/>
                <w:color w:val="000000"/>
                <w:sz w:val="20"/>
                <w:szCs w:val="20"/>
                <w:lang w:eastAsia="en-GB"/>
              </w:rPr>
            </w:pPr>
            <w:r w:rsidRPr="002637AB">
              <w:rPr>
                <w:rFonts w:ascii="Calibri" w:eastAsia="Times New Roman" w:hAnsi="Calibri" w:cs="Times New Roman"/>
                <w:color w:val="000000"/>
                <w:sz w:val="20"/>
                <w:szCs w:val="20"/>
                <w:lang w:eastAsia="en-GB"/>
              </w:rPr>
              <w:t>European plaice</w:t>
            </w:r>
          </w:p>
        </w:tc>
        <w:tc>
          <w:tcPr>
            <w:tcW w:w="1061" w:type="dxa"/>
            <w:tcBorders>
              <w:top w:val="nil"/>
              <w:left w:val="nil"/>
              <w:bottom w:val="single" w:sz="4" w:space="0" w:color="auto"/>
              <w:right w:val="single" w:sz="4" w:space="0" w:color="auto"/>
            </w:tcBorders>
            <w:shd w:val="clear" w:color="auto" w:fill="auto"/>
            <w:vAlign w:val="bottom"/>
            <w:hideMark/>
          </w:tcPr>
          <w:p w14:paraId="0798ABAD"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1.43</w:t>
            </w:r>
          </w:p>
        </w:tc>
        <w:tc>
          <w:tcPr>
            <w:tcW w:w="1281" w:type="dxa"/>
            <w:tcBorders>
              <w:top w:val="nil"/>
              <w:left w:val="nil"/>
              <w:bottom w:val="single" w:sz="4" w:space="0" w:color="auto"/>
              <w:right w:val="single" w:sz="4" w:space="0" w:color="auto"/>
            </w:tcBorders>
            <w:shd w:val="clear" w:color="auto" w:fill="auto"/>
            <w:vAlign w:val="bottom"/>
            <w:hideMark/>
          </w:tcPr>
          <w:p w14:paraId="06FEAF11"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1.88</w:t>
            </w:r>
          </w:p>
        </w:tc>
        <w:tc>
          <w:tcPr>
            <w:tcW w:w="973" w:type="dxa"/>
            <w:tcBorders>
              <w:top w:val="nil"/>
              <w:left w:val="nil"/>
              <w:bottom w:val="single" w:sz="4" w:space="0" w:color="auto"/>
              <w:right w:val="single" w:sz="4" w:space="0" w:color="auto"/>
            </w:tcBorders>
            <w:shd w:val="clear" w:color="auto" w:fill="auto"/>
            <w:vAlign w:val="bottom"/>
            <w:hideMark/>
          </w:tcPr>
          <w:p w14:paraId="738EE0E3"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2.36</w:t>
            </w:r>
          </w:p>
        </w:tc>
        <w:tc>
          <w:tcPr>
            <w:tcW w:w="1000" w:type="dxa"/>
            <w:tcBorders>
              <w:top w:val="nil"/>
              <w:left w:val="nil"/>
              <w:bottom w:val="single" w:sz="4" w:space="0" w:color="auto"/>
              <w:right w:val="single" w:sz="4" w:space="0" w:color="auto"/>
            </w:tcBorders>
            <w:shd w:val="clear" w:color="auto" w:fill="auto"/>
            <w:vAlign w:val="bottom"/>
            <w:hideMark/>
          </w:tcPr>
          <w:p w14:paraId="4B5649C4"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2.36</w:t>
            </w:r>
          </w:p>
        </w:tc>
        <w:tc>
          <w:tcPr>
            <w:tcW w:w="988" w:type="dxa"/>
            <w:tcBorders>
              <w:top w:val="nil"/>
              <w:left w:val="nil"/>
              <w:bottom w:val="single" w:sz="4" w:space="0" w:color="auto"/>
              <w:right w:val="single" w:sz="4" w:space="0" w:color="auto"/>
            </w:tcBorders>
            <w:shd w:val="clear" w:color="auto" w:fill="auto"/>
            <w:vAlign w:val="bottom"/>
            <w:hideMark/>
          </w:tcPr>
          <w:p w14:paraId="4858D439"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89</w:t>
            </w:r>
          </w:p>
        </w:tc>
        <w:tc>
          <w:tcPr>
            <w:tcW w:w="996" w:type="dxa"/>
            <w:tcBorders>
              <w:top w:val="nil"/>
              <w:left w:val="nil"/>
              <w:bottom w:val="single" w:sz="4" w:space="0" w:color="auto"/>
              <w:right w:val="single" w:sz="4" w:space="0" w:color="auto"/>
            </w:tcBorders>
            <w:shd w:val="clear" w:color="000000" w:fill="92D050"/>
            <w:vAlign w:val="bottom"/>
            <w:hideMark/>
          </w:tcPr>
          <w:p w14:paraId="12D25764"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Low</w:t>
            </w:r>
          </w:p>
        </w:tc>
        <w:tc>
          <w:tcPr>
            <w:tcW w:w="1001" w:type="dxa"/>
            <w:tcBorders>
              <w:top w:val="nil"/>
              <w:left w:val="nil"/>
              <w:bottom w:val="single" w:sz="4" w:space="0" w:color="auto"/>
              <w:right w:val="single" w:sz="4" w:space="0" w:color="auto"/>
            </w:tcBorders>
            <w:shd w:val="clear" w:color="000000" w:fill="92D050"/>
            <w:vAlign w:val="bottom"/>
            <w:hideMark/>
          </w:tcPr>
          <w:p w14:paraId="2A6F5226"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≥80</w:t>
            </w:r>
          </w:p>
        </w:tc>
      </w:tr>
      <w:tr w:rsidR="003C4EE5" w:rsidRPr="002637AB" w14:paraId="137EAE38" w14:textId="77777777" w:rsidTr="003C4EE5">
        <w:trPr>
          <w:trHeight w:val="289"/>
        </w:trPr>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16E7E6" w14:textId="77777777" w:rsidR="003C4EE5" w:rsidRPr="002637AB" w:rsidRDefault="003C4EE5" w:rsidP="003C4EE5">
            <w:pPr>
              <w:spacing w:after="0" w:line="240" w:lineRule="auto"/>
              <w:ind w:left="0"/>
              <w:jc w:val="left"/>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TBB</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CB557F" w14:textId="77777777" w:rsidR="003C4EE5" w:rsidRPr="002637AB" w:rsidRDefault="003C4EE5" w:rsidP="003C4EE5">
            <w:pPr>
              <w:spacing w:after="0" w:line="240" w:lineRule="auto"/>
              <w:ind w:left="0"/>
              <w:jc w:val="left"/>
              <w:rPr>
                <w:rFonts w:ascii="Calibri" w:eastAsia="Times New Roman" w:hAnsi="Calibri" w:cs="Times New Roman"/>
                <w:color w:val="000000"/>
                <w:sz w:val="20"/>
                <w:szCs w:val="20"/>
                <w:lang w:eastAsia="en-GB"/>
              </w:rPr>
            </w:pPr>
            <w:r w:rsidRPr="002637AB">
              <w:rPr>
                <w:rFonts w:ascii="Calibri" w:eastAsia="Times New Roman" w:hAnsi="Calibri" w:cs="Times New Roman"/>
                <w:color w:val="000000"/>
                <w:sz w:val="20"/>
                <w:szCs w:val="20"/>
                <w:lang w:eastAsia="en-GB"/>
              </w:rPr>
              <w:t>Gurnards</w:t>
            </w:r>
          </w:p>
        </w:tc>
        <w:tc>
          <w:tcPr>
            <w:tcW w:w="1061" w:type="dxa"/>
            <w:tcBorders>
              <w:top w:val="nil"/>
              <w:left w:val="nil"/>
              <w:bottom w:val="single" w:sz="4" w:space="0" w:color="auto"/>
              <w:right w:val="single" w:sz="4" w:space="0" w:color="auto"/>
            </w:tcBorders>
            <w:shd w:val="clear" w:color="auto" w:fill="auto"/>
            <w:vAlign w:val="bottom"/>
            <w:hideMark/>
          </w:tcPr>
          <w:p w14:paraId="269BB50A"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1.43</w:t>
            </w:r>
          </w:p>
        </w:tc>
        <w:tc>
          <w:tcPr>
            <w:tcW w:w="1281" w:type="dxa"/>
            <w:tcBorders>
              <w:top w:val="nil"/>
              <w:left w:val="nil"/>
              <w:bottom w:val="single" w:sz="4" w:space="0" w:color="auto"/>
              <w:right w:val="single" w:sz="4" w:space="0" w:color="auto"/>
            </w:tcBorders>
            <w:shd w:val="clear" w:color="auto" w:fill="auto"/>
            <w:vAlign w:val="bottom"/>
            <w:hideMark/>
          </w:tcPr>
          <w:p w14:paraId="3E7D1A8C"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2.33</w:t>
            </w:r>
          </w:p>
        </w:tc>
        <w:tc>
          <w:tcPr>
            <w:tcW w:w="973" w:type="dxa"/>
            <w:tcBorders>
              <w:top w:val="nil"/>
              <w:left w:val="nil"/>
              <w:bottom w:val="single" w:sz="4" w:space="0" w:color="auto"/>
              <w:right w:val="single" w:sz="4" w:space="0" w:color="auto"/>
            </w:tcBorders>
            <w:shd w:val="clear" w:color="auto" w:fill="auto"/>
            <w:vAlign w:val="bottom"/>
            <w:hideMark/>
          </w:tcPr>
          <w:p w14:paraId="6070457F"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2.73</w:t>
            </w:r>
          </w:p>
        </w:tc>
        <w:tc>
          <w:tcPr>
            <w:tcW w:w="1000" w:type="dxa"/>
            <w:tcBorders>
              <w:top w:val="nil"/>
              <w:left w:val="nil"/>
              <w:bottom w:val="single" w:sz="4" w:space="0" w:color="auto"/>
              <w:right w:val="single" w:sz="4" w:space="0" w:color="auto"/>
            </w:tcBorders>
            <w:shd w:val="clear" w:color="auto" w:fill="auto"/>
            <w:vAlign w:val="bottom"/>
            <w:hideMark/>
          </w:tcPr>
          <w:p w14:paraId="4E2714C5"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2.73</w:t>
            </w:r>
          </w:p>
        </w:tc>
        <w:tc>
          <w:tcPr>
            <w:tcW w:w="988" w:type="dxa"/>
            <w:tcBorders>
              <w:top w:val="nil"/>
              <w:left w:val="nil"/>
              <w:bottom w:val="single" w:sz="4" w:space="0" w:color="auto"/>
              <w:right w:val="single" w:sz="4" w:space="0" w:color="auto"/>
            </w:tcBorders>
            <w:shd w:val="clear" w:color="auto" w:fill="auto"/>
            <w:vAlign w:val="bottom"/>
            <w:hideMark/>
          </w:tcPr>
          <w:p w14:paraId="4C54982A"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81</w:t>
            </w:r>
          </w:p>
        </w:tc>
        <w:tc>
          <w:tcPr>
            <w:tcW w:w="996" w:type="dxa"/>
            <w:tcBorders>
              <w:top w:val="nil"/>
              <w:left w:val="nil"/>
              <w:bottom w:val="single" w:sz="4" w:space="0" w:color="auto"/>
              <w:right w:val="single" w:sz="4" w:space="0" w:color="auto"/>
            </w:tcBorders>
            <w:shd w:val="clear" w:color="000000" w:fill="92D050"/>
            <w:vAlign w:val="bottom"/>
            <w:hideMark/>
          </w:tcPr>
          <w:p w14:paraId="645E71DA"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Low</w:t>
            </w:r>
          </w:p>
        </w:tc>
        <w:tc>
          <w:tcPr>
            <w:tcW w:w="1001" w:type="dxa"/>
            <w:tcBorders>
              <w:top w:val="nil"/>
              <w:left w:val="nil"/>
              <w:bottom w:val="single" w:sz="4" w:space="0" w:color="auto"/>
              <w:right w:val="single" w:sz="4" w:space="0" w:color="auto"/>
            </w:tcBorders>
            <w:shd w:val="clear" w:color="000000" w:fill="92D050"/>
            <w:vAlign w:val="bottom"/>
            <w:hideMark/>
          </w:tcPr>
          <w:p w14:paraId="164295EF"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≥80</w:t>
            </w:r>
          </w:p>
        </w:tc>
      </w:tr>
      <w:tr w:rsidR="003C4EE5" w:rsidRPr="002637AB" w14:paraId="6A59F80A" w14:textId="77777777" w:rsidTr="003C4EE5">
        <w:trPr>
          <w:trHeight w:val="289"/>
        </w:trPr>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EE5D40" w14:textId="77777777" w:rsidR="003C4EE5" w:rsidRPr="002637AB" w:rsidRDefault="003C4EE5" w:rsidP="003C4EE5">
            <w:pPr>
              <w:spacing w:after="0" w:line="240" w:lineRule="auto"/>
              <w:ind w:left="0"/>
              <w:jc w:val="left"/>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TBB</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7C6852" w14:textId="77777777" w:rsidR="003C4EE5" w:rsidRPr="002637AB" w:rsidRDefault="003C4EE5" w:rsidP="003C4EE5">
            <w:pPr>
              <w:spacing w:after="0" w:line="240" w:lineRule="auto"/>
              <w:ind w:left="0"/>
              <w:jc w:val="left"/>
              <w:rPr>
                <w:rFonts w:ascii="Calibri" w:eastAsia="Times New Roman" w:hAnsi="Calibri" w:cs="Times New Roman"/>
                <w:color w:val="000000"/>
                <w:sz w:val="20"/>
                <w:szCs w:val="20"/>
                <w:lang w:eastAsia="en-GB"/>
              </w:rPr>
            </w:pPr>
            <w:r w:rsidRPr="002637AB">
              <w:rPr>
                <w:rFonts w:ascii="Calibri" w:eastAsia="Times New Roman" w:hAnsi="Calibri" w:cs="Times New Roman"/>
                <w:color w:val="000000"/>
                <w:sz w:val="20"/>
                <w:szCs w:val="20"/>
                <w:lang w:eastAsia="en-GB"/>
              </w:rPr>
              <w:t>Dover sole</w:t>
            </w:r>
          </w:p>
        </w:tc>
        <w:tc>
          <w:tcPr>
            <w:tcW w:w="1061" w:type="dxa"/>
            <w:tcBorders>
              <w:top w:val="nil"/>
              <w:left w:val="nil"/>
              <w:bottom w:val="single" w:sz="4" w:space="0" w:color="auto"/>
              <w:right w:val="single" w:sz="4" w:space="0" w:color="auto"/>
            </w:tcBorders>
            <w:shd w:val="clear" w:color="auto" w:fill="auto"/>
            <w:vAlign w:val="bottom"/>
            <w:hideMark/>
          </w:tcPr>
          <w:p w14:paraId="0BBAE63D"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1.57</w:t>
            </w:r>
          </w:p>
        </w:tc>
        <w:tc>
          <w:tcPr>
            <w:tcW w:w="1281" w:type="dxa"/>
            <w:tcBorders>
              <w:top w:val="nil"/>
              <w:left w:val="nil"/>
              <w:bottom w:val="single" w:sz="4" w:space="0" w:color="auto"/>
              <w:right w:val="single" w:sz="4" w:space="0" w:color="auto"/>
            </w:tcBorders>
            <w:shd w:val="clear" w:color="auto" w:fill="auto"/>
            <w:vAlign w:val="bottom"/>
            <w:hideMark/>
          </w:tcPr>
          <w:p w14:paraId="1C1F5A79"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1.43</w:t>
            </w:r>
          </w:p>
        </w:tc>
        <w:tc>
          <w:tcPr>
            <w:tcW w:w="973" w:type="dxa"/>
            <w:tcBorders>
              <w:top w:val="nil"/>
              <w:left w:val="nil"/>
              <w:bottom w:val="single" w:sz="4" w:space="0" w:color="auto"/>
              <w:right w:val="single" w:sz="4" w:space="0" w:color="auto"/>
            </w:tcBorders>
            <w:shd w:val="clear" w:color="auto" w:fill="auto"/>
            <w:vAlign w:val="bottom"/>
            <w:hideMark/>
          </w:tcPr>
          <w:p w14:paraId="79DEA327"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2.12</w:t>
            </w:r>
          </w:p>
        </w:tc>
        <w:tc>
          <w:tcPr>
            <w:tcW w:w="1000" w:type="dxa"/>
            <w:tcBorders>
              <w:top w:val="nil"/>
              <w:left w:val="nil"/>
              <w:bottom w:val="single" w:sz="4" w:space="0" w:color="auto"/>
              <w:right w:val="single" w:sz="4" w:space="0" w:color="auto"/>
            </w:tcBorders>
            <w:shd w:val="clear" w:color="auto" w:fill="auto"/>
            <w:vAlign w:val="bottom"/>
            <w:hideMark/>
          </w:tcPr>
          <w:p w14:paraId="6D260F25"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2.12</w:t>
            </w:r>
          </w:p>
        </w:tc>
        <w:tc>
          <w:tcPr>
            <w:tcW w:w="988" w:type="dxa"/>
            <w:tcBorders>
              <w:top w:val="nil"/>
              <w:left w:val="nil"/>
              <w:bottom w:val="single" w:sz="4" w:space="0" w:color="auto"/>
              <w:right w:val="single" w:sz="4" w:space="0" w:color="auto"/>
            </w:tcBorders>
            <w:shd w:val="clear" w:color="auto" w:fill="auto"/>
            <w:vAlign w:val="bottom"/>
            <w:hideMark/>
          </w:tcPr>
          <w:p w14:paraId="681FE192"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94</w:t>
            </w:r>
          </w:p>
        </w:tc>
        <w:tc>
          <w:tcPr>
            <w:tcW w:w="996" w:type="dxa"/>
            <w:tcBorders>
              <w:top w:val="nil"/>
              <w:left w:val="nil"/>
              <w:bottom w:val="single" w:sz="4" w:space="0" w:color="auto"/>
              <w:right w:val="single" w:sz="4" w:space="0" w:color="auto"/>
            </w:tcBorders>
            <w:shd w:val="clear" w:color="000000" w:fill="92D050"/>
            <w:vAlign w:val="bottom"/>
            <w:hideMark/>
          </w:tcPr>
          <w:p w14:paraId="2A1D83DE"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Low</w:t>
            </w:r>
          </w:p>
        </w:tc>
        <w:tc>
          <w:tcPr>
            <w:tcW w:w="1001" w:type="dxa"/>
            <w:tcBorders>
              <w:top w:val="nil"/>
              <w:left w:val="nil"/>
              <w:bottom w:val="single" w:sz="4" w:space="0" w:color="auto"/>
              <w:right w:val="single" w:sz="4" w:space="0" w:color="auto"/>
            </w:tcBorders>
            <w:shd w:val="clear" w:color="000000" w:fill="92D050"/>
            <w:vAlign w:val="bottom"/>
            <w:hideMark/>
          </w:tcPr>
          <w:p w14:paraId="4958AFB8"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≥80</w:t>
            </w:r>
          </w:p>
        </w:tc>
      </w:tr>
      <w:tr w:rsidR="003C4EE5" w:rsidRPr="002637AB" w14:paraId="103FA3C6" w14:textId="77777777" w:rsidTr="003C4EE5">
        <w:trPr>
          <w:trHeight w:val="289"/>
        </w:trPr>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8D7B71" w14:textId="77777777" w:rsidR="003C4EE5" w:rsidRPr="002637AB" w:rsidRDefault="003C4EE5" w:rsidP="003C4EE5">
            <w:pPr>
              <w:spacing w:after="0" w:line="240" w:lineRule="auto"/>
              <w:ind w:left="0"/>
              <w:jc w:val="left"/>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TBB</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C54F6F" w14:textId="77777777" w:rsidR="003C4EE5" w:rsidRPr="002637AB" w:rsidRDefault="003C4EE5" w:rsidP="003C4EE5">
            <w:pPr>
              <w:spacing w:after="0" w:line="240" w:lineRule="auto"/>
              <w:ind w:left="0"/>
              <w:jc w:val="left"/>
              <w:rPr>
                <w:rFonts w:ascii="Calibri" w:eastAsia="Times New Roman" w:hAnsi="Calibri" w:cs="Times New Roman"/>
                <w:color w:val="000000"/>
                <w:sz w:val="20"/>
                <w:szCs w:val="20"/>
                <w:lang w:eastAsia="en-GB"/>
              </w:rPr>
            </w:pPr>
            <w:r w:rsidRPr="002637AB">
              <w:rPr>
                <w:rFonts w:ascii="Calibri" w:eastAsia="Times New Roman" w:hAnsi="Calibri" w:cs="Times New Roman"/>
                <w:color w:val="000000"/>
                <w:sz w:val="20"/>
                <w:szCs w:val="20"/>
                <w:lang w:eastAsia="en-GB"/>
              </w:rPr>
              <w:t>Whiting-pout</w:t>
            </w:r>
          </w:p>
        </w:tc>
        <w:tc>
          <w:tcPr>
            <w:tcW w:w="1061" w:type="dxa"/>
            <w:tcBorders>
              <w:top w:val="nil"/>
              <w:left w:val="nil"/>
              <w:bottom w:val="single" w:sz="4" w:space="0" w:color="auto"/>
              <w:right w:val="single" w:sz="4" w:space="0" w:color="auto"/>
            </w:tcBorders>
            <w:shd w:val="clear" w:color="auto" w:fill="auto"/>
            <w:vAlign w:val="bottom"/>
            <w:hideMark/>
          </w:tcPr>
          <w:p w14:paraId="5A84FD56"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1.29</w:t>
            </w:r>
          </w:p>
        </w:tc>
        <w:tc>
          <w:tcPr>
            <w:tcW w:w="1281" w:type="dxa"/>
            <w:tcBorders>
              <w:top w:val="nil"/>
              <w:left w:val="nil"/>
              <w:bottom w:val="single" w:sz="4" w:space="0" w:color="auto"/>
              <w:right w:val="single" w:sz="4" w:space="0" w:color="auto"/>
            </w:tcBorders>
            <w:shd w:val="clear" w:color="auto" w:fill="auto"/>
            <w:vAlign w:val="bottom"/>
            <w:hideMark/>
          </w:tcPr>
          <w:p w14:paraId="3AF7A5EF"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2.33</w:t>
            </w:r>
          </w:p>
        </w:tc>
        <w:tc>
          <w:tcPr>
            <w:tcW w:w="973" w:type="dxa"/>
            <w:tcBorders>
              <w:top w:val="nil"/>
              <w:left w:val="nil"/>
              <w:bottom w:val="single" w:sz="4" w:space="0" w:color="auto"/>
              <w:right w:val="single" w:sz="4" w:space="0" w:color="auto"/>
            </w:tcBorders>
            <w:shd w:val="clear" w:color="auto" w:fill="auto"/>
            <w:vAlign w:val="bottom"/>
            <w:hideMark/>
          </w:tcPr>
          <w:p w14:paraId="49A5858F"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2.66</w:t>
            </w:r>
          </w:p>
        </w:tc>
        <w:tc>
          <w:tcPr>
            <w:tcW w:w="1000" w:type="dxa"/>
            <w:tcBorders>
              <w:top w:val="nil"/>
              <w:left w:val="nil"/>
              <w:bottom w:val="single" w:sz="4" w:space="0" w:color="auto"/>
              <w:right w:val="single" w:sz="4" w:space="0" w:color="auto"/>
            </w:tcBorders>
            <w:shd w:val="clear" w:color="auto" w:fill="auto"/>
            <w:vAlign w:val="bottom"/>
            <w:hideMark/>
          </w:tcPr>
          <w:p w14:paraId="6E01A094"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2.66</w:t>
            </w:r>
          </w:p>
        </w:tc>
        <w:tc>
          <w:tcPr>
            <w:tcW w:w="988" w:type="dxa"/>
            <w:tcBorders>
              <w:top w:val="nil"/>
              <w:left w:val="nil"/>
              <w:bottom w:val="single" w:sz="4" w:space="0" w:color="auto"/>
              <w:right w:val="single" w:sz="4" w:space="0" w:color="auto"/>
            </w:tcBorders>
            <w:shd w:val="clear" w:color="auto" w:fill="auto"/>
            <w:vAlign w:val="bottom"/>
            <w:hideMark/>
          </w:tcPr>
          <w:p w14:paraId="4F7A419B"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82</w:t>
            </w:r>
          </w:p>
        </w:tc>
        <w:tc>
          <w:tcPr>
            <w:tcW w:w="996" w:type="dxa"/>
            <w:tcBorders>
              <w:top w:val="nil"/>
              <w:left w:val="nil"/>
              <w:bottom w:val="single" w:sz="4" w:space="0" w:color="auto"/>
              <w:right w:val="single" w:sz="4" w:space="0" w:color="auto"/>
            </w:tcBorders>
            <w:shd w:val="clear" w:color="000000" w:fill="92D050"/>
            <w:vAlign w:val="bottom"/>
            <w:hideMark/>
          </w:tcPr>
          <w:p w14:paraId="2033AA42"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Low</w:t>
            </w:r>
          </w:p>
        </w:tc>
        <w:tc>
          <w:tcPr>
            <w:tcW w:w="1001" w:type="dxa"/>
            <w:tcBorders>
              <w:top w:val="nil"/>
              <w:left w:val="nil"/>
              <w:bottom w:val="single" w:sz="4" w:space="0" w:color="auto"/>
              <w:right w:val="single" w:sz="4" w:space="0" w:color="auto"/>
            </w:tcBorders>
            <w:shd w:val="clear" w:color="000000" w:fill="92D050"/>
            <w:vAlign w:val="bottom"/>
            <w:hideMark/>
          </w:tcPr>
          <w:p w14:paraId="79175C5F"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≥80</w:t>
            </w:r>
          </w:p>
        </w:tc>
      </w:tr>
      <w:tr w:rsidR="003C4EE5" w:rsidRPr="002637AB" w14:paraId="7D9E8542" w14:textId="77777777" w:rsidTr="003C4EE5">
        <w:trPr>
          <w:trHeight w:val="289"/>
        </w:trPr>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7A8EC3" w14:textId="77777777" w:rsidR="003C4EE5" w:rsidRPr="002637AB" w:rsidRDefault="003C4EE5" w:rsidP="003C4EE5">
            <w:pPr>
              <w:spacing w:after="0" w:line="240" w:lineRule="auto"/>
              <w:ind w:left="0"/>
              <w:jc w:val="left"/>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TBB</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C3B2A6" w14:textId="77777777" w:rsidR="003C4EE5" w:rsidRPr="002637AB" w:rsidRDefault="003C4EE5" w:rsidP="003C4EE5">
            <w:pPr>
              <w:spacing w:after="0" w:line="240" w:lineRule="auto"/>
              <w:ind w:left="0"/>
              <w:jc w:val="left"/>
              <w:rPr>
                <w:rFonts w:ascii="Calibri" w:eastAsia="Times New Roman" w:hAnsi="Calibri" w:cs="Times New Roman"/>
                <w:color w:val="000000"/>
                <w:sz w:val="20"/>
                <w:szCs w:val="20"/>
                <w:lang w:eastAsia="en-GB"/>
              </w:rPr>
            </w:pPr>
            <w:r w:rsidRPr="002637AB">
              <w:rPr>
                <w:rFonts w:ascii="Calibri" w:eastAsia="Times New Roman" w:hAnsi="Calibri" w:cs="Times New Roman"/>
                <w:color w:val="000000"/>
                <w:sz w:val="20"/>
                <w:szCs w:val="20"/>
                <w:lang w:eastAsia="en-GB"/>
              </w:rPr>
              <w:t>Lesser spotted dogfish</w:t>
            </w:r>
          </w:p>
        </w:tc>
        <w:tc>
          <w:tcPr>
            <w:tcW w:w="1061" w:type="dxa"/>
            <w:tcBorders>
              <w:top w:val="nil"/>
              <w:left w:val="nil"/>
              <w:bottom w:val="single" w:sz="4" w:space="0" w:color="auto"/>
              <w:right w:val="single" w:sz="4" w:space="0" w:color="auto"/>
            </w:tcBorders>
            <w:shd w:val="clear" w:color="auto" w:fill="auto"/>
            <w:vAlign w:val="bottom"/>
            <w:hideMark/>
          </w:tcPr>
          <w:p w14:paraId="1AA93BAF"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2.29</w:t>
            </w:r>
          </w:p>
        </w:tc>
        <w:tc>
          <w:tcPr>
            <w:tcW w:w="1281" w:type="dxa"/>
            <w:tcBorders>
              <w:top w:val="nil"/>
              <w:left w:val="nil"/>
              <w:bottom w:val="single" w:sz="4" w:space="0" w:color="auto"/>
              <w:right w:val="single" w:sz="4" w:space="0" w:color="auto"/>
            </w:tcBorders>
            <w:shd w:val="clear" w:color="auto" w:fill="auto"/>
            <w:vAlign w:val="bottom"/>
            <w:hideMark/>
          </w:tcPr>
          <w:p w14:paraId="696376F2"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1.43</w:t>
            </w:r>
          </w:p>
        </w:tc>
        <w:tc>
          <w:tcPr>
            <w:tcW w:w="973" w:type="dxa"/>
            <w:tcBorders>
              <w:top w:val="nil"/>
              <w:left w:val="nil"/>
              <w:bottom w:val="single" w:sz="4" w:space="0" w:color="auto"/>
              <w:right w:val="single" w:sz="4" w:space="0" w:color="auto"/>
            </w:tcBorders>
            <w:shd w:val="clear" w:color="auto" w:fill="auto"/>
            <w:vAlign w:val="bottom"/>
            <w:hideMark/>
          </w:tcPr>
          <w:p w14:paraId="27D721F8" w14:textId="77777777" w:rsidR="003C4EE5" w:rsidRPr="002637AB" w:rsidRDefault="003C4EE5" w:rsidP="003C4EE5">
            <w:pPr>
              <w:spacing w:after="0" w:line="240" w:lineRule="auto"/>
              <w:ind w:left="0"/>
              <w:jc w:val="center"/>
              <w:rPr>
                <w:rFonts w:ascii="Calibri" w:eastAsia="Times New Roman" w:hAnsi="Calibri" w:cs="Times New Roman"/>
                <w:sz w:val="20"/>
                <w:szCs w:val="20"/>
                <w:lang w:eastAsia="en-GB"/>
              </w:rPr>
            </w:pPr>
            <w:r w:rsidRPr="002637AB">
              <w:rPr>
                <w:rFonts w:ascii="Calibri" w:eastAsia="Times New Roman" w:hAnsi="Calibri" w:cs="Times New Roman"/>
                <w:sz w:val="20"/>
                <w:szCs w:val="20"/>
                <w:lang w:eastAsia="en-GB"/>
              </w:rPr>
              <w:t>2.69</w:t>
            </w:r>
          </w:p>
        </w:tc>
        <w:tc>
          <w:tcPr>
            <w:tcW w:w="1000" w:type="dxa"/>
            <w:tcBorders>
              <w:top w:val="nil"/>
              <w:left w:val="nil"/>
              <w:bottom w:val="single" w:sz="4" w:space="0" w:color="auto"/>
              <w:right w:val="single" w:sz="4" w:space="0" w:color="auto"/>
            </w:tcBorders>
            <w:shd w:val="clear" w:color="auto" w:fill="auto"/>
            <w:vAlign w:val="bottom"/>
            <w:hideMark/>
          </w:tcPr>
          <w:p w14:paraId="033EEAD5"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2.69</w:t>
            </w:r>
          </w:p>
        </w:tc>
        <w:tc>
          <w:tcPr>
            <w:tcW w:w="988" w:type="dxa"/>
            <w:tcBorders>
              <w:top w:val="nil"/>
              <w:left w:val="nil"/>
              <w:bottom w:val="single" w:sz="4" w:space="0" w:color="auto"/>
              <w:right w:val="single" w:sz="4" w:space="0" w:color="auto"/>
            </w:tcBorders>
            <w:shd w:val="clear" w:color="auto" w:fill="auto"/>
            <w:vAlign w:val="bottom"/>
            <w:hideMark/>
          </w:tcPr>
          <w:p w14:paraId="1FC3A8A6" w14:textId="77777777" w:rsidR="003C4EE5" w:rsidRPr="002637AB" w:rsidRDefault="003C4EE5" w:rsidP="003C4EE5">
            <w:pPr>
              <w:spacing w:after="0" w:line="240" w:lineRule="auto"/>
              <w:ind w:left="0"/>
              <w:jc w:val="righ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82</w:t>
            </w:r>
          </w:p>
        </w:tc>
        <w:tc>
          <w:tcPr>
            <w:tcW w:w="996" w:type="dxa"/>
            <w:tcBorders>
              <w:top w:val="nil"/>
              <w:left w:val="nil"/>
              <w:bottom w:val="single" w:sz="4" w:space="0" w:color="auto"/>
              <w:right w:val="single" w:sz="4" w:space="0" w:color="auto"/>
            </w:tcBorders>
            <w:shd w:val="clear" w:color="000000" w:fill="92D050"/>
            <w:vAlign w:val="bottom"/>
            <w:hideMark/>
          </w:tcPr>
          <w:p w14:paraId="3029B5C9"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Low</w:t>
            </w:r>
          </w:p>
        </w:tc>
        <w:tc>
          <w:tcPr>
            <w:tcW w:w="1001" w:type="dxa"/>
            <w:tcBorders>
              <w:top w:val="nil"/>
              <w:left w:val="nil"/>
              <w:bottom w:val="single" w:sz="4" w:space="0" w:color="auto"/>
              <w:right w:val="single" w:sz="4" w:space="0" w:color="auto"/>
            </w:tcBorders>
            <w:shd w:val="clear" w:color="000000" w:fill="92D050"/>
            <w:vAlign w:val="bottom"/>
            <w:hideMark/>
          </w:tcPr>
          <w:p w14:paraId="4B2FA374" w14:textId="77777777" w:rsidR="003C4EE5" w:rsidRPr="002637AB" w:rsidRDefault="003C4EE5" w:rsidP="003C4EE5">
            <w:pPr>
              <w:spacing w:after="0" w:line="240" w:lineRule="auto"/>
              <w:ind w:left="0"/>
              <w:jc w:val="left"/>
              <w:rPr>
                <w:rFonts w:ascii="Calibri" w:eastAsia="Times New Roman" w:hAnsi="Calibri" w:cs="Times New Roman"/>
                <w:color w:val="000000"/>
                <w:lang w:eastAsia="en-GB"/>
              </w:rPr>
            </w:pPr>
            <w:r w:rsidRPr="002637AB">
              <w:rPr>
                <w:rFonts w:ascii="Calibri" w:eastAsia="Times New Roman" w:hAnsi="Calibri" w:cs="Times New Roman"/>
                <w:color w:val="000000"/>
                <w:lang w:eastAsia="en-GB"/>
              </w:rPr>
              <w:t>≥80</w:t>
            </w:r>
          </w:p>
        </w:tc>
      </w:tr>
    </w:tbl>
    <w:p w14:paraId="456B394D" w14:textId="77777777" w:rsidR="003C4EE5" w:rsidRPr="00F30290" w:rsidRDefault="003C4EE5" w:rsidP="003C4EE5">
      <w:pPr>
        <w:spacing w:after="160" w:line="259" w:lineRule="auto"/>
        <w:ind w:left="0"/>
        <w:jc w:val="left"/>
        <w:rPr>
          <w:rFonts w:ascii="Calibri" w:hAnsi="Calibri" w:cs="Calibri"/>
          <w:color w:val="000000"/>
        </w:rPr>
      </w:pPr>
      <w:r>
        <w:rPr>
          <w:rFonts w:ascii="Calibri" w:hAnsi="Calibri" w:cs="Calibri"/>
          <w:color w:val="000000"/>
        </w:rPr>
        <w:fldChar w:fldCharType="end"/>
      </w:r>
    </w:p>
    <w:p w14:paraId="3D82106C" w14:textId="21C1208C" w:rsidR="003C4EE5" w:rsidRDefault="00341F14" w:rsidP="003C4EE5">
      <w:pPr>
        <w:spacing w:after="160" w:line="259" w:lineRule="auto"/>
        <w:ind w:left="0"/>
        <w:jc w:val="left"/>
      </w:pPr>
      <w:r>
        <w:rPr>
          <w:noProof/>
        </w:rPr>
        <w:lastRenderedPageBreak/>
        <w:drawing>
          <wp:inline distT="0" distB="0" distL="0" distR="0" wp14:anchorId="090A7095" wp14:editId="392CF499">
            <wp:extent cx="6189775" cy="3688080"/>
            <wp:effectExtent l="0" t="0" r="190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SA_Netters.jpeg"/>
                    <pic:cNvPicPr/>
                  </pic:nvPicPr>
                  <pic:blipFill>
                    <a:blip r:embed="rId25">
                      <a:extLst>
                        <a:ext uri="{28A0092B-C50C-407E-A947-70E740481C1C}">
                          <a14:useLocalDpi xmlns:a14="http://schemas.microsoft.com/office/drawing/2010/main" val="0"/>
                        </a:ext>
                      </a:extLst>
                    </a:blip>
                    <a:stretch>
                      <a:fillRect/>
                    </a:stretch>
                  </pic:blipFill>
                  <pic:spPr>
                    <a:xfrm>
                      <a:off x="0" y="0"/>
                      <a:ext cx="6190969" cy="3688791"/>
                    </a:xfrm>
                    <a:prstGeom prst="rect">
                      <a:avLst/>
                    </a:prstGeom>
                  </pic:spPr>
                </pic:pic>
              </a:graphicData>
            </a:graphic>
          </wp:inline>
        </w:drawing>
      </w:r>
    </w:p>
    <w:p w14:paraId="41BCC3B8" w14:textId="77777777" w:rsidR="003C4EE5" w:rsidRDefault="003C4EE5" w:rsidP="003C4EE5">
      <w:pPr>
        <w:pStyle w:val="Caption"/>
      </w:pPr>
      <w:bookmarkStart w:id="96" w:name="_Ref516646042"/>
      <w:bookmarkStart w:id="97" w:name="_Ref516646034"/>
      <w:bookmarkStart w:id="98" w:name="_Toc516669273"/>
      <w:bookmarkStart w:id="99" w:name="_Toc518658181"/>
      <w:r>
        <w:t xml:space="preserve">Figure </w:t>
      </w:r>
      <w:r w:rsidR="00DB2E87">
        <w:rPr>
          <w:noProof/>
        </w:rPr>
        <w:fldChar w:fldCharType="begin"/>
      </w:r>
      <w:r w:rsidR="00DB2E87">
        <w:rPr>
          <w:noProof/>
        </w:rPr>
        <w:instrText xml:space="preserve"> SEQ Figure \* ARABIC </w:instrText>
      </w:r>
      <w:r w:rsidR="00DB2E87">
        <w:rPr>
          <w:noProof/>
        </w:rPr>
        <w:fldChar w:fldCharType="separate"/>
      </w:r>
      <w:r>
        <w:rPr>
          <w:noProof/>
        </w:rPr>
        <w:t>3</w:t>
      </w:r>
      <w:r w:rsidR="00DB2E87">
        <w:rPr>
          <w:noProof/>
        </w:rPr>
        <w:fldChar w:fldCharType="end"/>
      </w:r>
      <w:bookmarkEnd w:id="96"/>
      <w:r>
        <w:t xml:space="preserve">. </w:t>
      </w:r>
      <w:bookmarkStart w:id="100" w:name="_Ref516646059"/>
      <w:r>
        <w:t>Overall risk of netters to secondary species.</w:t>
      </w:r>
      <w:bookmarkEnd w:id="97"/>
      <w:bookmarkEnd w:id="98"/>
      <w:bookmarkEnd w:id="100"/>
      <w:bookmarkEnd w:id="99"/>
    </w:p>
    <w:p w14:paraId="01AD4470" w14:textId="1E038E64" w:rsidR="003C4EE5" w:rsidRDefault="00341F14" w:rsidP="003C4EE5">
      <w:pPr>
        <w:spacing w:after="160" w:line="259" w:lineRule="auto"/>
        <w:ind w:left="0"/>
        <w:jc w:val="left"/>
      </w:pPr>
      <w:r>
        <w:rPr>
          <w:noProof/>
        </w:rPr>
        <w:drawing>
          <wp:inline distT="0" distB="0" distL="0" distR="0" wp14:anchorId="097A55B1" wp14:editId="0892F3F8">
            <wp:extent cx="6309360" cy="41960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SA_Otter.jpeg"/>
                    <pic:cNvPicPr/>
                  </pic:nvPicPr>
                  <pic:blipFill>
                    <a:blip r:embed="rId26">
                      <a:extLst>
                        <a:ext uri="{28A0092B-C50C-407E-A947-70E740481C1C}">
                          <a14:useLocalDpi xmlns:a14="http://schemas.microsoft.com/office/drawing/2010/main" val="0"/>
                        </a:ext>
                      </a:extLst>
                    </a:blip>
                    <a:stretch>
                      <a:fillRect/>
                    </a:stretch>
                  </pic:blipFill>
                  <pic:spPr>
                    <a:xfrm>
                      <a:off x="0" y="0"/>
                      <a:ext cx="6315824" cy="4200379"/>
                    </a:xfrm>
                    <a:prstGeom prst="rect">
                      <a:avLst/>
                    </a:prstGeom>
                  </pic:spPr>
                </pic:pic>
              </a:graphicData>
            </a:graphic>
          </wp:inline>
        </w:drawing>
      </w:r>
    </w:p>
    <w:p w14:paraId="6F2720F3" w14:textId="77777777" w:rsidR="003C4EE5" w:rsidRDefault="003C4EE5" w:rsidP="003C4EE5">
      <w:pPr>
        <w:pStyle w:val="Caption"/>
      </w:pPr>
      <w:bookmarkStart w:id="101" w:name="_Ref516646120"/>
      <w:bookmarkStart w:id="102" w:name="_Ref516646090"/>
      <w:bookmarkStart w:id="103" w:name="_Toc516669274"/>
      <w:bookmarkStart w:id="104" w:name="_Toc518658182"/>
      <w:r>
        <w:t xml:space="preserve">Figure </w:t>
      </w:r>
      <w:r w:rsidR="00DB2E87">
        <w:rPr>
          <w:noProof/>
        </w:rPr>
        <w:fldChar w:fldCharType="begin"/>
      </w:r>
      <w:r w:rsidR="00DB2E87">
        <w:rPr>
          <w:noProof/>
        </w:rPr>
        <w:instrText xml:space="preserve"> SEQ Figure \* ARABIC </w:instrText>
      </w:r>
      <w:r w:rsidR="00DB2E87">
        <w:rPr>
          <w:noProof/>
        </w:rPr>
        <w:fldChar w:fldCharType="separate"/>
      </w:r>
      <w:r>
        <w:rPr>
          <w:noProof/>
        </w:rPr>
        <w:t>4</w:t>
      </w:r>
      <w:r w:rsidR="00DB2E87">
        <w:rPr>
          <w:noProof/>
        </w:rPr>
        <w:fldChar w:fldCharType="end"/>
      </w:r>
      <w:bookmarkEnd w:id="101"/>
      <w:r>
        <w:t>. Overall risk of demersal trawls to secondary species.</w:t>
      </w:r>
      <w:bookmarkEnd w:id="102"/>
      <w:bookmarkEnd w:id="103"/>
      <w:bookmarkEnd w:id="104"/>
    </w:p>
    <w:p w14:paraId="4B28072F" w14:textId="56742EDB" w:rsidR="003C4EE5" w:rsidRDefault="00341F14" w:rsidP="003C4EE5">
      <w:pPr>
        <w:spacing w:after="160" w:line="259" w:lineRule="auto"/>
        <w:ind w:left="0"/>
        <w:jc w:val="left"/>
      </w:pPr>
      <w:r>
        <w:rPr>
          <w:noProof/>
        </w:rPr>
        <w:lastRenderedPageBreak/>
        <w:drawing>
          <wp:inline distT="0" distB="0" distL="0" distR="0" wp14:anchorId="423676AD" wp14:editId="6BB6699E">
            <wp:extent cx="6248400" cy="3782546"/>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SA_BEAM.jpeg"/>
                    <pic:cNvPicPr/>
                  </pic:nvPicPr>
                  <pic:blipFill>
                    <a:blip r:embed="rId27">
                      <a:extLst>
                        <a:ext uri="{28A0092B-C50C-407E-A947-70E740481C1C}">
                          <a14:useLocalDpi xmlns:a14="http://schemas.microsoft.com/office/drawing/2010/main" val="0"/>
                        </a:ext>
                      </a:extLst>
                    </a:blip>
                    <a:stretch>
                      <a:fillRect/>
                    </a:stretch>
                  </pic:blipFill>
                  <pic:spPr>
                    <a:xfrm>
                      <a:off x="0" y="0"/>
                      <a:ext cx="6250629" cy="3783895"/>
                    </a:xfrm>
                    <a:prstGeom prst="rect">
                      <a:avLst/>
                    </a:prstGeom>
                  </pic:spPr>
                </pic:pic>
              </a:graphicData>
            </a:graphic>
          </wp:inline>
        </w:drawing>
      </w:r>
    </w:p>
    <w:p w14:paraId="59A87F0C" w14:textId="77777777" w:rsidR="003C4EE5" w:rsidRDefault="003C4EE5" w:rsidP="003C4EE5">
      <w:pPr>
        <w:pStyle w:val="Caption"/>
      </w:pPr>
      <w:bookmarkStart w:id="105" w:name="_Ref516646122"/>
      <w:bookmarkStart w:id="106" w:name="_Toc516669275"/>
      <w:bookmarkStart w:id="107" w:name="_Toc518658183"/>
      <w:r>
        <w:t xml:space="preserve">Figure </w:t>
      </w:r>
      <w:r w:rsidR="00DB2E87">
        <w:rPr>
          <w:noProof/>
        </w:rPr>
        <w:fldChar w:fldCharType="begin"/>
      </w:r>
      <w:r w:rsidR="00DB2E87">
        <w:rPr>
          <w:noProof/>
        </w:rPr>
        <w:instrText xml:space="preserve"> SEQ Figure \* ARABIC </w:instrText>
      </w:r>
      <w:r w:rsidR="00DB2E87">
        <w:rPr>
          <w:noProof/>
        </w:rPr>
        <w:fldChar w:fldCharType="separate"/>
      </w:r>
      <w:r>
        <w:rPr>
          <w:noProof/>
        </w:rPr>
        <w:t>5</w:t>
      </w:r>
      <w:r w:rsidR="00DB2E87">
        <w:rPr>
          <w:noProof/>
        </w:rPr>
        <w:fldChar w:fldCharType="end"/>
      </w:r>
      <w:bookmarkEnd w:id="105"/>
      <w:r>
        <w:t>. Overall risk of beam trawls to secondary species.</w:t>
      </w:r>
      <w:bookmarkEnd w:id="106"/>
      <w:bookmarkEnd w:id="107"/>
    </w:p>
    <w:p w14:paraId="4AC925B5" w14:textId="4B36D141" w:rsidR="003C4EE5" w:rsidRPr="00CA0DBF" w:rsidRDefault="003C4EE5" w:rsidP="003C4EE5">
      <w:pPr>
        <w:pStyle w:val="Heading1"/>
      </w:pPr>
      <w:bookmarkStart w:id="108" w:name="_Toc516750549"/>
      <w:bookmarkStart w:id="109" w:name="_Toc518658155"/>
      <w:r w:rsidRPr="00CA0DBF">
        <w:t xml:space="preserve">Review </w:t>
      </w:r>
      <w:r w:rsidR="0041734C">
        <w:t xml:space="preserve">of </w:t>
      </w:r>
      <w:r w:rsidRPr="00CA0DBF">
        <w:t>management measures</w:t>
      </w:r>
      <w:bookmarkEnd w:id="108"/>
      <w:bookmarkEnd w:id="109"/>
    </w:p>
    <w:p w14:paraId="21B875AF" w14:textId="5C8BFCAD" w:rsidR="003C4EE5" w:rsidRPr="00193592" w:rsidRDefault="003C4EE5" w:rsidP="003C4EE5">
      <w:pPr>
        <w:pStyle w:val="NormalWeb"/>
        <w:spacing w:before="0" w:beforeAutospacing="0" w:after="0" w:afterAutospacing="0" w:line="276" w:lineRule="auto"/>
        <w:jc w:val="both"/>
        <w:rPr>
          <w:rFonts w:asciiTheme="minorHAnsi" w:hAnsiTheme="minorHAnsi" w:cs="Arial"/>
          <w:sz w:val="22"/>
          <w:szCs w:val="22"/>
        </w:rPr>
      </w:pPr>
      <w:r w:rsidRPr="00193592">
        <w:rPr>
          <w:rFonts w:asciiTheme="minorHAnsi" w:hAnsiTheme="minorHAnsi"/>
          <w:sz w:val="22"/>
          <w:szCs w:val="22"/>
          <w:shd w:val="clear" w:color="auto" w:fill="FFFFFF"/>
        </w:rPr>
        <w:t xml:space="preserve">There is a range of input (e.g. control of </w:t>
      </w:r>
      <w:r w:rsidR="00784A9A">
        <w:rPr>
          <w:rFonts w:asciiTheme="minorHAnsi" w:hAnsiTheme="minorHAnsi"/>
          <w:sz w:val="22"/>
          <w:szCs w:val="22"/>
          <w:shd w:val="clear" w:color="auto" w:fill="FFFFFF"/>
        </w:rPr>
        <w:t xml:space="preserve">fishing </w:t>
      </w:r>
      <w:r w:rsidRPr="00193592">
        <w:rPr>
          <w:rFonts w:asciiTheme="minorHAnsi" w:hAnsiTheme="minorHAnsi"/>
          <w:sz w:val="22"/>
          <w:szCs w:val="22"/>
          <w:shd w:val="clear" w:color="auto" w:fill="FFFFFF"/>
        </w:rPr>
        <w:t xml:space="preserve">effort, </w:t>
      </w:r>
      <w:r w:rsidR="00784A9A">
        <w:rPr>
          <w:rFonts w:asciiTheme="minorHAnsi" w:hAnsiTheme="minorHAnsi"/>
          <w:sz w:val="22"/>
          <w:szCs w:val="22"/>
          <w:shd w:val="clear" w:color="auto" w:fill="FFFFFF"/>
        </w:rPr>
        <w:t xml:space="preserve">limits on </w:t>
      </w:r>
      <w:r w:rsidRPr="00193592">
        <w:rPr>
          <w:rFonts w:asciiTheme="minorHAnsi" w:hAnsiTheme="minorHAnsi"/>
          <w:sz w:val="22"/>
          <w:szCs w:val="22"/>
          <w:shd w:val="clear" w:color="auto" w:fill="FFFFFF"/>
        </w:rPr>
        <w:t>number of vessels and licenses) and output (e.g. set up of TAC or catch quotas) controls and technical measures (including spatial measures) used to regulate fishing mortality</w:t>
      </w:r>
      <w:r w:rsidR="00784A9A">
        <w:rPr>
          <w:rFonts w:asciiTheme="minorHAnsi" w:hAnsiTheme="minorHAnsi"/>
          <w:sz w:val="22"/>
          <w:szCs w:val="22"/>
          <w:shd w:val="clear" w:color="auto" w:fill="FFFFFF"/>
        </w:rPr>
        <w:t xml:space="preserve"> in the UoA</w:t>
      </w:r>
      <w:r w:rsidRPr="00193592">
        <w:rPr>
          <w:rFonts w:asciiTheme="minorHAnsi" w:hAnsiTheme="minorHAnsi"/>
          <w:sz w:val="22"/>
          <w:szCs w:val="22"/>
          <w:shd w:val="clear" w:color="auto" w:fill="FFFFFF"/>
        </w:rPr>
        <w:t>. In the EU, the main management principles arise from the Common Fisheries Policy (CFP; EC, 2013) and Marine Strategy Framework Directive (MFSD; EC, 2010). The principal objective for the management is to achieve</w:t>
      </w:r>
      <w:r w:rsidR="00784A9A">
        <w:rPr>
          <w:rFonts w:asciiTheme="minorHAnsi" w:hAnsiTheme="minorHAnsi" w:cs="Arial"/>
          <w:sz w:val="22"/>
          <w:szCs w:val="22"/>
        </w:rPr>
        <w:t xml:space="preserve"> </w:t>
      </w:r>
      <w:r w:rsidRPr="00193592">
        <w:rPr>
          <w:rFonts w:asciiTheme="minorHAnsi" w:eastAsia="Calibri" w:hAnsiTheme="minorHAnsi" w:cs="Arial"/>
          <w:sz w:val="22"/>
          <w:szCs w:val="22"/>
        </w:rPr>
        <w:t>maximum sustainable yield (MSY)</w:t>
      </w:r>
      <w:r w:rsidRPr="00193592">
        <w:rPr>
          <w:rFonts w:asciiTheme="minorHAnsi" w:hAnsiTheme="minorHAnsi" w:cs="Arial"/>
          <w:sz w:val="22"/>
          <w:szCs w:val="22"/>
        </w:rPr>
        <w:t>for all commercial species by 2020 at the latest, while simultaneously eliminating discards, and to achieve Good Environmental Status (GES) of marine waters by 2020 and to protect the resource base upon which marine-related economic and social activities depend. The CFP aims to fulfil its objectives by defining regional fisheries</w:t>
      </w:r>
      <w:r w:rsidR="00784A9A">
        <w:rPr>
          <w:rFonts w:asciiTheme="minorHAnsi" w:hAnsiTheme="minorHAnsi" w:cs="Arial"/>
          <w:sz w:val="22"/>
          <w:szCs w:val="22"/>
        </w:rPr>
        <w:t xml:space="preserve"> </w:t>
      </w:r>
      <w:r w:rsidRPr="00193592">
        <w:rPr>
          <w:rFonts w:asciiTheme="minorHAnsi" w:hAnsiTheme="minorHAnsi" w:cs="Arial"/>
          <w:sz w:val="22"/>
          <w:szCs w:val="22"/>
        </w:rPr>
        <w:t>multi-annual management plans that take account of species and fishery interactions in establishing conservation and technical measures to achieve the targets (Articles 9–10).</w:t>
      </w:r>
    </w:p>
    <w:p w14:paraId="3C8787C0" w14:textId="77777777" w:rsidR="003C4EE5" w:rsidRPr="00193592" w:rsidRDefault="003C4EE5" w:rsidP="003C4EE5">
      <w:pPr>
        <w:pStyle w:val="NormalWeb"/>
        <w:spacing w:before="0" w:beforeAutospacing="0" w:after="0" w:afterAutospacing="0"/>
        <w:jc w:val="both"/>
        <w:rPr>
          <w:rFonts w:asciiTheme="minorHAnsi" w:hAnsiTheme="minorHAnsi" w:cs="Arial"/>
          <w:color w:val="505050"/>
          <w:sz w:val="22"/>
          <w:szCs w:val="22"/>
        </w:rPr>
      </w:pPr>
    </w:p>
    <w:p w14:paraId="366FAE09" w14:textId="0FAC663A" w:rsidR="003C4EE5" w:rsidRDefault="003C4EE5" w:rsidP="003C4EE5">
      <w:pPr>
        <w:ind w:left="0"/>
      </w:pPr>
      <w:r w:rsidRPr="00193592">
        <w:t>As a member of the European Union, UK fisheries have been subject to the EU’s Common Fisheries Policy (CFP) since its inception in 1983. As such, the main management measure for most stocks is annual Total Allowable Catches</w:t>
      </w:r>
      <w:r>
        <w:t xml:space="preserve">, </w:t>
      </w:r>
      <w:r w:rsidRPr="00193592">
        <w:t xml:space="preserve">where the main approach </w:t>
      </w:r>
      <w:r>
        <w:t xml:space="preserve">is </w:t>
      </w:r>
      <w:r w:rsidRPr="00193592">
        <w:t xml:space="preserve">to controlling fishing exploitation through annual TACs. </w:t>
      </w:r>
      <w:r w:rsidR="00DC32A7">
        <w:t xml:space="preserve">In 2014, the reformed EU CFP introduced a phased landing obligation (LO) for all quota species. The principle of the LO is that all catches from quota species have to be landed and all catches will account against their quota. </w:t>
      </w:r>
      <w:r w:rsidR="00DC32A7">
        <w:rPr>
          <w:rFonts w:eastAsia="Times New Roman"/>
        </w:rPr>
        <w:t xml:space="preserve">The principle of the new CFP is to incentivise fishers to avoid catching unwanted fish. </w:t>
      </w:r>
      <w:r w:rsidR="00DC32A7">
        <w:t xml:space="preserve">The policy includes a number of exemptions and flexibility tools. One exemption from the landing obligation is described for “species for which scientific evidence demonstrates high survival rates, taking into account the characteristics of the gear, of the fishing practices and of the </w:t>
      </w:r>
      <w:r w:rsidR="00DC32A7">
        <w:lastRenderedPageBreak/>
        <w:t xml:space="preserve">ecosystem”. </w:t>
      </w:r>
      <w:r w:rsidRPr="00193592">
        <w:t>The main strength is it limits total fishing mortality, if enforced</w:t>
      </w:r>
      <w:r>
        <w:t>, while t</w:t>
      </w:r>
      <w:r w:rsidRPr="00193592">
        <w:t xml:space="preserve">he main weakness is </w:t>
      </w:r>
      <w:r>
        <w:t xml:space="preserve">that it </w:t>
      </w:r>
      <w:r w:rsidRPr="00193592">
        <w:t xml:space="preserve">may limit the fishing opportunities for other stocks when quota reached (“choked”). The starting point for these is scientific advice provided by ICES. While TACs are agreed annually, they are increasingly based on multi-annual management plans which allow for a longer-term approach to be taken to the management of these stocks. In some cases, particularly for cod (EC, 2008), these plans also include limits on fishing effort alongside the catch limits. Historically, EU fisheries legislation has also included </w:t>
      </w:r>
      <w:r w:rsidR="00784A9A" w:rsidRPr="00193592">
        <w:t>many</w:t>
      </w:r>
      <w:r w:rsidRPr="00193592">
        <w:t xml:space="preserve"> technical measures, particularly those related to fishing gear selectivity (Reeves </w:t>
      </w:r>
      <w:r w:rsidRPr="00193592">
        <w:rPr>
          <w:i/>
        </w:rPr>
        <w:t>et al</w:t>
      </w:r>
      <w:r w:rsidRPr="00193592">
        <w:t xml:space="preserve">. 2008). </w:t>
      </w:r>
    </w:p>
    <w:p w14:paraId="75746E93" w14:textId="08B3D995" w:rsidR="003C4EE5" w:rsidRPr="00193592" w:rsidRDefault="003C4EE5" w:rsidP="003C4EE5">
      <w:pPr>
        <w:ind w:left="0"/>
      </w:pPr>
      <w:r>
        <w:t xml:space="preserve">In this section we </w:t>
      </w:r>
      <w:r w:rsidR="00D2140F">
        <w:t>describe possible m</w:t>
      </w:r>
      <w:r>
        <w:t xml:space="preserve">anagement measures for the species and fisheries that were classified with the medium PSA risk. </w:t>
      </w:r>
    </w:p>
    <w:p w14:paraId="0EC2FF68" w14:textId="77777777" w:rsidR="003C4EE5" w:rsidRPr="00E55254" w:rsidRDefault="003C4EE5" w:rsidP="003C4EE5">
      <w:pPr>
        <w:ind w:left="0"/>
        <w:rPr>
          <w:b/>
        </w:rPr>
      </w:pPr>
      <w:r w:rsidRPr="006646A1">
        <w:rPr>
          <w:b/>
        </w:rPr>
        <w:t>Skates and Rays species</w:t>
      </w:r>
      <w:r>
        <w:rPr>
          <w:b/>
        </w:rPr>
        <w:t xml:space="preserve"> (Blonde ray, Cuckoo ray and Undulate ray)</w:t>
      </w:r>
    </w:p>
    <w:p w14:paraId="69CCF1F3" w14:textId="77777777" w:rsidR="003C4EE5" w:rsidRDefault="003C4EE5" w:rsidP="003C4EE5">
      <w:pPr>
        <w:ind w:left="0"/>
      </w:pPr>
      <w:r>
        <w:t>Three species were identified as main secondary species for the netters targeting monkfish, in ICES areas VII b-k – Blonde ray, Cuckoo ray and Undulate ray. These species showed the highest PSA risk, across all gears and species due to their life history and vulnerability to the fisheries.</w:t>
      </w:r>
    </w:p>
    <w:p w14:paraId="766AE7D1" w14:textId="77777777" w:rsidR="003C4EE5" w:rsidRDefault="003C4EE5" w:rsidP="003C4EE5">
      <w:pPr>
        <w:ind w:left="0"/>
      </w:pPr>
      <w:r w:rsidRPr="00193592">
        <w:t xml:space="preserve">Currently, under EU regulation, skates and rays are currently managed under five regional TACs. Each is a general skate and ray TAC including several species. ICES (International Council for the Exploration of the Sea) used to publish generic skates and rays stock assessment scientific advice but increasing scientific knowledge and data reporting at species level has allowed for the provision of advice at a more detailed level, at species level. In 2016, the Commission proposed a change to skate and ray TAC management for 2017, with several new sub-TACs for different species. The proposal </w:t>
      </w:r>
      <w:r w:rsidRPr="002A42FE">
        <w:t>used the existing "SRX" quota allocation key, applying the relative stability shares to each sub-TAC. However, feedback from stakeholders and Member States raised concerns</w:t>
      </w:r>
      <w:r>
        <w:t xml:space="preserve"> that</w:t>
      </w:r>
      <w:r w:rsidRPr="002A42FE">
        <w:t xml:space="preserve"> this allocation did not reflect current fishing activity and the distribution of species within the management area, causing significant socio-economic impact on fishermen. Thus, at the December Fisheries Council, the proposal reverted back to the 2016 system of combined skate and ray quota management, but with a joint statement from Member States and the Commission to further explore alternative management options.</w:t>
      </w:r>
    </w:p>
    <w:p w14:paraId="7E4C3662" w14:textId="455DD5A5" w:rsidR="003C4EE5" w:rsidRDefault="003C4EE5" w:rsidP="003C4EE5">
      <w:pPr>
        <w:ind w:left="0"/>
      </w:pPr>
      <w:r w:rsidRPr="00193592">
        <w:t>In 2017, an STECF Working group reviewed the possible long-term management measures for skates an</w:t>
      </w:r>
      <w:r>
        <w:t xml:space="preserve">d rays and their pros and cons, including TAC based measures, landing sizes, selectivity and survival exemptions, among others (STECF, 2017). </w:t>
      </w:r>
      <w:r w:rsidRPr="00193592">
        <w:t xml:space="preserve">The EWG reports that gear-based technical measures for towed gears such as increased codend mesh sizes and square mesh panels are ineffective in increasing size selectivity for skates and rays because their large, flattened body shape prevents escape once inside fishing gears (Ellis et al., 2016). However, this type of modification can improve the condition of skates and therefore their survival chances, by reducing the volume of catch in the codend (e.g. Enever et al., 2010). </w:t>
      </w:r>
      <w:r>
        <w:t xml:space="preserve"> </w:t>
      </w:r>
      <w:r w:rsidRPr="00193592">
        <w:t xml:space="preserve">Other type of improvements in the selectivity of trawls for skates can be achieved through modifications which utilise the difference in shape and size of skates and behaviour compared with other species in the catch. These can be divided into sorting grids and By-catch Reduction Devices (BRDs), escape panels and separator trawls, and other trawl gear modifications. For static gears and long line fisheries, the options for reducing skate bycatch are limited, but there have been few studies to date. </w:t>
      </w:r>
      <w:r w:rsidR="00D02DF7" w:rsidRPr="00193592">
        <w:t>Several</w:t>
      </w:r>
      <w:r w:rsidRPr="00193592">
        <w:t xml:space="preserve"> possible modifications were given, including restricted lengths of net, limiting soak times, adjusting mesh size, hanging ratio and height of the net and modifying the thickness and colour of netting material for static nets and hook design for long lines</w:t>
      </w:r>
      <w:r>
        <w:t>.</w:t>
      </w:r>
    </w:p>
    <w:p w14:paraId="4CCF3860" w14:textId="258385DA" w:rsidR="003C4EE5" w:rsidRDefault="003C4EE5" w:rsidP="003C4EE5">
      <w:pPr>
        <w:pStyle w:val="Default"/>
        <w:spacing w:line="276" w:lineRule="auto"/>
        <w:jc w:val="both"/>
        <w:rPr>
          <w:rFonts w:asciiTheme="minorHAnsi" w:hAnsiTheme="minorHAnsi"/>
          <w:sz w:val="22"/>
          <w:szCs w:val="22"/>
        </w:rPr>
      </w:pPr>
      <w:r w:rsidRPr="00193592">
        <w:rPr>
          <w:rFonts w:asciiTheme="minorHAnsi" w:hAnsiTheme="minorHAnsi"/>
          <w:sz w:val="22"/>
          <w:szCs w:val="22"/>
        </w:rPr>
        <w:lastRenderedPageBreak/>
        <w:t xml:space="preserve">Among the TAC based approaches reviewed by the group, the TAC by stock </w:t>
      </w:r>
      <w:r w:rsidR="00D02DF7">
        <w:rPr>
          <w:rFonts w:asciiTheme="minorHAnsi" w:hAnsiTheme="minorHAnsi"/>
          <w:sz w:val="22"/>
          <w:szCs w:val="22"/>
        </w:rPr>
        <w:t>was</w:t>
      </w:r>
      <w:r>
        <w:rPr>
          <w:rFonts w:asciiTheme="minorHAnsi" w:hAnsiTheme="minorHAnsi"/>
          <w:sz w:val="22"/>
          <w:szCs w:val="22"/>
        </w:rPr>
        <w:t xml:space="preserve"> the</w:t>
      </w:r>
      <w:r w:rsidRPr="00193592">
        <w:rPr>
          <w:rFonts w:asciiTheme="minorHAnsi" w:hAnsiTheme="minorHAnsi"/>
          <w:sz w:val="22"/>
          <w:szCs w:val="22"/>
        </w:rPr>
        <w:t xml:space="preserve"> only one that permits the setting of limits on catches by stock in line with individual stock development and the catch levels recommended by ICES. The current general skate and ray TACs may not offer adequate protection for stocks that require reductions in </w:t>
      </w:r>
      <w:r>
        <w:rPr>
          <w:rFonts w:asciiTheme="minorHAnsi" w:hAnsiTheme="minorHAnsi"/>
          <w:sz w:val="22"/>
          <w:szCs w:val="22"/>
        </w:rPr>
        <w:t>fishing mortality (</w:t>
      </w:r>
      <w:r w:rsidRPr="00193592">
        <w:rPr>
          <w:rFonts w:asciiTheme="minorHAnsi" w:hAnsiTheme="minorHAnsi"/>
          <w:sz w:val="22"/>
          <w:szCs w:val="22"/>
        </w:rPr>
        <w:t>F</w:t>
      </w:r>
      <w:r>
        <w:rPr>
          <w:rFonts w:asciiTheme="minorHAnsi" w:hAnsiTheme="minorHAnsi"/>
          <w:sz w:val="22"/>
          <w:szCs w:val="22"/>
        </w:rPr>
        <w:t>)</w:t>
      </w:r>
      <w:r w:rsidRPr="00193592">
        <w:rPr>
          <w:rFonts w:asciiTheme="minorHAnsi" w:hAnsiTheme="minorHAnsi"/>
          <w:sz w:val="22"/>
          <w:szCs w:val="22"/>
        </w:rPr>
        <w:t xml:space="preserve"> and conversely, may limit catch opportunities for stocks in good condition. However, there </w:t>
      </w:r>
      <w:r>
        <w:rPr>
          <w:rFonts w:asciiTheme="minorHAnsi" w:hAnsiTheme="minorHAnsi"/>
          <w:sz w:val="22"/>
          <w:szCs w:val="22"/>
        </w:rPr>
        <w:t xml:space="preserve">is acknowledge that there </w:t>
      </w:r>
      <w:r w:rsidRPr="00193592">
        <w:rPr>
          <w:rFonts w:asciiTheme="minorHAnsi" w:hAnsiTheme="minorHAnsi"/>
          <w:sz w:val="22"/>
          <w:szCs w:val="22"/>
        </w:rPr>
        <w:t>are issues with misreporting and misidentification of s</w:t>
      </w:r>
      <w:r w:rsidR="001F575B">
        <w:rPr>
          <w:rFonts w:asciiTheme="minorHAnsi" w:hAnsiTheme="minorHAnsi"/>
          <w:sz w:val="22"/>
          <w:szCs w:val="22"/>
        </w:rPr>
        <w:t>pecies that need to be addressed</w:t>
      </w:r>
      <w:r w:rsidRPr="00193592">
        <w:rPr>
          <w:rFonts w:asciiTheme="minorHAnsi" w:hAnsiTheme="minorHAnsi"/>
          <w:sz w:val="22"/>
          <w:szCs w:val="22"/>
        </w:rPr>
        <w:t xml:space="preserve">, as well as improvement in the dead discards estimates. </w:t>
      </w:r>
      <w:r w:rsidR="001F575B">
        <w:rPr>
          <w:rFonts w:asciiTheme="minorHAnsi" w:hAnsiTheme="minorHAnsi"/>
          <w:sz w:val="22"/>
          <w:szCs w:val="22"/>
        </w:rPr>
        <w:t>The current stock assessments do not include discard estimates on their assessments. Data collected under DCF programmes should be explored to include as much discards information as possible into the assessments</w:t>
      </w:r>
    </w:p>
    <w:p w14:paraId="44B28E92" w14:textId="77777777" w:rsidR="003C4EE5" w:rsidRPr="00CA0DBF" w:rsidRDefault="003C4EE5" w:rsidP="003C4EE5">
      <w:pPr>
        <w:pStyle w:val="Default"/>
        <w:spacing w:line="276" w:lineRule="auto"/>
        <w:jc w:val="both"/>
        <w:rPr>
          <w:rFonts w:asciiTheme="minorHAnsi" w:hAnsiTheme="minorHAnsi"/>
          <w:sz w:val="22"/>
          <w:szCs w:val="22"/>
        </w:rPr>
      </w:pPr>
    </w:p>
    <w:p w14:paraId="11144CC3" w14:textId="704AA87A" w:rsidR="003C4EE5" w:rsidRPr="00CA0DBF" w:rsidRDefault="003C4EE5" w:rsidP="003C4EE5">
      <w:pPr>
        <w:pStyle w:val="Default"/>
        <w:spacing w:line="276" w:lineRule="auto"/>
        <w:jc w:val="both"/>
        <w:rPr>
          <w:rFonts w:asciiTheme="minorHAnsi" w:hAnsiTheme="minorHAnsi"/>
          <w:sz w:val="22"/>
          <w:szCs w:val="22"/>
        </w:rPr>
      </w:pPr>
      <w:r w:rsidRPr="00CA0DBF">
        <w:rPr>
          <w:rFonts w:asciiTheme="minorHAnsi" w:hAnsiTheme="minorHAnsi"/>
          <w:sz w:val="22"/>
          <w:szCs w:val="22"/>
        </w:rPr>
        <w:t>Member countries may request exemptions to the Landing Obligation, based on the discard survival estimates. According with recent studies on discard survival estimates covers a limited number of fleets, areas and species, and because the factors that influence survival are poorly understood extrapolation across species, fisheries and areas is challenging. The survival rates varied across species and gears, with blon</w:t>
      </w:r>
      <w:r>
        <w:rPr>
          <w:rFonts w:asciiTheme="minorHAnsi" w:hAnsiTheme="minorHAnsi"/>
          <w:sz w:val="22"/>
          <w:szCs w:val="22"/>
        </w:rPr>
        <w:t>de ray captured with netters having</w:t>
      </w:r>
      <w:r w:rsidRPr="00CA0DBF">
        <w:rPr>
          <w:rFonts w:asciiTheme="minorHAnsi" w:hAnsiTheme="minorHAnsi"/>
          <w:sz w:val="22"/>
          <w:szCs w:val="22"/>
        </w:rPr>
        <w:t xml:space="preserve"> an estimated survival rate of 92%</w:t>
      </w:r>
      <w:r w:rsidR="00D02DF7">
        <w:rPr>
          <w:rFonts w:asciiTheme="minorHAnsi" w:hAnsiTheme="minorHAnsi"/>
          <w:sz w:val="22"/>
          <w:szCs w:val="22"/>
        </w:rPr>
        <w:t>, although this was based on a sample size of 5</w:t>
      </w:r>
      <w:r w:rsidR="001F575B">
        <w:rPr>
          <w:rFonts w:asciiTheme="minorHAnsi" w:hAnsiTheme="minorHAnsi"/>
          <w:sz w:val="22"/>
          <w:szCs w:val="22"/>
        </w:rPr>
        <w:t xml:space="preserve"> </w:t>
      </w:r>
      <w:r w:rsidRPr="00CA0DBF">
        <w:rPr>
          <w:rFonts w:asciiTheme="minorHAnsi" w:hAnsiTheme="minorHAnsi"/>
          <w:sz w:val="22"/>
          <w:szCs w:val="22"/>
        </w:rPr>
        <w:t>(</w:t>
      </w:r>
      <w:r w:rsidR="001F575B">
        <w:rPr>
          <w:rFonts w:asciiTheme="minorHAnsi" w:hAnsiTheme="minorHAnsi"/>
          <w:sz w:val="22"/>
          <w:szCs w:val="22"/>
        </w:rPr>
        <w:t>See reference in Appendix 1</w:t>
      </w:r>
      <w:r w:rsidRPr="00CA0DBF">
        <w:rPr>
          <w:rFonts w:asciiTheme="minorHAnsi" w:hAnsiTheme="minorHAnsi"/>
          <w:sz w:val="22"/>
          <w:szCs w:val="22"/>
        </w:rPr>
        <w:t xml:space="preserve">).  </w:t>
      </w:r>
      <w:r w:rsidRPr="00CA0DBF">
        <w:rPr>
          <w:rFonts w:asciiTheme="minorHAnsi" w:hAnsiTheme="minorHAnsi" w:cs="Arial"/>
          <w:sz w:val="22"/>
          <w:szCs w:val="22"/>
          <w:lang w:val="en-US"/>
        </w:rPr>
        <w:t>The proportion of fish alive at the point of discarding does not provide a robust survival estimate because mortality can occur some period after release. However, the health status of the fish when released is often used to predict its chance of survival. Data on the health condition of skates at the point of discarding from a series of projects have been collated to supplement directly observed discard survival estimates (Bird, et al., 2018). Vitality data, describing the health of commercially caught skate and ray species at the point of release back to the sea, were available from 17,259 individual fish from 10 projects. These data show that 99.8%, 97.9% and 95.4% of skates and rays survived fishing capture in longline, otter trawl and netter fisheries, respectively. At-vessel mortality rates, those assessed as dead at the point of release, were low across these gears, with only 2% of rays being reported dead when discarded.</w:t>
      </w:r>
      <w:r>
        <w:rPr>
          <w:rFonts w:asciiTheme="minorHAnsi" w:hAnsiTheme="minorHAnsi" w:cs="Arial"/>
          <w:sz w:val="22"/>
          <w:szCs w:val="22"/>
          <w:lang w:val="en-US"/>
        </w:rPr>
        <w:t xml:space="preserve"> Based on this information, survival exemptions for skates and rays species across all gears in the North Western Waters region has been requested for 2019.  </w:t>
      </w:r>
    </w:p>
    <w:p w14:paraId="52D18086" w14:textId="77777777" w:rsidR="003C4EE5" w:rsidRDefault="003C4EE5" w:rsidP="003C4EE5">
      <w:pPr>
        <w:pStyle w:val="Default"/>
        <w:jc w:val="both"/>
        <w:rPr>
          <w:rFonts w:asciiTheme="minorHAnsi" w:hAnsiTheme="minorHAnsi"/>
          <w:sz w:val="22"/>
          <w:szCs w:val="22"/>
        </w:rPr>
      </w:pPr>
    </w:p>
    <w:p w14:paraId="4A3C6A8C" w14:textId="414794C6" w:rsidR="003C4EE5" w:rsidRDefault="003C4EE5" w:rsidP="003C4EE5">
      <w:pPr>
        <w:pStyle w:val="Default"/>
        <w:spacing w:line="276" w:lineRule="auto"/>
        <w:jc w:val="both"/>
        <w:rPr>
          <w:rFonts w:asciiTheme="minorHAnsi" w:hAnsiTheme="minorHAnsi"/>
          <w:sz w:val="22"/>
          <w:szCs w:val="22"/>
        </w:rPr>
      </w:pPr>
      <w:r w:rsidRPr="00E55254">
        <w:rPr>
          <w:rFonts w:asciiTheme="minorHAnsi" w:hAnsiTheme="minorHAnsi"/>
          <w:sz w:val="22"/>
          <w:szCs w:val="22"/>
        </w:rPr>
        <w:t xml:space="preserve">Landing size restrictions could be used to protect juveniles with a minimum conservation reference size (MCRS) and/or reproducers with a maximum landing size. This is </w:t>
      </w:r>
      <w:r w:rsidR="00E87031" w:rsidRPr="00E55254">
        <w:rPr>
          <w:rFonts w:asciiTheme="minorHAnsi" w:hAnsiTheme="minorHAnsi"/>
          <w:sz w:val="22"/>
          <w:szCs w:val="22"/>
        </w:rPr>
        <w:t>important</w:t>
      </w:r>
      <w:r w:rsidRPr="00E55254">
        <w:rPr>
          <w:rFonts w:asciiTheme="minorHAnsi" w:hAnsiTheme="minorHAnsi"/>
          <w:sz w:val="22"/>
          <w:szCs w:val="22"/>
        </w:rPr>
        <w:t xml:space="preserve"> for species that have late maturation and slow growth. It could be set by species or by group of species and/or by area. The size measure could be set by length or width and should be harmonised across regions and species. However, it should be noted that this management measure would be in contradiction with the landing obligation if implemented in association with catch limits, except in the case of exemptions for high survival. In case of no exemption, the introduction of a maximum landing size might be problematic (STECF, 2017).</w:t>
      </w:r>
      <w:r w:rsidR="001F575B">
        <w:rPr>
          <w:rFonts w:asciiTheme="minorHAnsi" w:hAnsiTheme="minorHAnsi"/>
          <w:sz w:val="22"/>
          <w:szCs w:val="22"/>
        </w:rPr>
        <w:t xml:space="preserve"> Currently some IFCAs </w:t>
      </w:r>
      <w:r w:rsidR="00020C4F">
        <w:rPr>
          <w:rFonts w:asciiTheme="minorHAnsi" w:hAnsiTheme="minorHAnsi"/>
          <w:sz w:val="22"/>
          <w:szCs w:val="22"/>
        </w:rPr>
        <w:t xml:space="preserve">(e.g. North West, North Eastern, Southern, Kent and &amp; Essex IFCAs) </w:t>
      </w:r>
      <w:r w:rsidR="001F575B">
        <w:rPr>
          <w:rFonts w:asciiTheme="minorHAnsi" w:hAnsiTheme="minorHAnsi"/>
          <w:sz w:val="22"/>
          <w:szCs w:val="22"/>
        </w:rPr>
        <w:t>apply local bylaws for the inshore fisheries, where is not allowed to land any skates a</w:t>
      </w:r>
      <w:r w:rsidR="00020C4F">
        <w:rPr>
          <w:rFonts w:asciiTheme="minorHAnsi" w:hAnsiTheme="minorHAnsi"/>
          <w:sz w:val="22"/>
          <w:szCs w:val="22"/>
        </w:rPr>
        <w:t>nd rays under a certain length.</w:t>
      </w:r>
    </w:p>
    <w:p w14:paraId="2485B174" w14:textId="23D477C0" w:rsidR="003C4EE5" w:rsidRDefault="003C4EE5" w:rsidP="003C4EE5">
      <w:pPr>
        <w:pStyle w:val="Default"/>
        <w:spacing w:line="276" w:lineRule="auto"/>
        <w:jc w:val="both"/>
        <w:rPr>
          <w:rFonts w:asciiTheme="minorHAnsi" w:hAnsiTheme="minorHAnsi" w:cs="Calibri"/>
          <w:sz w:val="22"/>
          <w:szCs w:val="22"/>
        </w:rPr>
      </w:pPr>
    </w:p>
    <w:p w14:paraId="37F575CC" w14:textId="2CA5D295" w:rsidR="003C4EE5" w:rsidRPr="00E14A2A" w:rsidRDefault="003C4EE5" w:rsidP="003C4EE5">
      <w:pPr>
        <w:pStyle w:val="Default"/>
        <w:spacing w:line="276" w:lineRule="auto"/>
        <w:jc w:val="both"/>
        <w:rPr>
          <w:rFonts w:asciiTheme="minorHAnsi" w:hAnsiTheme="minorHAnsi" w:cs="Calibri"/>
          <w:b/>
          <w:sz w:val="22"/>
          <w:szCs w:val="22"/>
        </w:rPr>
      </w:pPr>
      <w:r w:rsidRPr="00E14A2A">
        <w:rPr>
          <w:rFonts w:asciiTheme="minorHAnsi" w:hAnsiTheme="minorHAnsi" w:cs="Calibri"/>
          <w:b/>
          <w:sz w:val="22"/>
          <w:szCs w:val="22"/>
        </w:rPr>
        <w:t xml:space="preserve">Common ling and pollack </w:t>
      </w:r>
      <w:r w:rsidRPr="00E14A2A">
        <w:rPr>
          <w:rFonts w:asciiTheme="minorHAnsi" w:hAnsiTheme="minorHAnsi" w:cs="Calibri"/>
          <w:sz w:val="22"/>
          <w:szCs w:val="22"/>
        </w:rPr>
        <w:t>were the finfish species with the highest PSA score</w:t>
      </w:r>
      <w:r w:rsidR="003F2717">
        <w:rPr>
          <w:rFonts w:asciiTheme="minorHAnsi" w:hAnsiTheme="minorHAnsi" w:cs="Calibri"/>
          <w:sz w:val="22"/>
          <w:szCs w:val="22"/>
        </w:rPr>
        <w:t>s</w:t>
      </w:r>
      <w:r>
        <w:rPr>
          <w:rFonts w:asciiTheme="minorHAnsi" w:hAnsiTheme="minorHAnsi" w:cs="Calibri"/>
          <w:sz w:val="22"/>
          <w:szCs w:val="22"/>
        </w:rPr>
        <w:t xml:space="preserve"> and classified with medium risk</w:t>
      </w:r>
      <w:r w:rsidRPr="00E14A2A">
        <w:rPr>
          <w:rFonts w:asciiTheme="minorHAnsi" w:hAnsiTheme="minorHAnsi" w:cs="Calibri"/>
          <w:sz w:val="22"/>
          <w:szCs w:val="22"/>
        </w:rPr>
        <w:t xml:space="preserve">. Common ling is a deep-water species and the stock covers a large area, </w:t>
      </w:r>
      <w:r w:rsidRPr="00E14A2A">
        <w:rPr>
          <w:rFonts w:asciiTheme="minorHAnsi" w:hAnsiTheme="minorHAnsi"/>
          <w:sz w:val="22"/>
          <w:szCs w:val="22"/>
        </w:rPr>
        <w:t xml:space="preserve">ICES subareas 6–9, 12, and 14, and in divisions 3.a and 4.a (Northeast Atlantic and Arctic Ocean). According </w:t>
      </w:r>
      <w:r w:rsidR="003F2717">
        <w:rPr>
          <w:rFonts w:asciiTheme="minorHAnsi" w:hAnsiTheme="minorHAnsi"/>
          <w:sz w:val="22"/>
          <w:szCs w:val="22"/>
        </w:rPr>
        <w:t>to</w:t>
      </w:r>
      <w:r w:rsidR="003F2717" w:rsidRPr="00E14A2A">
        <w:rPr>
          <w:rFonts w:asciiTheme="minorHAnsi" w:hAnsiTheme="minorHAnsi"/>
          <w:sz w:val="22"/>
          <w:szCs w:val="22"/>
        </w:rPr>
        <w:t xml:space="preserve"> </w:t>
      </w:r>
      <w:r w:rsidRPr="00E14A2A">
        <w:rPr>
          <w:rFonts w:asciiTheme="minorHAnsi" w:hAnsiTheme="minorHAnsi"/>
          <w:sz w:val="22"/>
          <w:szCs w:val="22"/>
        </w:rPr>
        <w:t>the latest ICES advice, fishing mortality is below the proxy of the MSY reference points and the stock size relative to candidate reference points is unknown, but the stock has been increasing since 2004</w:t>
      </w:r>
      <w:r w:rsidR="00020C4F">
        <w:rPr>
          <w:rFonts w:asciiTheme="minorHAnsi" w:hAnsiTheme="minorHAnsi"/>
          <w:sz w:val="22"/>
          <w:szCs w:val="22"/>
        </w:rPr>
        <w:t>, despite the TAC have been set up higher than the catch advice</w:t>
      </w:r>
      <w:r>
        <w:rPr>
          <w:rFonts w:asciiTheme="minorHAnsi" w:hAnsiTheme="minorHAnsi"/>
          <w:sz w:val="22"/>
          <w:szCs w:val="22"/>
        </w:rPr>
        <w:t xml:space="preserve">. </w:t>
      </w:r>
      <w:r w:rsidR="00DC32A7">
        <w:rPr>
          <w:rFonts w:asciiTheme="minorHAnsi" w:hAnsiTheme="minorHAnsi"/>
          <w:sz w:val="22"/>
          <w:szCs w:val="22"/>
        </w:rPr>
        <w:t xml:space="preserve">The main drives to classify ling as a medium risk </w:t>
      </w:r>
      <w:r w:rsidR="00DC32A7">
        <w:rPr>
          <w:rFonts w:asciiTheme="minorHAnsi" w:hAnsiTheme="minorHAnsi"/>
          <w:sz w:val="22"/>
          <w:szCs w:val="22"/>
        </w:rPr>
        <w:lastRenderedPageBreak/>
        <w:t xml:space="preserve">species is its life history traits. </w:t>
      </w:r>
      <w:r>
        <w:rPr>
          <w:rFonts w:asciiTheme="minorHAnsi" w:hAnsiTheme="minorHAnsi"/>
          <w:sz w:val="22"/>
          <w:szCs w:val="22"/>
        </w:rPr>
        <w:t>Ling is considered a deep-water species, and the TACs should be set up in line with the ICES advice to allow a full recovery of the stock.</w:t>
      </w:r>
    </w:p>
    <w:p w14:paraId="5EB4F7F6" w14:textId="77777777" w:rsidR="003C4EE5" w:rsidRDefault="003C4EE5" w:rsidP="003C4EE5">
      <w:pPr>
        <w:pStyle w:val="Default"/>
        <w:spacing w:line="276" w:lineRule="auto"/>
        <w:jc w:val="both"/>
        <w:rPr>
          <w:rFonts w:asciiTheme="minorHAnsi" w:hAnsiTheme="minorHAnsi" w:cs="Calibri"/>
          <w:b/>
          <w:sz w:val="22"/>
          <w:szCs w:val="22"/>
        </w:rPr>
      </w:pPr>
    </w:p>
    <w:p w14:paraId="5F9984F0" w14:textId="6E37D210" w:rsidR="003C4EE5" w:rsidRPr="006E2E56" w:rsidRDefault="003C4EE5" w:rsidP="003C4EE5">
      <w:pPr>
        <w:pStyle w:val="Default"/>
        <w:spacing w:line="276" w:lineRule="auto"/>
        <w:jc w:val="both"/>
        <w:rPr>
          <w:rFonts w:asciiTheme="minorHAnsi" w:hAnsiTheme="minorHAnsi" w:cs="Calibri"/>
          <w:sz w:val="22"/>
          <w:szCs w:val="22"/>
        </w:rPr>
      </w:pPr>
      <w:r w:rsidRPr="000B68A0">
        <w:rPr>
          <w:rFonts w:asciiTheme="minorHAnsi" w:hAnsiTheme="minorHAnsi" w:cs="Calibri"/>
          <w:sz w:val="22"/>
          <w:szCs w:val="22"/>
        </w:rPr>
        <w:t xml:space="preserve">Although </w:t>
      </w:r>
      <w:r w:rsidRPr="00AB315A">
        <w:rPr>
          <w:rFonts w:asciiTheme="minorHAnsi" w:hAnsiTheme="minorHAnsi" w:cs="Calibri"/>
          <w:b/>
          <w:sz w:val="22"/>
          <w:szCs w:val="22"/>
        </w:rPr>
        <w:t xml:space="preserve">pollack </w:t>
      </w:r>
      <w:r>
        <w:rPr>
          <w:rFonts w:asciiTheme="minorHAnsi" w:hAnsiTheme="minorHAnsi" w:cs="Calibri"/>
          <w:sz w:val="22"/>
          <w:szCs w:val="22"/>
        </w:rPr>
        <w:t xml:space="preserve">was </w:t>
      </w:r>
      <w:r w:rsidR="00671F8F">
        <w:rPr>
          <w:rFonts w:asciiTheme="minorHAnsi" w:hAnsiTheme="minorHAnsi" w:cs="Calibri"/>
          <w:sz w:val="22"/>
          <w:szCs w:val="22"/>
        </w:rPr>
        <w:t xml:space="preserve">assessed as </w:t>
      </w:r>
      <w:r>
        <w:rPr>
          <w:rFonts w:asciiTheme="minorHAnsi" w:hAnsiTheme="minorHAnsi" w:cs="Calibri"/>
          <w:sz w:val="22"/>
          <w:szCs w:val="22"/>
        </w:rPr>
        <w:t>a “</w:t>
      </w:r>
      <w:r w:rsidRPr="000B68A0">
        <w:rPr>
          <w:rFonts w:asciiTheme="minorHAnsi" w:hAnsiTheme="minorHAnsi" w:cs="Calibri"/>
          <w:sz w:val="22"/>
          <w:szCs w:val="22"/>
        </w:rPr>
        <w:t>main secondary”</w:t>
      </w:r>
      <w:r>
        <w:rPr>
          <w:rFonts w:asciiTheme="minorHAnsi" w:hAnsiTheme="minorHAnsi" w:cs="Calibri"/>
          <w:sz w:val="22"/>
          <w:szCs w:val="22"/>
        </w:rPr>
        <w:t xml:space="preserve"> for the monkfish fishery</w:t>
      </w:r>
      <w:r w:rsidRPr="000B68A0">
        <w:rPr>
          <w:rFonts w:asciiTheme="minorHAnsi" w:hAnsiTheme="minorHAnsi" w:cs="Calibri"/>
          <w:sz w:val="22"/>
          <w:szCs w:val="22"/>
        </w:rPr>
        <w:t xml:space="preserve">, </w:t>
      </w:r>
      <w:r>
        <w:rPr>
          <w:rFonts w:asciiTheme="minorHAnsi" w:hAnsiTheme="minorHAnsi" w:cs="Calibri"/>
          <w:sz w:val="22"/>
          <w:szCs w:val="22"/>
        </w:rPr>
        <w:t>this species</w:t>
      </w:r>
      <w:r w:rsidRPr="000B68A0">
        <w:rPr>
          <w:rFonts w:asciiTheme="minorHAnsi" w:hAnsiTheme="minorHAnsi" w:cs="Calibri"/>
          <w:sz w:val="22"/>
          <w:szCs w:val="22"/>
        </w:rPr>
        <w:t xml:space="preserve"> is captured as part of a mixed </w:t>
      </w:r>
      <w:r w:rsidR="00E4252F">
        <w:rPr>
          <w:rFonts w:asciiTheme="minorHAnsi" w:hAnsiTheme="minorHAnsi" w:cs="Calibri"/>
          <w:sz w:val="22"/>
          <w:szCs w:val="22"/>
        </w:rPr>
        <w:t xml:space="preserve">gill net </w:t>
      </w:r>
      <w:r w:rsidRPr="000B68A0">
        <w:rPr>
          <w:rFonts w:asciiTheme="minorHAnsi" w:hAnsiTheme="minorHAnsi" w:cs="Calibri"/>
          <w:sz w:val="22"/>
          <w:szCs w:val="22"/>
        </w:rPr>
        <w:t>fisher</w:t>
      </w:r>
      <w:r w:rsidR="00E4252F">
        <w:rPr>
          <w:rFonts w:asciiTheme="minorHAnsi" w:hAnsiTheme="minorHAnsi" w:cs="Calibri"/>
          <w:sz w:val="22"/>
          <w:szCs w:val="22"/>
        </w:rPr>
        <w:t>y</w:t>
      </w:r>
      <w:r w:rsidRPr="000B68A0">
        <w:rPr>
          <w:rFonts w:asciiTheme="minorHAnsi" w:hAnsiTheme="minorHAnsi" w:cs="Calibri"/>
          <w:sz w:val="22"/>
          <w:szCs w:val="22"/>
        </w:rPr>
        <w:t xml:space="preserve"> which mainly target</w:t>
      </w:r>
      <w:r w:rsidR="00E4252F">
        <w:rPr>
          <w:rFonts w:asciiTheme="minorHAnsi" w:hAnsiTheme="minorHAnsi" w:cs="Calibri"/>
          <w:sz w:val="22"/>
          <w:szCs w:val="22"/>
        </w:rPr>
        <w:t>s</w:t>
      </w:r>
      <w:r w:rsidRPr="000B68A0">
        <w:rPr>
          <w:rFonts w:asciiTheme="minorHAnsi" w:hAnsiTheme="minorHAnsi" w:cs="Calibri"/>
          <w:sz w:val="22"/>
          <w:szCs w:val="22"/>
        </w:rPr>
        <w:t xml:space="preserve"> pollack and hake. </w:t>
      </w:r>
      <w:r w:rsidRPr="008F0830">
        <w:rPr>
          <w:rFonts w:asciiTheme="minorHAnsi" w:hAnsiTheme="minorHAnsi" w:cs="Arial"/>
          <w:sz w:val="22"/>
          <w:szCs w:val="22"/>
        </w:rPr>
        <w:t xml:space="preserve">The species are subject to management under the European Common Fisheries Policy (CFP) and local management control in coastal waters. </w:t>
      </w:r>
      <w:r w:rsidRPr="000B68A0">
        <w:rPr>
          <w:rFonts w:asciiTheme="minorHAnsi" w:hAnsiTheme="minorHAnsi" w:cs="Arial"/>
          <w:sz w:val="22"/>
          <w:szCs w:val="22"/>
        </w:rPr>
        <w:t xml:space="preserve">In </w:t>
      </w:r>
      <w:r w:rsidRPr="008D0B6F">
        <w:rPr>
          <w:rFonts w:asciiTheme="minorHAnsi" w:hAnsiTheme="minorHAnsi" w:cs="Arial"/>
          <w:bCs/>
          <w:sz w:val="22"/>
          <w:szCs w:val="22"/>
        </w:rPr>
        <w:t xml:space="preserve">European </w:t>
      </w:r>
      <w:r w:rsidR="00E4252F">
        <w:rPr>
          <w:rFonts w:asciiTheme="minorHAnsi" w:hAnsiTheme="minorHAnsi" w:cs="Arial"/>
          <w:bCs/>
          <w:sz w:val="22"/>
          <w:szCs w:val="22"/>
        </w:rPr>
        <w:t xml:space="preserve">Union </w:t>
      </w:r>
      <w:r w:rsidRPr="008D0B6F">
        <w:rPr>
          <w:rFonts w:asciiTheme="minorHAnsi" w:hAnsiTheme="minorHAnsi" w:cs="Arial"/>
          <w:bCs/>
          <w:sz w:val="22"/>
          <w:szCs w:val="22"/>
        </w:rPr>
        <w:t>waters</w:t>
      </w:r>
      <w:r w:rsidR="00E4252F">
        <w:rPr>
          <w:rFonts w:asciiTheme="minorHAnsi" w:hAnsiTheme="minorHAnsi" w:cs="Arial"/>
          <w:bCs/>
          <w:sz w:val="22"/>
          <w:szCs w:val="22"/>
        </w:rPr>
        <w:t>,</w:t>
      </w:r>
      <w:r w:rsidRPr="000B68A0">
        <w:rPr>
          <w:rFonts w:asciiTheme="minorHAnsi" w:hAnsiTheme="minorHAnsi" w:cs="Arial"/>
          <w:b/>
          <w:bCs/>
          <w:sz w:val="22"/>
          <w:szCs w:val="22"/>
        </w:rPr>
        <w:t xml:space="preserve"> </w:t>
      </w:r>
      <w:r w:rsidRPr="000B68A0">
        <w:rPr>
          <w:rFonts w:asciiTheme="minorHAnsi" w:hAnsiTheme="minorHAnsi" w:cs="Arial"/>
          <w:sz w:val="22"/>
          <w:szCs w:val="22"/>
        </w:rPr>
        <w:t xml:space="preserve">pollack are managed by precautionary TACs, usually based on previous catches. Pollack are subject to a minimum landing size </w:t>
      </w:r>
      <w:r w:rsidR="00E4252F" w:rsidRPr="000B68A0">
        <w:rPr>
          <w:rFonts w:asciiTheme="minorHAnsi" w:hAnsiTheme="minorHAnsi" w:cs="Arial"/>
          <w:sz w:val="22"/>
          <w:szCs w:val="22"/>
        </w:rPr>
        <w:t>of 30cm</w:t>
      </w:r>
      <w:r w:rsidR="00E4252F">
        <w:rPr>
          <w:rFonts w:asciiTheme="minorHAnsi" w:hAnsiTheme="minorHAnsi" w:cs="Arial"/>
          <w:sz w:val="22"/>
          <w:szCs w:val="22"/>
        </w:rPr>
        <w:t xml:space="preserve"> </w:t>
      </w:r>
      <w:r w:rsidRPr="000B68A0">
        <w:rPr>
          <w:rFonts w:asciiTheme="minorHAnsi" w:hAnsiTheme="minorHAnsi" w:cs="Arial"/>
          <w:sz w:val="22"/>
          <w:szCs w:val="22"/>
        </w:rPr>
        <w:t xml:space="preserve">in most European </w:t>
      </w:r>
      <w:r w:rsidR="00E4252F">
        <w:rPr>
          <w:rFonts w:asciiTheme="minorHAnsi" w:hAnsiTheme="minorHAnsi" w:cs="Arial"/>
          <w:sz w:val="22"/>
          <w:szCs w:val="22"/>
        </w:rPr>
        <w:t xml:space="preserve">Union </w:t>
      </w:r>
      <w:r w:rsidRPr="000B68A0">
        <w:rPr>
          <w:rFonts w:asciiTheme="minorHAnsi" w:hAnsiTheme="minorHAnsi" w:cs="Arial"/>
          <w:sz w:val="22"/>
          <w:szCs w:val="22"/>
        </w:rPr>
        <w:t xml:space="preserve">waters, and regulations stipulate permitted mesh size ranges for both static and towed gears with which particular target species may be taken. Fishermen are only allowed to retain a limited level </w:t>
      </w:r>
      <w:r>
        <w:rPr>
          <w:rFonts w:asciiTheme="minorHAnsi" w:hAnsiTheme="minorHAnsi" w:cs="Arial"/>
          <w:sz w:val="22"/>
          <w:szCs w:val="22"/>
        </w:rPr>
        <w:t>of by catch of non-</w:t>
      </w:r>
      <w:r w:rsidRPr="000B68A0">
        <w:rPr>
          <w:rFonts w:asciiTheme="minorHAnsi" w:hAnsiTheme="minorHAnsi" w:cs="Arial"/>
          <w:sz w:val="22"/>
          <w:szCs w:val="22"/>
        </w:rPr>
        <w:t>target species</w:t>
      </w:r>
      <w:r w:rsidR="00E4252F">
        <w:rPr>
          <w:rFonts w:asciiTheme="minorHAnsi" w:hAnsiTheme="minorHAnsi" w:cs="Arial"/>
          <w:sz w:val="22"/>
          <w:szCs w:val="22"/>
        </w:rPr>
        <w:t xml:space="preserve"> </w:t>
      </w:r>
      <w:r w:rsidR="00E4252F" w:rsidRPr="000B68A0">
        <w:rPr>
          <w:rFonts w:asciiTheme="minorHAnsi" w:hAnsiTheme="minorHAnsi" w:cs="Arial"/>
          <w:sz w:val="22"/>
          <w:szCs w:val="22"/>
        </w:rPr>
        <w:t>(5-70% dependent on mesh size and tar</w:t>
      </w:r>
      <w:r w:rsidR="00E4252F">
        <w:rPr>
          <w:rFonts w:asciiTheme="minorHAnsi" w:hAnsiTheme="minorHAnsi" w:cs="Arial"/>
          <w:sz w:val="22"/>
          <w:szCs w:val="22"/>
        </w:rPr>
        <w:t>get species)</w:t>
      </w:r>
      <w:r w:rsidRPr="000B68A0">
        <w:rPr>
          <w:rFonts w:asciiTheme="minorHAnsi" w:hAnsiTheme="minorHAnsi" w:cs="Arial"/>
          <w:sz w:val="22"/>
          <w:szCs w:val="22"/>
        </w:rPr>
        <w:t xml:space="preserve">. The use of 70-89mm </w:t>
      </w:r>
      <w:r w:rsidR="006F06F1">
        <w:rPr>
          <w:rFonts w:asciiTheme="minorHAnsi" w:hAnsiTheme="minorHAnsi" w:cs="Arial"/>
          <w:sz w:val="22"/>
          <w:szCs w:val="22"/>
        </w:rPr>
        <w:t xml:space="preserve">netters </w:t>
      </w:r>
      <w:r w:rsidRPr="000B68A0">
        <w:rPr>
          <w:rFonts w:asciiTheme="minorHAnsi" w:hAnsiTheme="minorHAnsi" w:cs="Arial"/>
          <w:sz w:val="22"/>
          <w:szCs w:val="22"/>
        </w:rPr>
        <w:t xml:space="preserve">is banned and the use of </w:t>
      </w:r>
      <w:r w:rsidR="006F06F1">
        <w:rPr>
          <w:rFonts w:asciiTheme="minorHAnsi" w:hAnsiTheme="minorHAnsi" w:cs="Arial"/>
          <w:sz w:val="22"/>
          <w:szCs w:val="22"/>
        </w:rPr>
        <w:t>nets</w:t>
      </w:r>
      <w:r w:rsidRPr="000B68A0">
        <w:rPr>
          <w:rFonts w:asciiTheme="minorHAnsi" w:hAnsiTheme="minorHAnsi" w:cs="Arial"/>
          <w:sz w:val="22"/>
          <w:szCs w:val="22"/>
        </w:rPr>
        <w:t xml:space="preserve"> mesh sizes of greater than 120mm and a minimum trawl cod end mesh of 80mm for catching pollack encouraged (Seafish, 2014).</w:t>
      </w:r>
    </w:p>
    <w:p w14:paraId="74570848" w14:textId="0A4ECA48" w:rsidR="003C4EE5" w:rsidRDefault="003C4EE5" w:rsidP="003C4EE5">
      <w:pPr>
        <w:pStyle w:val="Default"/>
        <w:spacing w:line="276" w:lineRule="auto"/>
        <w:jc w:val="both"/>
        <w:rPr>
          <w:rFonts w:ascii="Calibri" w:hAnsi="Calibri" w:cs="Calibri"/>
          <w:sz w:val="22"/>
          <w:szCs w:val="22"/>
        </w:rPr>
      </w:pPr>
    </w:p>
    <w:p w14:paraId="6B9B3153" w14:textId="041FF78B" w:rsidR="003C4EE5" w:rsidRDefault="003C4EE5" w:rsidP="003C4EE5">
      <w:pPr>
        <w:pStyle w:val="Heading1"/>
      </w:pPr>
      <w:bookmarkStart w:id="110" w:name="_Toc518658156"/>
      <w:r>
        <w:t xml:space="preserve">Data limitations for bycatch and rare </w:t>
      </w:r>
      <w:r w:rsidR="00784A9A">
        <w:t>species</w:t>
      </w:r>
      <w:bookmarkEnd w:id="110"/>
    </w:p>
    <w:p w14:paraId="6EA64B9B" w14:textId="788F2F34" w:rsidR="00507C61" w:rsidRDefault="003C4EE5" w:rsidP="003C4EE5">
      <w:pPr>
        <w:pStyle w:val="Default"/>
        <w:spacing w:line="276" w:lineRule="auto"/>
        <w:jc w:val="both"/>
        <w:rPr>
          <w:rFonts w:asciiTheme="minorHAnsi" w:hAnsiTheme="minorHAnsi"/>
          <w:sz w:val="22"/>
          <w:szCs w:val="22"/>
        </w:rPr>
      </w:pPr>
      <w:r w:rsidRPr="008603C9">
        <w:rPr>
          <w:rFonts w:asciiTheme="minorHAnsi" w:hAnsiTheme="minorHAnsi" w:cs="Calibri"/>
          <w:sz w:val="22"/>
          <w:szCs w:val="22"/>
        </w:rPr>
        <w:t xml:space="preserve">The data used in this study to provide catch amounts for the secondary species are based on the reported landings by species and estimated discards from Cefas Observer programme. This sampling programme follows the EU Data </w:t>
      </w:r>
      <w:r w:rsidR="00896697">
        <w:rPr>
          <w:rFonts w:asciiTheme="minorHAnsi" w:hAnsiTheme="minorHAnsi" w:cs="Calibri"/>
          <w:sz w:val="22"/>
          <w:szCs w:val="22"/>
        </w:rPr>
        <w:t>Collection Framework (DCF), in which</w:t>
      </w:r>
      <w:r w:rsidRPr="008603C9">
        <w:rPr>
          <w:rFonts w:asciiTheme="minorHAnsi" w:hAnsiTheme="minorHAnsi" w:cs="Calibri"/>
          <w:sz w:val="22"/>
          <w:szCs w:val="22"/>
        </w:rPr>
        <w:t xml:space="preserve"> the main objective </w:t>
      </w:r>
      <w:r w:rsidR="00896697">
        <w:rPr>
          <w:rFonts w:asciiTheme="minorHAnsi" w:hAnsiTheme="minorHAnsi" w:cs="Calibri"/>
          <w:sz w:val="22"/>
          <w:szCs w:val="22"/>
        </w:rPr>
        <w:t xml:space="preserve">is </w:t>
      </w:r>
      <w:r w:rsidRPr="008603C9">
        <w:rPr>
          <w:rFonts w:asciiTheme="minorHAnsi" w:hAnsiTheme="minorHAnsi" w:cs="Calibri"/>
          <w:sz w:val="22"/>
          <w:szCs w:val="22"/>
        </w:rPr>
        <w:t xml:space="preserve">to collect data on discards and biological data for the main commercial species. </w:t>
      </w:r>
      <w:r w:rsidRPr="008603C9">
        <w:rPr>
          <w:rFonts w:asciiTheme="minorHAnsi" w:hAnsiTheme="minorHAnsi"/>
          <w:sz w:val="22"/>
          <w:szCs w:val="22"/>
        </w:rPr>
        <w:t xml:space="preserve">Although the Member </w:t>
      </w:r>
      <w:r w:rsidR="00507C61">
        <w:rPr>
          <w:rFonts w:asciiTheme="minorHAnsi" w:hAnsiTheme="minorHAnsi"/>
          <w:sz w:val="22"/>
          <w:szCs w:val="22"/>
        </w:rPr>
        <w:t>S</w:t>
      </w:r>
      <w:r w:rsidRPr="008603C9">
        <w:rPr>
          <w:rFonts w:asciiTheme="minorHAnsi" w:hAnsiTheme="minorHAnsi"/>
          <w:sz w:val="22"/>
          <w:szCs w:val="22"/>
        </w:rPr>
        <w:t xml:space="preserve">tates are required to record data on incidental bycatch of all birds, mammals and reptiles and protected </w:t>
      </w:r>
      <w:r>
        <w:rPr>
          <w:rFonts w:asciiTheme="minorHAnsi" w:hAnsiTheme="minorHAnsi"/>
          <w:sz w:val="22"/>
          <w:szCs w:val="22"/>
        </w:rPr>
        <w:t xml:space="preserve">and rare </w:t>
      </w:r>
      <w:r w:rsidRPr="008603C9">
        <w:rPr>
          <w:rFonts w:asciiTheme="minorHAnsi" w:hAnsiTheme="minorHAnsi"/>
          <w:sz w:val="22"/>
          <w:szCs w:val="22"/>
        </w:rPr>
        <w:t xml:space="preserve">fish species, the DCF sampling programmes were not designed with that specific purpose in mind, and for this reason it may not be statistically valid to provide estimates of catch for these species based on data collected by these programmes. Due to the random </w:t>
      </w:r>
      <w:r w:rsidR="00507C61">
        <w:rPr>
          <w:rFonts w:asciiTheme="minorHAnsi" w:hAnsiTheme="minorHAnsi"/>
          <w:sz w:val="22"/>
          <w:szCs w:val="22"/>
        </w:rPr>
        <w:t>design</w:t>
      </w:r>
      <w:r w:rsidR="00507C61" w:rsidRPr="008603C9">
        <w:rPr>
          <w:rFonts w:asciiTheme="minorHAnsi" w:hAnsiTheme="minorHAnsi"/>
          <w:sz w:val="22"/>
          <w:szCs w:val="22"/>
        </w:rPr>
        <w:t xml:space="preserve"> </w:t>
      </w:r>
      <w:r w:rsidRPr="008603C9">
        <w:rPr>
          <w:rFonts w:asciiTheme="minorHAnsi" w:hAnsiTheme="minorHAnsi"/>
          <w:sz w:val="22"/>
          <w:szCs w:val="22"/>
        </w:rPr>
        <w:t>of the sampling procedure and low coverage</w:t>
      </w:r>
      <w:r w:rsidR="00507C61">
        <w:rPr>
          <w:rFonts w:asciiTheme="minorHAnsi" w:hAnsiTheme="minorHAnsi"/>
          <w:sz w:val="22"/>
          <w:szCs w:val="22"/>
        </w:rPr>
        <w:t xml:space="preserve"> of the programme</w:t>
      </w:r>
      <w:r w:rsidRPr="008603C9">
        <w:rPr>
          <w:rFonts w:asciiTheme="minorHAnsi" w:hAnsiTheme="minorHAnsi"/>
          <w:sz w:val="22"/>
          <w:szCs w:val="22"/>
        </w:rPr>
        <w:t xml:space="preserve">, rare species, such as some species of elasmobranchs may not be </w:t>
      </w:r>
      <w:r w:rsidR="00507C61">
        <w:rPr>
          <w:rFonts w:asciiTheme="minorHAnsi" w:hAnsiTheme="minorHAnsi"/>
          <w:sz w:val="22"/>
          <w:szCs w:val="22"/>
        </w:rPr>
        <w:t>effectively</w:t>
      </w:r>
      <w:r w:rsidR="00507C61" w:rsidRPr="008603C9">
        <w:rPr>
          <w:rFonts w:asciiTheme="minorHAnsi" w:hAnsiTheme="minorHAnsi"/>
          <w:sz w:val="22"/>
          <w:szCs w:val="22"/>
        </w:rPr>
        <w:t xml:space="preserve"> </w:t>
      </w:r>
      <w:r w:rsidRPr="008603C9">
        <w:rPr>
          <w:rFonts w:asciiTheme="minorHAnsi" w:hAnsiTheme="minorHAnsi"/>
          <w:sz w:val="22"/>
          <w:szCs w:val="22"/>
        </w:rPr>
        <w:t xml:space="preserve">sampled. </w:t>
      </w:r>
      <w:r w:rsidRPr="008603C9">
        <w:rPr>
          <w:rFonts w:asciiTheme="minorHAnsi" w:hAnsiTheme="minorHAnsi" w:cs="Calibri"/>
          <w:sz w:val="22"/>
          <w:szCs w:val="22"/>
        </w:rPr>
        <w:t xml:space="preserve"> </w:t>
      </w:r>
      <w:r w:rsidRPr="008603C9">
        <w:rPr>
          <w:rFonts w:asciiTheme="minorHAnsi" w:hAnsiTheme="minorHAnsi"/>
          <w:sz w:val="22"/>
          <w:szCs w:val="22"/>
        </w:rPr>
        <w:t xml:space="preserve">The raising of bycatch/discard data </w:t>
      </w:r>
      <w:r w:rsidR="00507C61">
        <w:rPr>
          <w:rFonts w:asciiTheme="minorHAnsi" w:hAnsiTheme="minorHAnsi"/>
          <w:sz w:val="22"/>
          <w:szCs w:val="22"/>
        </w:rPr>
        <w:t>of this type to estimate catches of PETS at</w:t>
      </w:r>
      <w:r w:rsidRPr="008603C9">
        <w:rPr>
          <w:rFonts w:asciiTheme="minorHAnsi" w:hAnsiTheme="minorHAnsi"/>
          <w:sz w:val="22"/>
          <w:szCs w:val="22"/>
        </w:rPr>
        <w:t xml:space="preserve"> fleet level may lead to biased estimates with very low precision. There is a need to develop directed studies to monitoring PETS bycatch </w:t>
      </w:r>
      <w:r w:rsidR="00896697">
        <w:rPr>
          <w:rFonts w:asciiTheme="minorHAnsi" w:hAnsiTheme="minorHAnsi"/>
          <w:sz w:val="22"/>
          <w:szCs w:val="22"/>
        </w:rPr>
        <w:t xml:space="preserve">and rare </w:t>
      </w:r>
      <w:r w:rsidR="00507C61">
        <w:rPr>
          <w:rFonts w:asciiTheme="minorHAnsi" w:hAnsiTheme="minorHAnsi"/>
          <w:sz w:val="22"/>
          <w:szCs w:val="22"/>
        </w:rPr>
        <w:t>species</w:t>
      </w:r>
      <w:r w:rsidR="00896697">
        <w:rPr>
          <w:rFonts w:asciiTheme="minorHAnsi" w:hAnsiTheme="minorHAnsi"/>
          <w:sz w:val="22"/>
          <w:szCs w:val="22"/>
        </w:rPr>
        <w:t xml:space="preserve"> </w:t>
      </w:r>
      <w:r w:rsidRPr="008603C9">
        <w:rPr>
          <w:rFonts w:asciiTheme="minorHAnsi" w:hAnsiTheme="minorHAnsi"/>
          <w:sz w:val="22"/>
          <w:szCs w:val="22"/>
        </w:rPr>
        <w:t xml:space="preserve">and </w:t>
      </w:r>
      <w:r w:rsidR="00507C61">
        <w:rPr>
          <w:rFonts w:asciiTheme="minorHAnsi" w:hAnsiTheme="minorHAnsi"/>
          <w:sz w:val="22"/>
          <w:szCs w:val="22"/>
        </w:rPr>
        <w:t>a</w:t>
      </w:r>
      <w:r w:rsidR="00507C61" w:rsidRPr="008603C9">
        <w:rPr>
          <w:rFonts w:asciiTheme="minorHAnsi" w:hAnsiTheme="minorHAnsi"/>
          <w:sz w:val="22"/>
          <w:szCs w:val="22"/>
        </w:rPr>
        <w:t xml:space="preserve"> </w:t>
      </w:r>
      <w:r w:rsidRPr="008603C9">
        <w:rPr>
          <w:rFonts w:asciiTheme="minorHAnsi" w:hAnsiTheme="minorHAnsi"/>
          <w:sz w:val="22"/>
          <w:szCs w:val="22"/>
        </w:rPr>
        <w:t xml:space="preserve">need to develop statistically sound sampling programmes with the objective of monitor catches of </w:t>
      </w:r>
      <w:r w:rsidR="00896697">
        <w:rPr>
          <w:rFonts w:asciiTheme="minorHAnsi" w:hAnsiTheme="minorHAnsi"/>
          <w:sz w:val="22"/>
          <w:szCs w:val="22"/>
        </w:rPr>
        <w:t>those species</w:t>
      </w:r>
      <w:r w:rsidRPr="008603C9">
        <w:rPr>
          <w:rFonts w:asciiTheme="minorHAnsi" w:hAnsiTheme="minorHAnsi"/>
          <w:sz w:val="22"/>
          <w:szCs w:val="22"/>
        </w:rPr>
        <w:t>.</w:t>
      </w:r>
    </w:p>
    <w:p w14:paraId="3BC03138" w14:textId="688D49C1" w:rsidR="003C4EE5" w:rsidRDefault="003C4EE5" w:rsidP="003C4EE5">
      <w:pPr>
        <w:pStyle w:val="Default"/>
        <w:spacing w:line="276" w:lineRule="auto"/>
        <w:jc w:val="both"/>
        <w:rPr>
          <w:rFonts w:asciiTheme="minorHAnsi" w:hAnsiTheme="minorHAnsi"/>
          <w:sz w:val="22"/>
          <w:szCs w:val="22"/>
        </w:rPr>
      </w:pPr>
    </w:p>
    <w:p w14:paraId="7A05124C" w14:textId="03146537" w:rsidR="00A8311E" w:rsidRDefault="003C4EE5" w:rsidP="00A8311E">
      <w:pPr>
        <w:spacing w:after="160"/>
        <w:ind w:left="0"/>
      </w:pPr>
      <w:r>
        <w:t xml:space="preserve">Since 2009, countries are required to report skates and rays landings by species. However, is recognised that the reported landings by species have issues with miss reporting and species identification. </w:t>
      </w:r>
      <w:r w:rsidR="003A722B">
        <w:t>Is important that species-</w:t>
      </w:r>
      <w:r w:rsidR="00507C61">
        <w:t>specific</w:t>
      </w:r>
      <w:r w:rsidR="003A722B">
        <w:t xml:space="preserve"> landings/catch data are correct. The fishing industry might provide catch data and biological (e.g. length, sex) for those skates and rays species that are not effectively sampled by the scientific sampling programmes.</w:t>
      </w:r>
      <w:r w:rsidR="006F06F1">
        <w:t xml:space="preserve"> </w:t>
      </w:r>
      <w:r w:rsidR="00CD7CD4">
        <w:t xml:space="preserve">Bycatch data can also be generated </w:t>
      </w:r>
      <w:r w:rsidR="00F43768">
        <w:t xml:space="preserve">using new technologies, such as EM technology on-board of fishing vessels. </w:t>
      </w:r>
      <w:r w:rsidR="003A722B">
        <w:t>These data would inform and improve the stock assessment for these species.</w:t>
      </w:r>
    </w:p>
    <w:p w14:paraId="0EF255F3" w14:textId="3360F076" w:rsidR="00A8311E" w:rsidRDefault="00A8311E" w:rsidP="00A8311E">
      <w:pPr>
        <w:spacing w:after="160"/>
        <w:ind w:left="0"/>
      </w:pPr>
    </w:p>
    <w:p w14:paraId="28F5A53A" w14:textId="4C2C9D58" w:rsidR="00A8311E" w:rsidRDefault="00A8311E" w:rsidP="00A8311E">
      <w:pPr>
        <w:pStyle w:val="Heading1"/>
      </w:pPr>
      <w:bookmarkStart w:id="111" w:name="_Toc518658157"/>
      <w:r>
        <w:t>Conclusions</w:t>
      </w:r>
      <w:bookmarkEnd w:id="111"/>
    </w:p>
    <w:p w14:paraId="7E315F37" w14:textId="4C2C7C0D" w:rsidR="00431430" w:rsidRDefault="00A8311E" w:rsidP="00431430">
      <w:r>
        <w:t xml:space="preserve">In summary, the Celtic Sea monkfish poses a medium risk to the skates and rays species (blonde ray, cuckoo and undulate ray), pollack and ling captured with netters. </w:t>
      </w:r>
      <w:r w:rsidR="00431430">
        <w:t xml:space="preserve">For the other gears, the </w:t>
      </w:r>
      <w:r w:rsidR="00431430">
        <w:lastRenderedPageBreak/>
        <w:t xml:space="preserve">main secondary species were classified with low risk. </w:t>
      </w:r>
      <w:r>
        <w:t xml:space="preserve">Cefas </w:t>
      </w:r>
      <w:r w:rsidR="00431430">
        <w:t>Observer d</w:t>
      </w:r>
      <w:r>
        <w:t xml:space="preserve">ata did not have </w:t>
      </w:r>
      <w:r w:rsidR="00431430">
        <w:t xml:space="preserve">any recorded for “out-of-scope” species for the period between 2014-2017. Data for these species have been requested to Sea Mammal Research Unit (SMRU) and analysis will be provided at a later stage.  </w:t>
      </w:r>
    </w:p>
    <w:p w14:paraId="619FDB68" w14:textId="7A057F1E" w:rsidR="00431430" w:rsidRDefault="00431430" w:rsidP="00431430">
      <w:r>
        <w:t xml:space="preserve">There are limitations with the data used from the Observer programme, due to the low </w:t>
      </w:r>
      <w:r w:rsidRPr="008603C9">
        <w:t xml:space="preserve">to the random </w:t>
      </w:r>
      <w:r>
        <w:t>design</w:t>
      </w:r>
      <w:r w:rsidRPr="008603C9">
        <w:t xml:space="preserve"> of the sampling procedure and low coverage</w:t>
      </w:r>
      <w:r>
        <w:t xml:space="preserve"> of the programme</w:t>
      </w:r>
      <w:r w:rsidRPr="008603C9">
        <w:t xml:space="preserve">, rare species, such as some species of elasmobranchs may not be </w:t>
      </w:r>
      <w:r>
        <w:t>effectively</w:t>
      </w:r>
      <w:r w:rsidRPr="008603C9">
        <w:t xml:space="preserve"> sampled.</w:t>
      </w:r>
      <w:r>
        <w:t xml:space="preserve"> The coverage and data collected could be improved with the use of new technologies (e.g REM) </w:t>
      </w:r>
      <w:r w:rsidR="00AD18C0">
        <w:t>and/</w:t>
      </w:r>
      <w:r>
        <w:t xml:space="preserve">or </w:t>
      </w:r>
      <w:r w:rsidR="00AD18C0">
        <w:t xml:space="preserve">fishing </w:t>
      </w:r>
      <w:r>
        <w:t>industry</w:t>
      </w:r>
      <w:r w:rsidR="00AD18C0">
        <w:t xml:space="preserve"> collected and providing catch data. </w:t>
      </w:r>
    </w:p>
    <w:p w14:paraId="5C535F27" w14:textId="77777777" w:rsidR="00431430" w:rsidRDefault="00431430" w:rsidP="00431430"/>
    <w:p w14:paraId="533E49A2" w14:textId="6D2F55E6" w:rsidR="006352C7" w:rsidRDefault="006352C7" w:rsidP="00EA60DC">
      <w:pPr>
        <w:pStyle w:val="Heading1"/>
      </w:pPr>
      <w:bookmarkStart w:id="112" w:name="_Toc518658158"/>
      <w:r>
        <w:t>References</w:t>
      </w:r>
      <w:bookmarkEnd w:id="112"/>
    </w:p>
    <w:p w14:paraId="509F537F" w14:textId="77777777" w:rsidR="003C4EE5" w:rsidRPr="000B68A0" w:rsidRDefault="003C4EE5" w:rsidP="003C4EE5">
      <w:pPr>
        <w:ind w:left="0"/>
      </w:pPr>
      <w:r w:rsidRPr="000B68A0">
        <w:t>Tom Catchpole, Serena Wright, Victoria Bendall, Stuart Hetherington, Peter Randall, Elizabeth Ross, Ana Ribeiro Santos, Jim Ellis, Jochen Depestele (ILVO), Suzanna Neville (2017). Ray Discard Survival. Enhancing evidence of the discard survival of ray species. Lowestoft: CEFAS.</w:t>
      </w:r>
    </w:p>
    <w:p w14:paraId="0B532108" w14:textId="77777777" w:rsidR="003C4EE5" w:rsidRDefault="003C4EE5" w:rsidP="003C4EE5">
      <w:pPr>
        <w:ind w:left="0"/>
      </w:pPr>
      <w:r>
        <w:t xml:space="preserve">Eryilmaz, L. and Dalyan, C. 2015. Age, growth, and reproductive biology of turbot, </w:t>
      </w:r>
      <w:r>
        <w:rPr>
          <w:i/>
        </w:rPr>
        <w:t>Scophthalmus maximus</w:t>
      </w:r>
      <w:r>
        <w:t xml:space="preserve"> (Actinopterygii: Pleuronectiformes: Scophthalmidae), from the South-western coasts of Black Sea, Turkey. Acta Ichthyologica et Piscatoria, 45 (2): 181 – 188.</w:t>
      </w:r>
    </w:p>
    <w:p w14:paraId="0F26E6FB" w14:textId="77777777" w:rsidR="003C4EE5" w:rsidRDefault="003C4EE5" w:rsidP="003C4EE5">
      <w:pPr>
        <w:ind w:left="0"/>
      </w:pPr>
      <w:r>
        <w:t xml:space="preserve">Froese, R., Garthe, S., Piatkowski and Pauly, D. 2005. Trophic signatures of marine organisms in the Mediterranean as compared with other ecosystems. Belgium Journal of Zoology, 135(2): 139 – 143. </w:t>
      </w:r>
    </w:p>
    <w:p w14:paraId="6277F210" w14:textId="77777777" w:rsidR="003C4EE5" w:rsidRDefault="003C4EE5" w:rsidP="003C4EE5">
      <w:pPr>
        <w:ind w:left="0"/>
      </w:pPr>
      <w:r>
        <w:t>Heino, M., Svasand, T., Nordeide, J. T. and Ottera, H. 2012. Seasonal dynamics of growth and mortality suggest contrasting population structure and ecology for cod, pollack, and saithe in a Norwegian fjord/ ICES Journal of Marine Science, 69(4): 537-546.</w:t>
      </w:r>
    </w:p>
    <w:p w14:paraId="2E8E4993" w14:textId="77777777" w:rsidR="003C4EE5" w:rsidRDefault="003C4EE5" w:rsidP="003C4EE5">
      <w:pPr>
        <w:ind w:left="0"/>
      </w:pPr>
      <w:r>
        <w:t>ICES. 2010. Cephalopod biology and fisheries in Europe. ICES Cooperative Research Report No.303.175p.</w:t>
      </w:r>
    </w:p>
    <w:p w14:paraId="23A94640" w14:textId="77777777" w:rsidR="003C4EE5" w:rsidRPr="003663A3" w:rsidRDefault="003C4EE5" w:rsidP="003C4EE5">
      <w:pPr>
        <w:ind w:left="0"/>
      </w:pPr>
      <w:r>
        <w:t xml:space="preserve">Meyer, Carl. 2010. </w:t>
      </w:r>
      <w:r>
        <w:rPr>
          <w:i/>
        </w:rPr>
        <w:t>Maja squinado</w:t>
      </w:r>
      <w:r>
        <w:t xml:space="preserve">, the European Spider crab: Biology and Fishery. University of Haway. </w:t>
      </w:r>
      <w:r w:rsidRPr="003663A3">
        <w:t>http://www2.hawaii.edu/~carlm/spider.html</w:t>
      </w:r>
      <w:r>
        <w:t>.</w:t>
      </w:r>
    </w:p>
    <w:p w14:paraId="2FF8C16B" w14:textId="3D145E57" w:rsidR="003C4EE5" w:rsidRPr="00B00F80" w:rsidRDefault="003C4EE5" w:rsidP="003C4EE5">
      <w:pPr>
        <w:ind w:left="0"/>
      </w:pPr>
      <w:r>
        <w:t>Onsoy, B.</w:t>
      </w:r>
      <w:r w:rsidR="00125544">
        <w:t xml:space="preserve"> and Salman, A. 2005. Rep</w:t>
      </w:r>
      <w:r>
        <w:t>r</w:t>
      </w:r>
      <w:r w:rsidR="00125544">
        <w:t>o</w:t>
      </w:r>
      <w:r>
        <w:t xml:space="preserve">ductive biology of the common cuttlefish </w:t>
      </w:r>
      <w:r>
        <w:rPr>
          <w:i/>
        </w:rPr>
        <w:t>Sepia officinalis</w:t>
      </w:r>
      <w:r w:rsidR="00125544">
        <w:t xml:space="preserve"> L. (Sepiida: Ce</w:t>
      </w:r>
      <w:r>
        <w:t>phalopoda) in the Aegean Sea. Turkish Journal of Veterinary Animal Science, 29: 613 – 619.</w:t>
      </w:r>
    </w:p>
    <w:p w14:paraId="7520FA3D" w14:textId="77777777" w:rsidR="003C4EE5" w:rsidRDefault="003C4EE5" w:rsidP="003C4EE5">
      <w:pPr>
        <w:ind w:left="0"/>
      </w:pPr>
      <w:r w:rsidRPr="00004E5E">
        <w:t>Patrick, W. S., P. Spencer, O. Ormseth, J. Cope, J. Field, D. Kobayashi, T. Gedamke, E. Cortés, K. Bigelow, W. Overholtz, J. Link, and P. Lawson. 2009. Use of productivity and susceptibility indices to determine stock vulnerability, with example applications to six U.S. fisheries. U.S. Dep. Commer., NOAA Tech. Memo. NMFS-F/SPO-101, 90 p</w:t>
      </w:r>
      <w:r>
        <w:t>.</w:t>
      </w:r>
    </w:p>
    <w:p w14:paraId="0D2CE43C" w14:textId="77777777" w:rsidR="003C4EE5" w:rsidRDefault="003C4EE5" w:rsidP="003C4EE5">
      <w:pPr>
        <w:ind w:left="0"/>
      </w:pPr>
      <w:r>
        <w:t>Revill, A., Dulvy, N. and Holst, R. 2005. The survival of discarded lesser-spotted dogfish (</w:t>
      </w:r>
      <w:r>
        <w:rPr>
          <w:i/>
        </w:rPr>
        <w:t>Scyliorhinus canicular</w:t>
      </w:r>
      <w:r>
        <w:t>) in the Western English Channel beam trawl fishery.</w:t>
      </w:r>
    </w:p>
    <w:p w14:paraId="0E3C7ED5" w14:textId="77777777" w:rsidR="003C4EE5" w:rsidRPr="005625C6" w:rsidRDefault="003C4EE5" w:rsidP="003C4EE5">
      <w:pPr>
        <w:ind w:left="0"/>
      </w:pPr>
      <w:r>
        <w:lastRenderedPageBreak/>
        <w:t xml:space="preserve">Revill, A. 2012. Survival of discarded fish – A rapid review of studies on discard survival rates. Request from European Commission, DGMARE. </w:t>
      </w:r>
      <w:r w:rsidRPr="000A39F9">
        <w:t>http://nsrac.org/wp-content/uploads/2012/08/EU-discard-survival-short-study-version-001.pdf</w:t>
      </w:r>
      <w:r>
        <w:t>.</w:t>
      </w:r>
    </w:p>
    <w:p w14:paraId="41DA6B39" w14:textId="77777777" w:rsidR="003C4EE5" w:rsidRDefault="003C4EE5" w:rsidP="003C4EE5">
      <w:pPr>
        <w:ind w:left="0"/>
      </w:pPr>
      <w:r w:rsidRPr="005362C5">
        <w:t xml:space="preserve">Revill, A. S., M. K. Broadhurst and R. B. Millar (2013). "Mortality of adult plaice, </w:t>
      </w:r>
      <w:r w:rsidRPr="000A39F9">
        <w:rPr>
          <w:i/>
        </w:rPr>
        <w:t>Pleuronectes platessa</w:t>
      </w:r>
      <w:r w:rsidRPr="005362C5">
        <w:t xml:space="preserve"> and sole, </w:t>
      </w:r>
      <w:r w:rsidRPr="000A39F9">
        <w:rPr>
          <w:i/>
        </w:rPr>
        <w:t>Solea solea</w:t>
      </w:r>
      <w:r w:rsidRPr="005362C5">
        <w:t xml:space="preserve"> discarded from English Channel beam trawlers." Fisheries Research </w:t>
      </w:r>
      <w:r w:rsidRPr="005362C5">
        <w:rPr>
          <w:b/>
          <w:bCs/>
        </w:rPr>
        <w:t>147</w:t>
      </w:r>
      <w:r w:rsidRPr="005362C5">
        <w:t>: 320-326.</w:t>
      </w:r>
    </w:p>
    <w:p w14:paraId="73504C3C" w14:textId="2E4EF301" w:rsidR="003C4EE5" w:rsidRPr="000B68A0" w:rsidRDefault="003C4EE5" w:rsidP="003C4EE5">
      <w:pPr>
        <w:ind w:left="0"/>
      </w:pPr>
      <w:r>
        <w:t xml:space="preserve">Revill, A., Bloor, I. S. M. and Jackson, E.L. 2015. The survival of discarded </w:t>
      </w:r>
      <w:r w:rsidR="00125544">
        <w:rPr>
          <w:i/>
        </w:rPr>
        <w:t>Sep</w:t>
      </w:r>
      <w:r>
        <w:rPr>
          <w:i/>
        </w:rPr>
        <w:t xml:space="preserve">ia officinalis </w:t>
      </w:r>
      <w:r>
        <w:t xml:space="preserve">in the </w:t>
      </w:r>
      <w:r w:rsidRPr="000B68A0">
        <w:t>English Channel. Fisheries Management and Ecology, 22: 164 – 171.</w:t>
      </w:r>
    </w:p>
    <w:p w14:paraId="6A899487" w14:textId="77777777" w:rsidR="003C4EE5" w:rsidRDefault="003C4EE5" w:rsidP="003C4EE5">
      <w:pPr>
        <w:ind w:left="0"/>
      </w:pPr>
      <w:r w:rsidRPr="000B68A0">
        <w:t>Scientific, Technical and Economic Committee for Fisheries (STECF) – Long-term management of skates and rays (STECF-17-21). Publications Office of the European Union, Luxembourg, 2017, ISBN 978-92-79-67493-8, doi:10.2760/44133, JRC109366</w:t>
      </w:r>
      <w:r>
        <w:t>.</w:t>
      </w:r>
    </w:p>
    <w:p w14:paraId="3B13ED43" w14:textId="77777777" w:rsidR="003C4EE5" w:rsidRDefault="003C4EE5" w:rsidP="00F43768">
      <w:pPr>
        <w:ind w:left="0"/>
        <w:jc w:val="left"/>
        <w:rPr>
          <w:rStyle w:val="Hyperlink"/>
        </w:rPr>
      </w:pPr>
      <w:r>
        <w:t xml:space="preserve">Seafish. 2014. Species Guide - Pollack v4. </w:t>
      </w:r>
      <w:hyperlink r:id="rId28" w:history="1">
        <w:r w:rsidRPr="00431798">
          <w:rPr>
            <w:rStyle w:val="Hyperlink"/>
          </w:rPr>
          <w:t>http://seafish.org/media/Publications/SeafishSpeciesGuide_Pollack_201401.pdf</w:t>
        </w:r>
      </w:hyperlink>
    </w:p>
    <w:p w14:paraId="30F5E3B3" w14:textId="77777777" w:rsidR="003C4EE5" w:rsidRDefault="003C4EE5">
      <w:pPr>
        <w:spacing w:after="160" w:line="259" w:lineRule="auto"/>
        <w:ind w:left="0"/>
        <w:jc w:val="left"/>
        <w:rPr>
          <w:rFonts w:eastAsia="Times New Roman" w:cs="Arial"/>
          <w:b/>
          <w:color w:val="244061"/>
          <w:sz w:val="36"/>
          <w:szCs w:val="36"/>
        </w:rPr>
      </w:pPr>
      <w:r>
        <w:br w:type="page"/>
      </w:r>
    </w:p>
    <w:p w14:paraId="1A5BB056" w14:textId="77777777" w:rsidR="003C4EE5" w:rsidRDefault="003C4EE5" w:rsidP="00FE6CF9">
      <w:pPr>
        <w:pStyle w:val="Appendix"/>
        <w:sectPr w:rsidR="003C4EE5" w:rsidSect="003C4EE5">
          <w:headerReference w:type="default" r:id="rId29"/>
          <w:pgSz w:w="11906" w:h="16838"/>
          <w:pgMar w:top="1440" w:right="1440" w:bottom="1440" w:left="1440" w:header="708" w:footer="708" w:gutter="0"/>
          <w:cols w:space="708"/>
          <w:docGrid w:linePitch="360"/>
        </w:sectPr>
      </w:pPr>
    </w:p>
    <w:p w14:paraId="2CE09B57" w14:textId="0BF39304" w:rsidR="006744DB" w:rsidRDefault="00FE6CF9" w:rsidP="00FE6CF9">
      <w:pPr>
        <w:pStyle w:val="Appendix"/>
      </w:pPr>
      <w:bookmarkStart w:id="113" w:name="_Hlk518566144"/>
      <w:r>
        <w:lastRenderedPageBreak/>
        <w:t>Appendix 1:</w:t>
      </w:r>
    </w:p>
    <w:p w14:paraId="598FD035" w14:textId="309070B5" w:rsidR="003C4EE5" w:rsidRPr="003C4EE5" w:rsidRDefault="003C4EE5" w:rsidP="003C4EE5">
      <w:r w:rsidRPr="006934FD">
        <w:rPr>
          <w:noProof/>
        </w:rPr>
        <w:drawing>
          <wp:inline distT="0" distB="0" distL="0" distR="0" wp14:anchorId="30409B82" wp14:editId="399A9634">
            <wp:extent cx="8290560" cy="49996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92034" cy="5000540"/>
                    </a:xfrm>
                    <a:prstGeom prst="rect">
                      <a:avLst/>
                    </a:prstGeom>
                    <a:noFill/>
                    <a:ln>
                      <a:noFill/>
                    </a:ln>
                  </pic:spPr>
                </pic:pic>
              </a:graphicData>
            </a:graphic>
          </wp:inline>
        </w:drawing>
      </w:r>
    </w:p>
    <w:p w14:paraId="174399AF" w14:textId="5D1D8EB8" w:rsidR="00FE6CF9" w:rsidRDefault="00FE6CF9" w:rsidP="00FE6CF9"/>
    <w:tbl>
      <w:tblPr>
        <w:tblStyle w:val="TableGrid1"/>
        <w:tblW w:w="0" w:type="auto"/>
        <w:tblInd w:w="0" w:type="dxa"/>
        <w:tblLayout w:type="fixed"/>
        <w:tblLook w:val="04A0" w:firstRow="1" w:lastRow="0" w:firstColumn="1" w:lastColumn="0" w:noHBand="0" w:noVBand="1"/>
      </w:tblPr>
      <w:tblGrid>
        <w:gridCol w:w="262"/>
        <w:gridCol w:w="3130"/>
        <w:gridCol w:w="2835"/>
        <w:gridCol w:w="1560"/>
        <w:gridCol w:w="722"/>
        <w:gridCol w:w="1219"/>
        <w:gridCol w:w="1342"/>
        <w:gridCol w:w="1131"/>
        <w:gridCol w:w="600"/>
        <w:gridCol w:w="1749"/>
      </w:tblGrid>
      <w:tr w:rsidR="003C4EE5" w:rsidRPr="006934FD" w14:paraId="4B6B0F9C" w14:textId="77777777" w:rsidTr="003C4EE5">
        <w:trPr>
          <w:trHeight w:val="300"/>
          <w:tblHeader/>
        </w:trPr>
        <w:tc>
          <w:tcPr>
            <w:tcW w:w="262" w:type="dxa"/>
            <w:tcBorders>
              <w:top w:val="single" w:sz="8" w:space="0" w:color="auto"/>
              <w:left w:val="single" w:sz="8" w:space="0" w:color="auto"/>
              <w:bottom w:val="single" w:sz="8" w:space="0" w:color="auto"/>
              <w:right w:val="single" w:sz="8" w:space="0" w:color="auto"/>
            </w:tcBorders>
            <w:noWrap/>
            <w:hideMark/>
          </w:tcPr>
          <w:p w14:paraId="1715E582" w14:textId="77777777" w:rsidR="003C4EE5" w:rsidRPr="006934FD" w:rsidRDefault="003C4EE5" w:rsidP="003C4EE5">
            <w:pPr>
              <w:spacing w:before="240" w:after="120"/>
              <w:ind w:left="0"/>
              <w:jc w:val="left"/>
              <w:rPr>
                <w:rFonts w:ascii="Arial" w:hAnsi="Arial" w:cs="Arial"/>
                <w:sz w:val="18"/>
                <w:szCs w:val="18"/>
              </w:rPr>
            </w:pPr>
            <w:bookmarkStart w:id="114" w:name="_Hlk514756339"/>
            <w:r w:rsidRPr="006934FD">
              <w:rPr>
                <w:rFonts w:ascii="Arial" w:hAnsi="Arial" w:cs="Arial"/>
                <w:sz w:val="18"/>
                <w:szCs w:val="18"/>
              </w:rPr>
              <w:t>ID</w:t>
            </w:r>
          </w:p>
        </w:tc>
        <w:tc>
          <w:tcPr>
            <w:tcW w:w="3130" w:type="dxa"/>
            <w:tcBorders>
              <w:top w:val="single" w:sz="8" w:space="0" w:color="auto"/>
              <w:left w:val="single" w:sz="8" w:space="0" w:color="auto"/>
              <w:bottom w:val="single" w:sz="8" w:space="0" w:color="auto"/>
              <w:right w:val="single" w:sz="8" w:space="0" w:color="auto"/>
            </w:tcBorders>
            <w:noWrap/>
            <w:hideMark/>
          </w:tcPr>
          <w:p w14:paraId="3E127881"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Author</w:t>
            </w:r>
          </w:p>
        </w:tc>
        <w:tc>
          <w:tcPr>
            <w:tcW w:w="2835" w:type="dxa"/>
            <w:tcBorders>
              <w:top w:val="single" w:sz="8" w:space="0" w:color="auto"/>
              <w:left w:val="single" w:sz="8" w:space="0" w:color="auto"/>
              <w:bottom w:val="single" w:sz="8" w:space="0" w:color="auto"/>
              <w:right w:val="single" w:sz="8" w:space="0" w:color="auto"/>
            </w:tcBorders>
            <w:noWrap/>
            <w:hideMark/>
          </w:tcPr>
          <w:p w14:paraId="65A5C341"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Title</w:t>
            </w:r>
          </w:p>
        </w:tc>
        <w:tc>
          <w:tcPr>
            <w:tcW w:w="1560" w:type="dxa"/>
            <w:tcBorders>
              <w:top w:val="single" w:sz="8" w:space="0" w:color="auto"/>
              <w:left w:val="single" w:sz="8" w:space="0" w:color="auto"/>
              <w:bottom w:val="single" w:sz="8" w:space="0" w:color="auto"/>
              <w:right w:val="single" w:sz="8" w:space="0" w:color="auto"/>
            </w:tcBorders>
            <w:noWrap/>
            <w:hideMark/>
          </w:tcPr>
          <w:p w14:paraId="23407F03"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Source</w:t>
            </w:r>
          </w:p>
        </w:tc>
        <w:tc>
          <w:tcPr>
            <w:tcW w:w="722" w:type="dxa"/>
            <w:tcBorders>
              <w:top w:val="single" w:sz="8" w:space="0" w:color="auto"/>
              <w:left w:val="single" w:sz="8" w:space="0" w:color="auto"/>
              <w:bottom w:val="single" w:sz="8" w:space="0" w:color="auto"/>
              <w:right w:val="single" w:sz="8" w:space="0" w:color="auto"/>
            </w:tcBorders>
            <w:noWrap/>
            <w:hideMark/>
          </w:tcPr>
          <w:p w14:paraId="7C556D3A"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Year</w:t>
            </w:r>
          </w:p>
        </w:tc>
        <w:tc>
          <w:tcPr>
            <w:tcW w:w="1219" w:type="dxa"/>
            <w:tcBorders>
              <w:top w:val="single" w:sz="8" w:space="0" w:color="auto"/>
              <w:left w:val="single" w:sz="8" w:space="0" w:color="auto"/>
              <w:bottom w:val="single" w:sz="8" w:space="0" w:color="auto"/>
              <w:right w:val="single" w:sz="8" w:space="0" w:color="auto"/>
            </w:tcBorders>
            <w:noWrap/>
            <w:hideMark/>
          </w:tcPr>
          <w:p w14:paraId="744C53C9"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Survival Est.</w:t>
            </w:r>
          </w:p>
        </w:tc>
        <w:tc>
          <w:tcPr>
            <w:tcW w:w="1342" w:type="dxa"/>
            <w:tcBorders>
              <w:top w:val="single" w:sz="8" w:space="0" w:color="auto"/>
              <w:left w:val="single" w:sz="8" w:space="0" w:color="auto"/>
              <w:bottom w:val="single" w:sz="8" w:space="0" w:color="auto"/>
              <w:right w:val="single" w:sz="8" w:space="0" w:color="auto"/>
            </w:tcBorders>
            <w:noWrap/>
            <w:hideMark/>
          </w:tcPr>
          <w:p w14:paraId="2F3740D4"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Species</w:t>
            </w:r>
          </w:p>
        </w:tc>
        <w:tc>
          <w:tcPr>
            <w:tcW w:w="1131" w:type="dxa"/>
            <w:tcBorders>
              <w:top w:val="single" w:sz="8" w:space="0" w:color="auto"/>
              <w:left w:val="single" w:sz="8" w:space="0" w:color="auto"/>
              <w:bottom w:val="single" w:sz="8" w:space="0" w:color="auto"/>
              <w:right w:val="single" w:sz="8" w:space="0" w:color="auto"/>
            </w:tcBorders>
            <w:noWrap/>
            <w:hideMark/>
          </w:tcPr>
          <w:p w14:paraId="75BED3C3"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Fishery</w:t>
            </w:r>
          </w:p>
        </w:tc>
        <w:tc>
          <w:tcPr>
            <w:tcW w:w="600" w:type="dxa"/>
            <w:tcBorders>
              <w:top w:val="single" w:sz="8" w:space="0" w:color="auto"/>
              <w:left w:val="single" w:sz="8" w:space="0" w:color="auto"/>
              <w:bottom w:val="single" w:sz="8" w:space="0" w:color="auto"/>
              <w:right w:val="single" w:sz="8" w:space="0" w:color="auto"/>
            </w:tcBorders>
            <w:noWrap/>
            <w:hideMark/>
          </w:tcPr>
          <w:p w14:paraId="34CEDC5F"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Gear</w:t>
            </w:r>
          </w:p>
        </w:tc>
        <w:tc>
          <w:tcPr>
            <w:tcW w:w="1749" w:type="dxa"/>
            <w:tcBorders>
              <w:top w:val="single" w:sz="8" w:space="0" w:color="auto"/>
              <w:left w:val="single" w:sz="8" w:space="0" w:color="auto"/>
              <w:bottom w:val="single" w:sz="8" w:space="0" w:color="auto"/>
              <w:right w:val="single" w:sz="8" w:space="0" w:color="auto"/>
            </w:tcBorders>
            <w:noWrap/>
            <w:hideMark/>
          </w:tcPr>
          <w:p w14:paraId="7EE8FE27"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Quality and comment</w:t>
            </w:r>
          </w:p>
        </w:tc>
      </w:tr>
      <w:tr w:rsidR="003C4EE5" w:rsidRPr="006934FD" w14:paraId="0486E155"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6542ADCF"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1</w:t>
            </w:r>
          </w:p>
        </w:tc>
        <w:tc>
          <w:tcPr>
            <w:tcW w:w="3130" w:type="dxa"/>
            <w:tcBorders>
              <w:top w:val="single" w:sz="8" w:space="0" w:color="auto"/>
              <w:left w:val="single" w:sz="8" w:space="0" w:color="auto"/>
              <w:bottom w:val="single" w:sz="8" w:space="0" w:color="auto"/>
              <w:right w:val="single" w:sz="8" w:space="0" w:color="auto"/>
            </w:tcBorders>
            <w:noWrap/>
            <w:hideMark/>
          </w:tcPr>
          <w:p w14:paraId="4A12CBBE"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Bendall, V. A., Hetherington, S. J., Ellis, J. R., Smith, S. F., Ives, M. J., Gregson, J. and Riley, A. A.</w:t>
            </w:r>
          </w:p>
        </w:tc>
        <w:tc>
          <w:tcPr>
            <w:tcW w:w="2835" w:type="dxa"/>
            <w:tcBorders>
              <w:top w:val="single" w:sz="8" w:space="0" w:color="auto"/>
              <w:left w:val="single" w:sz="8" w:space="0" w:color="auto"/>
              <w:bottom w:val="single" w:sz="8" w:space="0" w:color="auto"/>
              <w:right w:val="single" w:sz="8" w:space="0" w:color="auto"/>
            </w:tcBorders>
            <w:noWrap/>
            <w:hideMark/>
          </w:tcPr>
          <w:p w14:paraId="4E1F274B"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Spurdog, Porbeagle and Common Skate Bycatch and Discard Reduction</w:t>
            </w:r>
          </w:p>
        </w:tc>
        <w:tc>
          <w:tcPr>
            <w:tcW w:w="1560" w:type="dxa"/>
            <w:tcBorders>
              <w:top w:val="single" w:sz="8" w:space="0" w:color="auto"/>
              <w:left w:val="single" w:sz="8" w:space="0" w:color="auto"/>
              <w:bottom w:val="single" w:sz="8" w:space="0" w:color="auto"/>
              <w:right w:val="single" w:sz="8" w:space="0" w:color="auto"/>
            </w:tcBorders>
            <w:noWrap/>
            <w:hideMark/>
          </w:tcPr>
          <w:p w14:paraId="1C3337F9"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CEFAS Report</w:t>
            </w:r>
          </w:p>
        </w:tc>
        <w:tc>
          <w:tcPr>
            <w:tcW w:w="722" w:type="dxa"/>
            <w:tcBorders>
              <w:top w:val="single" w:sz="8" w:space="0" w:color="auto"/>
              <w:left w:val="single" w:sz="8" w:space="0" w:color="auto"/>
              <w:bottom w:val="single" w:sz="8" w:space="0" w:color="auto"/>
              <w:right w:val="single" w:sz="8" w:space="0" w:color="auto"/>
            </w:tcBorders>
            <w:noWrap/>
            <w:hideMark/>
          </w:tcPr>
          <w:p w14:paraId="73F7091F"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2012</w:t>
            </w:r>
          </w:p>
        </w:tc>
        <w:tc>
          <w:tcPr>
            <w:tcW w:w="1219" w:type="dxa"/>
            <w:tcBorders>
              <w:top w:val="single" w:sz="8" w:space="0" w:color="auto"/>
              <w:left w:val="single" w:sz="8" w:space="0" w:color="auto"/>
              <w:bottom w:val="single" w:sz="8" w:space="0" w:color="auto"/>
              <w:right w:val="single" w:sz="8" w:space="0" w:color="auto"/>
            </w:tcBorders>
            <w:noWrap/>
            <w:hideMark/>
          </w:tcPr>
          <w:p w14:paraId="6725D6E8"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At-vessel mortality only, based on vitality assessments</w:t>
            </w:r>
          </w:p>
        </w:tc>
        <w:tc>
          <w:tcPr>
            <w:tcW w:w="1342" w:type="dxa"/>
            <w:tcBorders>
              <w:top w:val="single" w:sz="8" w:space="0" w:color="auto"/>
              <w:left w:val="single" w:sz="8" w:space="0" w:color="auto"/>
              <w:bottom w:val="single" w:sz="8" w:space="0" w:color="auto"/>
              <w:right w:val="single" w:sz="8" w:space="0" w:color="auto"/>
            </w:tcBorders>
            <w:noWrap/>
            <w:hideMark/>
          </w:tcPr>
          <w:p w14:paraId="31B26ACF"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common skate complex (Dipturus batis)</w:t>
            </w:r>
          </w:p>
        </w:tc>
        <w:tc>
          <w:tcPr>
            <w:tcW w:w="1131" w:type="dxa"/>
            <w:tcBorders>
              <w:top w:val="single" w:sz="8" w:space="0" w:color="auto"/>
              <w:left w:val="single" w:sz="8" w:space="0" w:color="auto"/>
              <w:bottom w:val="single" w:sz="8" w:space="0" w:color="auto"/>
              <w:right w:val="single" w:sz="8" w:space="0" w:color="auto"/>
            </w:tcBorders>
            <w:noWrap/>
            <w:hideMark/>
          </w:tcPr>
          <w:p w14:paraId="24B84996"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Mixed target gill net fishery in ICES Division VIIe-f</w:t>
            </w:r>
          </w:p>
        </w:tc>
        <w:tc>
          <w:tcPr>
            <w:tcW w:w="600" w:type="dxa"/>
            <w:tcBorders>
              <w:top w:val="single" w:sz="8" w:space="0" w:color="auto"/>
              <w:left w:val="single" w:sz="8" w:space="0" w:color="auto"/>
              <w:bottom w:val="single" w:sz="8" w:space="0" w:color="auto"/>
              <w:right w:val="single" w:sz="8" w:space="0" w:color="auto"/>
            </w:tcBorders>
            <w:noWrap/>
            <w:hideMark/>
          </w:tcPr>
          <w:p w14:paraId="4CEBD6C8"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GN1</w:t>
            </w:r>
          </w:p>
        </w:tc>
        <w:tc>
          <w:tcPr>
            <w:tcW w:w="1749" w:type="dxa"/>
            <w:tcBorders>
              <w:top w:val="single" w:sz="8" w:space="0" w:color="auto"/>
              <w:left w:val="single" w:sz="8" w:space="0" w:color="auto"/>
              <w:bottom w:val="single" w:sz="8" w:space="0" w:color="auto"/>
              <w:right w:val="single" w:sz="8" w:space="0" w:color="auto"/>
            </w:tcBorders>
            <w:noWrap/>
            <w:hideMark/>
          </w:tcPr>
          <w:p w14:paraId="0E9BA7F3"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Health assessment was not the focus of the study; tagging results incomplete</w:t>
            </w:r>
          </w:p>
        </w:tc>
      </w:tr>
      <w:tr w:rsidR="003C4EE5" w:rsidRPr="006934FD" w14:paraId="31C55AAB"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457F3B5E"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2</w:t>
            </w:r>
          </w:p>
        </w:tc>
        <w:tc>
          <w:tcPr>
            <w:tcW w:w="3130" w:type="dxa"/>
            <w:tcBorders>
              <w:top w:val="single" w:sz="8" w:space="0" w:color="auto"/>
              <w:left w:val="single" w:sz="8" w:space="0" w:color="auto"/>
              <w:bottom w:val="single" w:sz="8" w:space="0" w:color="auto"/>
              <w:right w:val="single" w:sz="8" w:space="0" w:color="auto"/>
            </w:tcBorders>
            <w:noWrap/>
            <w:hideMark/>
          </w:tcPr>
          <w:p w14:paraId="3D15558C"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Ellis, J.R., Burt, G.J. and Cox, L.P.N. (2008)</w:t>
            </w:r>
          </w:p>
        </w:tc>
        <w:tc>
          <w:tcPr>
            <w:tcW w:w="2835" w:type="dxa"/>
            <w:tcBorders>
              <w:top w:val="single" w:sz="8" w:space="0" w:color="auto"/>
              <w:left w:val="single" w:sz="8" w:space="0" w:color="auto"/>
              <w:bottom w:val="single" w:sz="8" w:space="0" w:color="auto"/>
              <w:right w:val="single" w:sz="8" w:space="0" w:color="auto"/>
            </w:tcBorders>
            <w:noWrap/>
            <w:hideMark/>
          </w:tcPr>
          <w:p w14:paraId="767FB1E0"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Thames ray tagging and survival.</w:t>
            </w:r>
          </w:p>
        </w:tc>
        <w:tc>
          <w:tcPr>
            <w:tcW w:w="1560" w:type="dxa"/>
            <w:tcBorders>
              <w:top w:val="single" w:sz="8" w:space="0" w:color="auto"/>
              <w:left w:val="single" w:sz="8" w:space="0" w:color="auto"/>
              <w:bottom w:val="single" w:sz="8" w:space="0" w:color="auto"/>
              <w:right w:val="single" w:sz="8" w:space="0" w:color="auto"/>
            </w:tcBorders>
            <w:noWrap/>
            <w:hideMark/>
          </w:tcPr>
          <w:p w14:paraId="1BD7CC4C"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CEFAS Report</w:t>
            </w:r>
          </w:p>
        </w:tc>
        <w:tc>
          <w:tcPr>
            <w:tcW w:w="722" w:type="dxa"/>
            <w:tcBorders>
              <w:top w:val="single" w:sz="8" w:space="0" w:color="auto"/>
              <w:left w:val="single" w:sz="8" w:space="0" w:color="auto"/>
              <w:bottom w:val="single" w:sz="8" w:space="0" w:color="auto"/>
              <w:right w:val="single" w:sz="8" w:space="0" w:color="auto"/>
            </w:tcBorders>
            <w:noWrap/>
            <w:hideMark/>
          </w:tcPr>
          <w:p w14:paraId="40C54511"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2008</w:t>
            </w:r>
          </w:p>
        </w:tc>
        <w:tc>
          <w:tcPr>
            <w:tcW w:w="1219" w:type="dxa"/>
            <w:tcBorders>
              <w:top w:val="single" w:sz="8" w:space="0" w:color="auto"/>
              <w:left w:val="single" w:sz="8" w:space="0" w:color="auto"/>
              <w:bottom w:val="single" w:sz="8" w:space="0" w:color="auto"/>
              <w:right w:val="single" w:sz="8" w:space="0" w:color="auto"/>
            </w:tcBorders>
            <w:noWrap/>
            <w:hideMark/>
          </w:tcPr>
          <w:p w14:paraId="6AF785A0"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At-vessel mortality only, based on vitality assessments</w:t>
            </w:r>
          </w:p>
        </w:tc>
        <w:tc>
          <w:tcPr>
            <w:tcW w:w="1342" w:type="dxa"/>
            <w:tcBorders>
              <w:top w:val="single" w:sz="8" w:space="0" w:color="auto"/>
              <w:left w:val="single" w:sz="8" w:space="0" w:color="auto"/>
              <w:bottom w:val="single" w:sz="8" w:space="0" w:color="auto"/>
              <w:right w:val="single" w:sz="8" w:space="0" w:color="auto"/>
            </w:tcBorders>
            <w:noWrap/>
            <w:hideMark/>
          </w:tcPr>
          <w:p w14:paraId="34CE2CE8"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Mixed ray species dominated by thornback ray (Raja clavata)</w:t>
            </w:r>
          </w:p>
        </w:tc>
        <w:tc>
          <w:tcPr>
            <w:tcW w:w="1131" w:type="dxa"/>
            <w:tcBorders>
              <w:top w:val="single" w:sz="8" w:space="0" w:color="auto"/>
              <w:left w:val="single" w:sz="8" w:space="0" w:color="auto"/>
              <w:bottom w:val="single" w:sz="8" w:space="0" w:color="auto"/>
              <w:right w:val="single" w:sz="8" w:space="0" w:color="auto"/>
            </w:tcBorders>
            <w:noWrap/>
            <w:hideMark/>
          </w:tcPr>
          <w:p w14:paraId="649D9BC4"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 xml:space="preserve">North Sea trawl, longline and gillnet fisheries </w:t>
            </w:r>
          </w:p>
        </w:tc>
        <w:tc>
          <w:tcPr>
            <w:tcW w:w="600" w:type="dxa"/>
            <w:tcBorders>
              <w:top w:val="single" w:sz="8" w:space="0" w:color="auto"/>
              <w:left w:val="single" w:sz="8" w:space="0" w:color="auto"/>
              <w:bottom w:val="single" w:sz="8" w:space="0" w:color="auto"/>
              <w:right w:val="single" w:sz="8" w:space="0" w:color="auto"/>
            </w:tcBorders>
            <w:noWrap/>
            <w:hideMark/>
          </w:tcPr>
          <w:p w14:paraId="0D6DA618"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GN1, LL1</w:t>
            </w:r>
          </w:p>
        </w:tc>
        <w:tc>
          <w:tcPr>
            <w:tcW w:w="1749" w:type="dxa"/>
            <w:tcBorders>
              <w:top w:val="single" w:sz="8" w:space="0" w:color="auto"/>
              <w:left w:val="single" w:sz="8" w:space="0" w:color="auto"/>
              <w:bottom w:val="single" w:sz="8" w:space="0" w:color="auto"/>
              <w:right w:val="single" w:sz="8" w:space="0" w:color="auto"/>
            </w:tcBorders>
            <w:noWrap/>
            <w:hideMark/>
          </w:tcPr>
          <w:p w14:paraId="42898BCF"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Health assessment was not the focus of the study; tagging results incomplete</w:t>
            </w:r>
          </w:p>
        </w:tc>
      </w:tr>
      <w:tr w:rsidR="003C4EE5" w:rsidRPr="006934FD" w14:paraId="0D1CFD86"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7B341D1F"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3</w:t>
            </w:r>
          </w:p>
        </w:tc>
        <w:tc>
          <w:tcPr>
            <w:tcW w:w="3130" w:type="dxa"/>
            <w:tcBorders>
              <w:top w:val="single" w:sz="8" w:space="0" w:color="auto"/>
              <w:left w:val="single" w:sz="8" w:space="0" w:color="auto"/>
              <w:bottom w:val="single" w:sz="8" w:space="0" w:color="auto"/>
              <w:right w:val="single" w:sz="8" w:space="0" w:color="auto"/>
            </w:tcBorders>
            <w:noWrap/>
            <w:hideMark/>
          </w:tcPr>
          <w:p w14:paraId="194E27A6"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Depestele, J., Desender, M. Benoît, H.P., Polet, H., Vincx, M.</w:t>
            </w:r>
          </w:p>
        </w:tc>
        <w:tc>
          <w:tcPr>
            <w:tcW w:w="2835" w:type="dxa"/>
            <w:tcBorders>
              <w:top w:val="single" w:sz="8" w:space="0" w:color="auto"/>
              <w:left w:val="single" w:sz="8" w:space="0" w:color="auto"/>
              <w:bottom w:val="single" w:sz="8" w:space="0" w:color="auto"/>
              <w:right w:val="single" w:sz="8" w:space="0" w:color="auto"/>
            </w:tcBorders>
            <w:noWrap/>
            <w:hideMark/>
          </w:tcPr>
          <w:p w14:paraId="6653C8AB"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Short-term survival of discarded target fish and non-target invertebrate species in the “eurocutter” beam trawl fishery of the southern North Sea.</w:t>
            </w:r>
          </w:p>
        </w:tc>
        <w:tc>
          <w:tcPr>
            <w:tcW w:w="1560" w:type="dxa"/>
            <w:tcBorders>
              <w:top w:val="single" w:sz="8" w:space="0" w:color="auto"/>
              <w:left w:val="single" w:sz="8" w:space="0" w:color="auto"/>
              <w:bottom w:val="single" w:sz="8" w:space="0" w:color="auto"/>
              <w:right w:val="single" w:sz="8" w:space="0" w:color="auto"/>
            </w:tcBorders>
            <w:noWrap/>
            <w:hideMark/>
          </w:tcPr>
          <w:p w14:paraId="37463F42"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FISHERIES RESEARCH 154: 82-92.</w:t>
            </w:r>
          </w:p>
        </w:tc>
        <w:tc>
          <w:tcPr>
            <w:tcW w:w="722" w:type="dxa"/>
            <w:tcBorders>
              <w:top w:val="single" w:sz="8" w:space="0" w:color="auto"/>
              <w:left w:val="single" w:sz="8" w:space="0" w:color="auto"/>
              <w:bottom w:val="single" w:sz="8" w:space="0" w:color="auto"/>
              <w:right w:val="single" w:sz="8" w:space="0" w:color="auto"/>
            </w:tcBorders>
            <w:noWrap/>
            <w:hideMark/>
          </w:tcPr>
          <w:p w14:paraId="1CF5997A"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2014</w:t>
            </w:r>
          </w:p>
        </w:tc>
        <w:tc>
          <w:tcPr>
            <w:tcW w:w="1219" w:type="dxa"/>
            <w:tcBorders>
              <w:top w:val="single" w:sz="8" w:space="0" w:color="auto"/>
              <w:left w:val="single" w:sz="8" w:space="0" w:color="auto"/>
              <w:bottom w:val="single" w:sz="8" w:space="0" w:color="auto"/>
              <w:right w:val="single" w:sz="8" w:space="0" w:color="auto"/>
            </w:tcBorders>
            <w:noWrap/>
            <w:hideMark/>
          </w:tcPr>
          <w:p w14:paraId="150D9046"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72% (n=141)</w:t>
            </w:r>
          </w:p>
        </w:tc>
        <w:tc>
          <w:tcPr>
            <w:tcW w:w="1342" w:type="dxa"/>
            <w:tcBorders>
              <w:top w:val="single" w:sz="8" w:space="0" w:color="auto"/>
              <w:left w:val="single" w:sz="8" w:space="0" w:color="auto"/>
              <w:bottom w:val="single" w:sz="8" w:space="0" w:color="auto"/>
              <w:right w:val="single" w:sz="8" w:space="0" w:color="auto"/>
            </w:tcBorders>
            <w:noWrap/>
            <w:hideMark/>
          </w:tcPr>
          <w:p w14:paraId="446494B0"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Mixed ray species dominated by thornback ray (Raja clavata)</w:t>
            </w:r>
          </w:p>
        </w:tc>
        <w:tc>
          <w:tcPr>
            <w:tcW w:w="1131" w:type="dxa"/>
            <w:tcBorders>
              <w:top w:val="single" w:sz="8" w:space="0" w:color="auto"/>
              <w:left w:val="single" w:sz="8" w:space="0" w:color="auto"/>
              <w:bottom w:val="single" w:sz="8" w:space="0" w:color="auto"/>
              <w:right w:val="single" w:sz="8" w:space="0" w:color="auto"/>
            </w:tcBorders>
            <w:noWrap/>
            <w:hideMark/>
          </w:tcPr>
          <w:p w14:paraId="61A8F3CF"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North Sea Beam trawl</w:t>
            </w:r>
          </w:p>
        </w:tc>
        <w:tc>
          <w:tcPr>
            <w:tcW w:w="600" w:type="dxa"/>
            <w:tcBorders>
              <w:top w:val="single" w:sz="8" w:space="0" w:color="auto"/>
              <w:left w:val="single" w:sz="8" w:space="0" w:color="auto"/>
              <w:bottom w:val="single" w:sz="8" w:space="0" w:color="auto"/>
              <w:right w:val="single" w:sz="8" w:space="0" w:color="auto"/>
            </w:tcBorders>
            <w:noWrap/>
            <w:hideMark/>
          </w:tcPr>
          <w:p w14:paraId="299E3E2B"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BT2</w:t>
            </w:r>
          </w:p>
        </w:tc>
        <w:tc>
          <w:tcPr>
            <w:tcW w:w="1749" w:type="dxa"/>
            <w:tcBorders>
              <w:top w:val="single" w:sz="8" w:space="0" w:color="auto"/>
              <w:left w:val="single" w:sz="8" w:space="0" w:color="auto"/>
              <w:bottom w:val="single" w:sz="8" w:space="0" w:color="auto"/>
              <w:right w:val="single" w:sz="8" w:space="0" w:color="auto"/>
            </w:tcBorders>
            <w:noWrap/>
            <w:hideMark/>
          </w:tcPr>
          <w:p w14:paraId="36C3B5AA"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Modelled to asymptote; mixed ray species; survival rate likely overestimated</w:t>
            </w:r>
          </w:p>
        </w:tc>
      </w:tr>
      <w:tr w:rsidR="003C4EE5" w:rsidRPr="006934FD" w14:paraId="44D082E6"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2C36AB16"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4</w:t>
            </w:r>
          </w:p>
        </w:tc>
        <w:tc>
          <w:tcPr>
            <w:tcW w:w="3130" w:type="dxa"/>
            <w:tcBorders>
              <w:top w:val="single" w:sz="8" w:space="0" w:color="auto"/>
              <w:left w:val="single" w:sz="8" w:space="0" w:color="auto"/>
              <w:bottom w:val="single" w:sz="8" w:space="0" w:color="auto"/>
              <w:right w:val="single" w:sz="8" w:space="0" w:color="auto"/>
            </w:tcBorders>
            <w:noWrap/>
            <w:hideMark/>
          </w:tcPr>
          <w:p w14:paraId="484E47AE"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Enever, R.; Catchpole, T. L.; Ellis, J. R.; Grant, A.</w:t>
            </w:r>
          </w:p>
        </w:tc>
        <w:tc>
          <w:tcPr>
            <w:tcW w:w="2835" w:type="dxa"/>
            <w:tcBorders>
              <w:top w:val="single" w:sz="8" w:space="0" w:color="auto"/>
              <w:left w:val="single" w:sz="8" w:space="0" w:color="auto"/>
              <w:bottom w:val="single" w:sz="8" w:space="0" w:color="auto"/>
              <w:right w:val="single" w:sz="8" w:space="0" w:color="auto"/>
            </w:tcBorders>
            <w:noWrap/>
            <w:hideMark/>
          </w:tcPr>
          <w:p w14:paraId="7E20AC22"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The survival of skates (Rajidae) caught by demersal trawlers fishing in UK waters</w:t>
            </w:r>
          </w:p>
        </w:tc>
        <w:tc>
          <w:tcPr>
            <w:tcW w:w="1560" w:type="dxa"/>
            <w:tcBorders>
              <w:top w:val="single" w:sz="8" w:space="0" w:color="auto"/>
              <w:left w:val="single" w:sz="8" w:space="0" w:color="auto"/>
              <w:bottom w:val="single" w:sz="8" w:space="0" w:color="auto"/>
              <w:right w:val="single" w:sz="8" w:space="0" w:color="auto"/>
            </w:tcBorders>
            <w:noWrap/>
            <w:hideMark/>
          </w:tcPr>
          <w:p w14:paraId="467890F5"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FISHERIES RESEARCH 97(1–2): 72–76</w:t>
            </w:r>
          </w:p>
        </w:tc>
        <w:tc>
          <w:tcPr>
            <w:tcW w:w="722" w:type="dxa"/>
            <w:tcBorders>
              <w:top w:val="single" w:sz="8" w:space="0" w:color="auto"/>
              <w:left w:val="single" w:sz="8" w:space="0" w:color="auto"/>
              <w:bottom w:val="single" w:sz="8" w:space="0" w:color="auto"/>
              <w:right w:val="single" w:sz="8" w:space="0" w:color="auto"/>
            </w:tcBorders>
            <w:noWrap/>
            <w:hideMark/>
          </w:tcPr>
          <w:p w14:paraId="1A5DE38B"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2009</w:t>
            </w:r>
          </w:p>
        </w:tc>
        <w:tc>
          <w:tcPr>
            <w:tcW w:w="1219" w:type="dxa"/>
            <w:tcBorders>
              <w:top w:val="single" w:sz="8" w:space="0" w:color="auto"/>
              <w:left w:val="single" w:sz="8" w:space="0" w:color="auto"/>
              <w:bottom w:val="single" w:sz="8" w:space="0" w:color="auto"/>
              <w:right w:val="single" w:sz="8" w:space="0" w:color="auto"/>
            </w:tcBorders>
            <w:noWrap/>
            <w:hideMark/>
          </w:tcPr>
          <w:p w14:paraId="1EEF0B7D"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55-87% (n=162)</w:t>
            </w:r>
          </w:p>
        </w:tc>
        <w:tc>
          <w:tcPr>
            <w:tcW w:w="1342" w:type="dxa"/>
            <w:tcBorders>
              <w:top w:val="single" w:sz="8" w:space="0" w:color="auto"/>
              <w:left w:val="single" w:sz="8" w:space="0" w:color="auto"/>
              <w:bottom w:val="single" w:sz="8" w:space="0" w:color="auto"/>
              <w:right w:val="single" w:sz="8" w:space="0" w:color="auto"/>
            </w:tcBorders>
            <w:noWrap/>
            <w:hideMark/>
          </w:tcPr>
          <w:p w14:paraId="53987288"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Thornback ray (Raja clavata)</w:t>
            </w:r>
          </w:p>
        </w:tc>
        <w:tc>
          <w:tcPr>
            <w:tcW w:w="1131" w:type="dxa"/>
            <w:tcBorders>
              <w:top w:val="single" w:sz="8" w:space="0" w:color="auto"/>
              <w:left w:val="single" w:sz="8" w:space="0" w:color="auto"/>
              <w:bottom w:val="single" w:sz="8" w:space="0" w:color="auto"/>
              <w:right w:val="single" w:sz="8" w:space="0" w:color="auto"/>
            </w:tcBorders>
            <w:noWrap/>
            <w:hideMark/>
          </w:tcPr>
          <w:p w14:paraId="1A6EA71F"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Bristol Channel otter trawl</w:t>
            </w:r>
          </w:p>
        </w:tc>
        <w:tc>
          <w:tcPr>
            <w:tcW w:w="600" w:type="dxa"/>
            <w:tcBorders>
              <w:top w:val="single" w:sz="8" w:space="0" w:color="auto"/>
              <w:left w:val="single" w:sz="8" w:space="0" w:color="auto"/>
              <w:bottom w:val="single" w:sz="8" w:space="0" w:color="auto"/>
              <w:right w:val="single" w:sz="8" w:space="0" w:color="auto"/>
            </w:tcBorders>
            <w:noWrap/>
            <w:hideMark/>
          </w:tcPr>
          <w:p w14:paraId="220E1054"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TR2</w:t>
            </w:r>
          </w:p>
        </w:tc>
        <w:tc>
          <w:tcPr>
            <w:tcW w:w="1749" w:type="dxa"/>
            <w:tcBorders>
              <w:top w:val="single" w:sz="8" w:space="0" w:color="auto"/>
              <w:left w:val="single" w:sz="8" w:space="0" w:color="auto"/>
              <w:bottom w:val="single" w:sz="8" w:space="0" w:color="auto"/>
              <w:right w:val="single" w:sz="8" w:space="0" w:color="auto"/>
            </w:tcBorders>
            <w:noWrap/>
            <w:hideMark/>
          </w:tcPr>
          <w:p w14:paraId="1095259C"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 xml:space="preserve">Not monitored to asymptote; survival rate overestimated </w:t>
            </w:r>
          </w:p>
        </w:tc>
      </w:tr>
      <w:tr w:rsidR="003C4EE5" w:rsidRPr="006934FD" w14:paraId="4FC1D63F"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0E3A985C"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sz w:val="18"/>
                <w:szCs w:val="18"/>
              </w:rPr>
              <w:lastRenderedPageBreak/>
              <w:t>4</w:t>
            </w:r>
          </w:p>
        </w:tc>
        <w:tc>
          <w:tcPr>
            <w:tcW w:w="3130" w:type="dxa"/>
            <w:tcBorders>
              <w:top w:val="single" w:sz="8" w:space="0" w:color="auto"/>
              <w:left w:val="single" w:sz="8" w:space="0" w:color="auto"/>
              <w:bottom w:val="single" w:sz="8" w:space="0" w:color="auto"/>
              <w:right w:val="single" w:sz="8" w:space="0" w:color="auto"/>
            </w:tcBorders>
            <w:noWrap/>
            <w:hideMark/>
          </w:tcPr>
          <w:p w14:paraId="78F3BCFD"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sz w:val="18"/>
                <w:szCs w:val="18"/>
              </w:rPr>
              <w:t>Enever, R.; Catchpole, T. L.; Ellis, J. R.; Grant, A.</w:t>
            </w:r>
          </w:p>
        </w:tc>
        <w:tc>
          <w:tcPr>
            <w:tcW w:w="2835" w:type="dxa"/>
            <w:tcBorders>
              <w:top w:val="single" w:sz="8" w:space="0" w:color="auto"/>
              <w:left w:val="single" w:sz="8" w:space="0" w:color="auto"/>
              <w:bottom w:val="single" w:sz="8" w:space="0" w:color="auto"/>
              <w:right w:val="single" w:sz="8" w:space="0" w:color="auto"/>
            </w:tcBorders>
            <w:noWrap/>
            <w:hideMark/>
          </w:tcPr>
          <w:p w14:paraId="39A61F43"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sz w:val="18"/>
                <w:szCs w:val="18"/>
              </w:rPr>
              <w:t>The survival of skates (Rajidae) caught by demersal trawlers fishing in UK waters</w:t>
            </w:r>
          </w:p>
        </w:tc>
        <w:tc>
          <w:tcPr>
            <w:tcW w:w="1560" w:type="dxa"/>
            <w:tcBorders>
              <w:top w:val="single" w:sz="8" w:space="0" w:color="auto"/>
              <w:left w:val="single" w:sz="8" w:space="0" w:color="auto"/>
              <w:bottom w:val="single" w:sz="8" w:space="0" w:color="auto"/>
              <w:right w:val="single" w:sz="8" w:space="0" w:color="auto"/>
            </w:tcBorders>
            <w:noWrap/>
            <w:hideMark/>
          </w:tcPr>
          <w:p w14:paraId="350A0FCD"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sz w:val="18"/>
                <w:szCs w:val="18"/>
              </w:rPr>
              <w:t>FISHERIES RESEARCH 97(1–2): 72–76</w:t>
            </w:r>
          </w:p>
        </w:tc>
        <w:tc>
          <w:tcPr>
            <w:tcW w:w="722" w:type="dxa"/>
            <w:tcBorders>
              <w:top w:val="single" w:sz="8" w:space="0" w:color="auto"/>
              <w:left w:val="single" w:sz="8" w:space="0" w:color="auto"/>
              <w:bottom w:val="single" w:sz="8" w:space="0" w:color="auto"/>
              <w:right w:val="single" w:sz="8" w:space="0" w:color="auto"/>
            </w:tcBorders>
            <w:noWrap/>
            <w:hideMark/>
          </w:tcPr>
          <w:p w14:paraId="5E0D09BB"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sz w:val="18"/>
                <w:szCs w:val="18"/>
              </w:rPr>
              <w:t>2009</w:t>
            </w:r>
          </w:p>
        </w:tc>
        <w:tc>
          <w:tcPr>
            <w:tcW w:w="1219" w:type="dxa"/>
            <w:tcBorders>
              <w:top w:val="single" w:sz="8" w:space="0" w:color="auto"/>
              <w:left w:val="single" w:sz="8" w:space="0" w:color="auto"/>
              <w:bottom w:val="single" w:sz="8" w:space="0" w:color="auto"/>
              <w:right w:val="single" w:sz="8" w:space="0" w:color="auto"/>
            </w:tcBorders>
            <w:noWrap/>
            <w:hideMark/>
          </w:tcPr>
          <w:p w14:paraId="353B381B"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sz w:val="18"/>
                <w:szCs w:val="18"/>
              </w:rPr>
              <w:t>33% (n=6)</w:t>
            </w:r>
          </w:p>
        </w:tc>
        <w:tc>
          <w:tcPr>
            <w:tcW w:w="1342" w:type="dxa"/>
            <w:tcBorders>
              <w:top w:val="single" w:sz="8" w:space="0" w:color="auto"/>
              <w:left w:val="single" w:sz="8" w:space="0" w:color="auto"/>
              <w:bottom w:val="single" w:sz="8" w:space="0" w:color="auto"/>
              <w:right w:val="single" w:sz="8" w:space="0" w:color="auto"/>
            </w:tcBorders>
            <w:noWrap/>
            <w:hideMark/>
          </w:tcPr>
          <w:p w14:paraId="3BE4303C"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sz w:val="18"/>
                <w:szCs w:val="18"/>
              </w:rPr>
              <w:t>Cuckoo ray (Leucoraja naevus)</w:t>
            </w:r>
          </w:p>
        </w:tc>
        <w:tc>
          <w:tcPr>
            <w:tcW w:w="1131" w:type="dxa"/>
            <w:tcBorders>
              <w:top w:val="single" w:sz="8" w:space="0" w:color="auto"/>
              <w:left w:val="single" w:sz="8" w:space="0" w:color="auto"/>
              <w:bottom w:val="single" w:sz="8" w:space="0" w:color="auto"/>
              <w:right w:val="single" w:sz="8" w:space="0" w:color="auto"/>
            </w:tcBorders>
            <w:noWrap/>
            <w:hideMark/>
          </w:tcPr>
          <w:p w14:paraId="3C1B5220"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sz w:val="18"/>
                <w:szCs w:val="18"/>
              </w:rPr>
              <w:t>Bristol Channel otter trawl</w:t>
            </w:r>
          </w:p>
        </w:tc>
        <w:tc>
          <w:tcPr>
            <w:tcW w:w="600" w:type="dxa"/>
            <w:tcBorders>
              <w:top w:val="single" w:sz="8" w:space="0" w:color="auto"/>
              <w:left w:val="single" w:sz="8" w:space="0" w:color="auto"/>
              <w:bottom w:val="single" w:sz="8" w:space="0" w:color="auto"/>
              <w:right w:val="single" w:sz="8" w:space="0" w:color="auto"/>
            </w:tcBorders>
            <w:noWrap/>
            <w:hideMark/>
          </w:tcPr>
          <w:p w14:paraId="7F2A77C7"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sz w:val="18"/>
                <w:szCs w:val="18"/>
              </w:rPr>
              <w:t>TR2</w:t>
            </w:r>
          </w:p>
        </w:tc>
        <w:tc>
          <w:tcPr>
            <w:tcW w:w="1749" w:type="dxa"/>
            <w:tcBorders>
              <w:top w:val="single" w:sz="8" w:space="0" w:color="auto"/>
              <w:left w:val="single" w:sz="8" w:space="0" w:color="auto"/>
              <w:bottom w:val="single" w:sz="8" w:space="0" w:color="auto"/>
              <w:right w:val="single" w:sz="8" w:space="0" w:color="auto"/>
            </w:tcBorders>
            <w:noWrap/>
            <w:hideMark/>
          </w:tcPr>
          <w:p w14:paraId="1B420B8D"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 xml:space="preserve">Not monitored to asymptote; survival rate overestimated </w:t>
            </w:r>
          </w:p>
        </w:tc>
      </w:tr>
      <w:tr w:rsidR="003C4EE5" w:rsidRPr="006934FD" w14:paraId="2C7DA961"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5A45074D"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sz w:val="18"/>
                <w:szCs w:val="18"/>
              </w:rPr>
              <w:t>4</w:t>
            </w:r>
          </w:p>
        </w:tc>
        <w:tc>
          <w:tcPr>
            <w:tcW w:w="3130" w:type="dxa"/>
            <w:tcBorders>
              <w:top w:val="single" w:sz="8" w:space="0" w:color="auto"/>
              <w:left w:val="single" w:sz="8" w:space="0" w:color="auto"/>
              <w:bottom w:val="single" w:sz="8" w:space="0" w:color="auto"/>
              <w:right w:val="single" w:sz="8" w:space="0" w:color="auto"/>
            </w:tcBorders>
            <w:noWrap/>
            <w:hideMark/>
          </w:tcPr>
          <w:p w14:paraId="2535FBB4"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sz w:val="18"/>
                <w:szCs w:val="18"/>
              </w:rPr>
              <w:t>Enever, R.; Catchpole, T. L.; Ellis, J. R.; Grant, A.</w:t>
            </w:r>
          </w:p>
        </w:tc>
        <w:tc>
          <w:tcPr>
            <w:tcW w:w="2835" w:type="dxa"/>
            <w:tcBorders>
              <w:top w:val="single" w:sz="8" w:space="0" w:color="auto"/>
              <w:left w:val="single" w:sz="8" w:space="0" w:color="auto"/>
              <w:bottom w:val="single" w:sz="8" w:space="0" w:color="auto"/>
              <w:right w:val="single" w:sz="8" w:space="0" w:color="auto"/>
            </w:tcBorders>
            <w:noWrap/>
            <w:hideMark/>
          </w:tcPr>
          <w:p w14:paraId="2305DCFE"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sz w:val="18"/>
                <w:szCs w:val="18"/>
              </w:rPr>
              <w:t>The survival of skates (Rajidae) caught by demersal trawlers fishing in UK waters</w:t>
            </w:r>
          </w:p>
        </w:tc>
        <w:tc>
          <w:tcPr>
            <w:tcW w:w="1560" w:type="dxa"/>
            <w:tcBorders>
              <w:top w:val="single" w:sz="8" w:space="0" w:color="auto"/>
              <w:left w:val="single" w:sz="8" w:space="0" w:color="auto"/>
              <w:bottom w:val="single" w:sz="8" w:space="0" w:color="auto"/>
              <w:right w:val="single" w:sz="8" w:space="0" w:color="auto"/>
            </w:tcBorders>
            <w:noWrap/>
            <w:hideMark/>
          </w:tcPr>
          <w:p w14:paraId="32FBC362"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sz w:val="18"/>
                <w:szCs w:val="18"/>
              </w:rPr>
              <w:t>FISHERIES RESEARCH 97(1–2): 72–76</w:t>
            </w:r>
          </w:p>
        </w:tc>
        <w:tc>
          <w:tcPr>
            <w:tcW w:w="722" w:type="dxa"/>
            <w:tcBorders>
              <w:top w:val="single" w:sz="8" w:space="0" w:color="auto"/>
              <w:left w:val="single" w:sz="8" w:space="0" w:color="auto"/>
              <w:bottom w:val="single" w:sz="8" w:space="0" w:color="auto"/>
              <w:right w:val="single" w:sz="8" w:space="0" w:color="auto"/>
            </w:tcBorders>
            <w:noWrap/>
            <w:hideMark/>
          </w:tcPr>
          <w:p w14:paraId="7F834889"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sz w:val="18"/>
                <w:szCs w:val="18"/>
              </w:rPr>
              <w:t>2009</w:t>
            </w:r>
          </w:p>
        </w:tc>
        <w:tc>
          <w:tcPr>
            <w:tcW w:w="1219" w:type="dxa"/>
            <w:tcBorders>
              <w:top w:val="single" w:sz="8" w:space="0" w:color="auto"/>
              <w:left w:val="single" w:sz="8" w:space="0" w:color="auto"/>
              <w:bottom w:val="single" w:sz="8" w:space="0" w:color="auto"/>
              <w:right w:val="single" w:sz="8" w:space="0" w:color="auto"/>
            </w:tcBorders>
            <w:noWrap/>
            <w:hideMark/>
          </w:tcPr>
          <w:p w14:paraId="6A82A9FA"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sz w:val="18"/>
                <w:szCs w:val="18"/>
              </w:rPr>
              <w:t>51% (n=39)</w:t>
            </w:r>
          </w:p>
        </w:tc>
        <w:tc>
          <w:tcPr>
            <w:tcW w:w="1342" w:type="dxa"/>
            <w:tcBorders>
              <w:top w:val="single" w:sz="8" w:space="0" w:color="auto"/>
              <w:left w:val="single" w:sz="8" w:space="0" w:color="auto"/>
              <w:bottom w:val="single" w:sz="8" w:space="0" w:color="auto"/>
              <w:right w:val="single" w:sz="8" w:space="0" w:color="auto"/>
            </w:tcBorders>
            <w:noWrap/>
            <w:hideMark/>
          </w:tcPr>
          <w:p w14:paraId="31BFBF8D"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sz w:val="18"/>
                <w:szCs w:val="18"/>
              </w:rPr>
              <w:t>Small-eyed ray (Raja microocellata)</w:t>
            </w:r>
          </w:p>
        </w:tc>
        <w:tc>
          <w:tcPr>
            <w:tcW w:w="1131" w:type="dxa"/>
            <w:tcBorders>
              <w:top w:val="single" w:sz="8" w:space="0" w:color="auto"/>
              <w:left w:val="single" w:sz="8" w:space="0" w:color="auto"/>
              <w:bottom w:val="single" w:sz="8" w:space="0" w:color="auto"/>
              <w:right w:val="single" w:sz="8" w:space="0" w:color="auto"/>
            </w:tcBorders>
            <w:noWrap/>
            <w:hideMark/>
          </w:tcPr>
          <w:p w14:paraId="242454FF"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sz w:val="18"/>
                <w:szCs w:val="18"/>
              </w:rPr>
              <w:t>Bristol Channel otter trawl</w:t>
            </w:r>
          </w:p>
        </w:tc>
        <w:tc>
          <w:tcPr>
            <w:tcW w:w="600" w:type="dxa"/>
            <w:tcBorders>
              <w:top w:val="single" w:sz="8" w:space="0" w:color="auto"/>
              <w:left w:val="single" w:sz="8" w:space="0" w:color="auto"/>
              <w:bottom w:val="single" w:sz="8" w:space="0" w:color="auto"/>
              <w:right w:val="single" w:sz="8" w:space="0" w:color="auto"/>
            </w:tcBorders>
            <w:noWrap/>
            <w:hideMark/>
          </w:tcPr>
          <w:p w14:paraId="20DD8D23"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sz w:val="18"/>
                <w:szCs w:val="18"/>
              </w:rPr>
              <w:t>TR2</w:t>
            </w:r>
          </w:p>
        </w:tc>
        <w:tc>
          <w:tcPr>
            <w:tcW w:w="1749" w:type="dxa"/>
            <w:tcBorders>
              <w:top w:val="single" w:sz="8" w:space="0" w:color="auto"/>
              <w:left w:val="single" w:sz="8" w:space="0" w:color="auto"/>
              <w:bottom w:val="single" w:sz="8" w:space="0" w:color="auto"/>
              <w:right w:val="single" w:sz="8" w:space="0" w:color="auto"/>
            </w:tcBorders>
            <w:noWrap/>
            <w:hideMark/>
          </w:tcPr>
          <w:p w14:paraId="6E7C2AAA"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 xml:space="preserve">Not monitored to asymptote; survival rate overestimated </w:t>
            </w:r>
          </w:p>
        </w:tc>
      </w:tr>
      <w:tr w:rsidR="003C4EE5" w:rsidRPr="006934FD" w14:paraId="6EC1F7EA"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6BD7BE2F"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sz w:val="18"/>
                <w:szCs w:val="18"/>
              </w:rPr>
              <w:t>4</w:t>
            </w:r>
          </w:p>
        </w:tc>
        <w:tc>
          <w:tcPr>
            <w:tcW w:w="3130" w:type="dxa"/>
            <w:tcBorders>
              <w:top w:val="single" w:sz="8" w:space="0" w:color="auto"/>
              <w:left w:val="single" w:sz="8" w:space="0" w:color="auto"/>
              <w:bottom w:val="single" w:sz="8" w:space="0" w:color="auto"/>
              <w:right w:val="single" w:sz="8" w:space="0" w:color="auto"/>
            </w:tcBorders>
            <w:noWrap/>
            <w:hideMark/>
          </w:tcPr>
          <w:p w14:paraId="4EA80A02"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sz w:val="18"/>
                <w:szCs w:val="18"/>
              </w:rPr>
              <w:t>Enever, R.; Catchpole, T. L.; Ellis, J. R.; Grant, A.</w:t>
            </w:r>
          </w:p>
        </w:tc>
        <w:tc>
          <w:tcPr>
            <w:tcW w:w="2835" w:type="dxa"/>
            <w:tcBorders>
              <w:top w:val="single" w:sz="8" w:space="0" w:color="auto"/>
              <w:left w:val="single" w:sz="8" w:space="0" w:color="auto"/>
              <w:bottom w:val="single" w:sz="8" w:space="0" w:color="auto"/>
              <w:right w:val="single" w:sz="8" w:space="0" w:color="auto"/>
            </w:tcBorders>
            <w:noWrap/>
            <w:hideMark/>
          </w:tcPr>
          <w:p w14:paraId="1F94CF29"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sz w:val="18"/>
                <w:szCs w:val="18"/>
              </w:rPr>
              <w:t>The survival of skates (Rajidae) caught by demersal trawlers fishing in UK waters</w:t>
            </w:r>
          </w:p>
        </w:tc>
        <w:tc>
          <w:tcPr>
            <w:tcW w:w="1560" w:type="dxa"/>
            <w:tcBorders>
              <w:top w:val="single" w:sz="8" w:space="0" w:color="auto"/>
              <w:left w:val="single" w:sz="8" w:space="0" w:color="auto"/>
              <w:bottom w:val="single" w:sz="8" w:space="0" w:color="auto"/>
              <w:right w:val="single" w:sz="8" w:space="0" w:color="auto"/>
            </w:tcBorders>
            <w:noWrap/>
            <w:hideMark/>
          </w:tcPr>
          <w:p w14:paraId="2ADC28F8"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sz w:val="18"/>
                <w:szCs w:val="18"/>
              </w:rPr>
              <w:t>FISHERIES RESEARCH 97(1–2): 72–76</w:t>
            </w:r>
          </w:p>
        </w:tc>
        <w:tc>
          <w:tcPr>
            <w:tcW w:w="722" w:type="dxa"/>
            <w:tcBorders>
              <w:top w:val="single" w:sz="8" w:space="0" w:color="auto"/>
              <w:left w:val="single" w:sz="8" w:space="0" w:color="auto"/>
              <w:bottom w:val="single" w:sz="8" w:space="0" w:color="auto"/>
              <w:right w:val="single" w:sz="8" w:space="0" w:color="auto"/>
            </w:tcBorders>
            <w:noWrap/>
            <w:hideMark/>
          </w:tcPr>
          <w:p w14:paraId="5B1C7A19"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sz w:val="18"/>
                <w:szCs w:val="18"/>
              </w:rPr>
              <w:t>2009</w:t>
            </w:r>
          </w:p>
        </w:tc>
        <w:tc>
          <w:tcPr>
            <w:tcW w:w="1219" w:type="dxa"/>
            <w:tcBorders>
              <w:top w:val="single" w:sz="8" w:space="0" w:color="auto"/>
              <w:left w:val="single" w:sz="8" w:space="0" w:color="auto"/>
              <w:bottom w:val="single" w:sz="8" w:space="0" w:color="auto"/>
              <w:right w:val="single" w:sz="8" w:space="0" w:color="auto"/>
            </w:tcBorders>
            <w:noWrap/>
            <w:hideMark/>
          </w:tcPr>
          <w:p w14:paraId="6E850046"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sz w:val="18"/>
                <w:szCs w:val="18"/>
              </w:rPr>
              <w:t>55-67% (n=14)</w:t>
            </w:r>
          </w:p>
        </w:tc>
        <w:tc>
          <w:tcPr>
            <w:tcW w:w="1342" w:type="dxa"/>
            <w:tcBorders>
              <w:top w:val="single" w:sz="8" w:space="0" w:color="auto"/>
              <w:left w:val="single" w:sz="8" w:space="0" w:color="auto"/>
              <w:bottom w:val="single" w:sz="8" w:space="0" w:color="auto"/>
              <w:right w:val="single" w:sz="8" w:space="0" w:color="auto"/>
            </w:tcBorders>
            <w:noWrap/>
            <w:hideMark/>
          </w:tcPr>
          <w:p w14:paraId="7F686C8B"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sz w:val="18"/>
                <w:szCs w:val="18"/>
              </w:rPr>
              <w:t>Blonde ray (Raja brachyura)</w:t>
            </w:r>
          </w:p>
        </w:tc>
        <w:tc>
          <w:tcPr>
            <w:tcW w:w="1131" w:type="dxa"/>
            <w:tcBorders>
              <w:top w:val="single" w:sz="8" w:space="0" w:color="auto"/>
              <w:left w:val="single" w:sz="8" w:space="0" w:color="auto"/>
              <w:bottom w:val="single" w:sz="8" w:space="0" w:color="auto"/>
              <w:right w:val="single" w:sz="8" w:space="0" w:color="auto"/>
            </w:tcBorders>
            <w:noWrap/>
            <w:hideMark/>
          </w:tcPr>
          <w:p w14:paraId="64191F15"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sz w:val="18"/>
                <w:szCs w:val="18"/>
              </w:rPr>
              <w:t>Bristol Channel otter trawl</w:t>
            </w:r>
          </w:p>
        </w:tc>
        <w:tc>
          <w:tcPr>
            <w:tcW w:w="600" w:type="dxa"/>
            <w:tcBorders>
              <w:top w:val="single" w:sz="8" w:space="0" w:color="auto"/>
              <w:left w:val="single" w:sz="8" w:space="0" w:color="auto"/>
              <w:bottom w:val="single" w:sz="8" w:space="0" w:color="auto"/>
              <w:right w:val="single" w:sz="8" w:space="0" w:color="auto"/>
            </w:tcBorders>
            <w:noWrap/>
            <w:hideMark/>
          </w:tcPr>
          <w:p w14:paraId="32CA5BF2"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sz w:val="18"/>
                <w:szCs w:val="18"/>
              </w:rPr>
              <w:t>TR2</w:t>
            </w:r>
          </w:p>
        </w:tc>
        <w:tc>
          <w:tcPr>
            <w:tcW w:w="1749" w:type="dxa"/>
            <w:tcBorders>
              <w:top w:val="single" w:sz="8" w:space="0" w:color="auto"/>
              <w:left w:val="single" w:sz="8" w:space="0" w:color="auto"/>
              <w:bottom w:val="single" w:sz="8" w:space="0" w:color="auto"/>
              <w:right w:val="single" w:sz="8" w:space="0" w:color="auto"/>
            </w:tcBorders>
            <w:noWrap/>
            <w:hideMark/>
          </w:tcPr>
          <w:p w14:paraId="18361B4C"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 xml:space="preserve">Not monitored to asymptote; survival rate overestimated </w:t>
            </w:r>
          </w:p>
        </w:tc>
      </w:tr>
      <w:tr w:rsidR="003C4EE5" w:rsidRPr="006934FD" w14:paraId="5C7C700A"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2250CCE3"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5</w:t>
            </w:r>
          </w:p>
        </w:tc>
        <w:tc>
          <w:tcPr>
            <w:tcW w:w="3130" w:type="dxa"/>
            <w:tcBorders>
              <w:top w:val="single" w:sz="8" w:space="0" w:color="auto"/>
              <w:left w:val="single" w:sz="8" w:space="0" w:color="auto"/>
              <w:bottom w:val="single" w:sz="8" w:space="0" w:color="auto"/>
              <w:right w:val="single" w:sz="8" w:space="0" w:color="auto"/>
            </w:tcBorders>
            <w:noWrap/>
            <w:hideMark/>
          </w:tcPr>
          <w:p w14:paraId="10D0E421"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Kaiser M.J., Spencer, B. E.</w:t>
            </w:r>
          </w:p>
        </w:tc>
        <w:tc>
          <w:tcPr>
            <w:tcW w:w="2835" w:type="dxa"/>
            <w:tcBorders>
              <w:top w:val="single" w:sz="8" w:space="0" w:color="auto"/>
              <w:left w:val="single" w:sz="8" w:space="0" w:color="auto"/>
              <w:bottom w:val="single" w:sz="8" w:space="0" w:color="auto"/>
              <w:right w:val="single" w:sz="8" w:space="0" w:color="auto"/>
            </w:tcBorders>
            <w:noWrap/>
            <w:hideMark/>
          </w:tcPr>
          <w:p w14:paraId="38CC7A4A"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Survival of by-catch from a beam trawl</w:t>
            </w:r>
          </w:p>
        </w:tc>
        <w:tc>
          <w:tcPr>
            <w:tcW w:w="1560" w:type="dxa"/>
            <w:tcBorders>
              <w:top w:val="single" w:sz="8" w:space="0" w:color="auto"/>
              <w:left w:val="single" w:sz="8" w:space="0" w:color="auto"/>
              <w:bottom w:val="single" w:sz="8" w:space="0" w:color="auto"/>
              <w:right w:val="single" w:sz="8" w:space="0" w:color="auto"/>
            </w:tcBorders>
            <w:noWrap/>
            <w:hideMark/>
          </w:tcPr>
          <w:p w14:paraId="177C3A7C"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MARINE ECOLOGY PROGRESS SERIES 134: 303-307.</w:t>
            </w:r>
          </w:p>
        </w:tc>
        <w:tc>
          <w:tcPr>
            <w:tcW w:w="722" w:type="dxa"/>
            <w:tcBorders>
              <w:top w:val="single" w:sz="8" w:space="0" w:color="auto"/>
              <w:left w:val="single" w:sz="8" w:space="0" w:color="auto"/>
              <w:bottom w:val="single" w:sz="8" w:space="0" w:color="auto"/>
              <w:right w:val="single" w:sz="8" w:space="0" w:color="auto"/>
            </w:tcBorders>
            <w:noWrap/>
            <w:hideMark/>
          </w:tcPr>
          <w:p w14:paraId="13DC531C"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1995</w:t>
            </w:r>
          </w:p>
        </w:tc>
        <w:tc>
          <w:tcPr>
            <w:tcW w:w="1219" w:type="dxa"/>
            <w:tcBorders>
              <w:top w:val="single" w:sz="8" w:space="0" w:color="auto"/>
              <w:left w:val="single" w:sz="8" w:space="0" w:color="auto"/>
              <w:bottom w:val="single" w:sz="8" w:space="0" w:color="auto"/>
              <w:right w:val="single" w:sz="8" w:space="0" w:color="auto"/>
            </w:tcBorders>
            <w:noWrap/>
            <w:hideMark/>
          </w:tcPr>
          <w:p w14:paraId="066D0529"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59% (n=32)</w:t>
            </w:r>
          </w:p>
        </w:tc>
        <w:tc>
          <w:tcPr>
            <w:tcW w:w="1342" w:type="dxa"/>
            <w:tcBorders>
              <w:top w:val="single" w:sz="8" w:space="0" w:color="auto"/>
              <w:left w:val="single" w:sz="8" w:space="0" w:color="auto"/>
              <w:bottom w:val="single" w:sz="8" w:space="0" w:color="auto"/>
              <w:right w:val="single" w:sz="8" w:space="0" w:color="auto"/>
            </w:tcBorders>
            <w:noWrap/>
            <w:hideMark/>
          </w:tcPr>
          <w:p w14:paraId="1F6B9AE9"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Cuckoo ray (Leucoraja naevus)</w:t>
            </w:r>
          </w:p>
        </w:tc>
        <w:tc>
          <w:tcPr>
            <w:tcW w:w="1131" w:type="dxa"/>
            <w:tcBorders>
              <w:top w:val="single" w:sz="8" w:space="0" w:color="auto"/>
              <w:left w:val="single" w:sz="8" w:space="0" w:color="auto"/>
              <w:bottom w:val="single" w:sz="8" w:space="0" w:color="auto"/>
              <w:right w:val="single" w:sz="8" w:space="0" w:color="auto"/>
            </w:tcBorders>
            <w:noWrap/>
            <w:hideMark/>
          </w:tcPr>
          <w:p w14:paraId="7E22AC24"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Irish Sea beam trawl</w:t>
            </w:r>
          </w:p>
        </w:tc>
        <w:tc>
          <w:tcPr>
            <w:tcW w:w="600" w:type="dxa"/>
            <w:tcBorders>
              <w:top w:val="single" w:sz="8" w:space="0" w:color="auto"/>
              <w:left w:val="single" w:sz="8" w:space="0" w:color="auto"/>
              <w:bottom w:val="single" w:sz="8" w:space="0" w:color="auto"/>
              <w:right w:val="single" w:sz="8" w:space="0" w:color="auto"/>
            </w:tcBorders>
            <w:noWrap/>
            <w:hideMark/>
          </w:tcPr>
          <w:p w14:paraId="1332D692"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BT2</w:t>
            </w:r>
          </w:p>
        </w:tc>
        <w:tc>
          <w:tcPr>
            <w:tcW w:w="1749" w:type="dxa"/>
            <w:tcBorders>
              <w:top w:val="single" w:sz="8" w:space="0" w:color="auto"/>
              <w:left w:val="single" w:sz="8" w:space="0" w:color="auto"/>
              <w:bottom w:val="single" w:sz="8" w:space="0" w:color="auto"/>
              <w:right w:val="single" w:sz="8" w:space="0" w:color="auto"/>
            </w:tcBorders>
            <w:noWrap/>
            <w:hideMark/>
          </w:tcPr>
          <w:p w14:paraId="205E4B53"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Not monitored to asymptote; no control; survival rate likely overestimated</w:t>
            </w:r>
          </w:p>
        </w:tc>
      </w:tr>
      <w:tr w:rsidR="003C4EE5" w:rsidRPr="006934FD" w14:paraId="71A513B8"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2CE31503"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6</w:t>
            </w:r>
          </w:p>
        </w:tc>
        <w:tc>
          <w:tcPr>
            <w:tcW w:w="3130" w:type="dxa"/>
            <w:tcBorders>
              <w:top w:val="single" w:sz="8" w:space="0" w:color="auto"/>
              <w:left w:val="single" w:sz="8" w:space="0" w:color="auto"/>
              <w:bottom w:val="single" w:sz="8" w:space="0" w:color="auto"/>
              <w:right w:val="single" w:sz="8" w:space="0" w:color="auto"/>
            </w:tcBorders>
            <w:noWrap/>
            <w:hideMark/>
          </w:tcPr>
          <w:p w14:paraId="1EA9E4B7"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Ellis, J. R., McCully, S. R., Silva, J. F., Catchpole, T. L., Goldsmith, D., Bendall, V. and Burt, G.</w:t>
            </w:r>
          </w:p>
        </w:tc>
        <w:tc>
          <w:tcPr>
            <w:tcW w:w="2835" w:type="dxa"/>
            <w:tcBorders>
              <w:top w:val="single" w:sz="8" w:space="0" w:color="auto"/>
              <w:left w:val="single" w:sz="8" w:space="0" w:color="auto"/>
              <w:bottom w:val="single" w:sz="8" w:space="0" w:color="auto"/>
              <w:right w:val="single" w:sz="8" w:space="0" w:color="auto"/>
            </w:tcBorders>
            <w:noWrap/>
            <w:hideMark/>
          </w:tcPr>
          <w:p w14:paraId="76B80509"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Assessing discard mortality of commercially caught skates (Rajidae) – validation of experimental results.</w:t>
            </w:r>
          </w:p>
        </w:tc>
        <w:tc>
          <w:tcPr>
            <w:tcW w:w="1560" w:type="dxa"/>
            <w:tcBorders>
              <w:top w:val="single" w:sz="8" w:space="0" w:color="auto"/>
              <w:left w:val="single" w:sz="8" w:space="0" w:color="auto"/>
              <w:bottom w:val="single" w:sz="8" w:space="0" w:color="auto"/>
              <w:right w:val="single" w:sz="8" w:space="0" w:color="auto"/>
            </w:tcBorders>
            <w:noWrap/>
            <w:hideMark/>
          </w:tcPr>
          <w:p w14:paraId="0CA63231"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DEFRA Report MB5202, 142 pp.</w:t>
            </w:r>
          </w:p>
        </w:tc>
        <w:tc>
          <w:tcPr>
            <w:tcW w:w="722" w:type="dxa"/>
            <w:tcBorders>
              <w:top w:val="single" w:sz="8" w:space="0" w:color="auto"/>
              <w:left w:val="single" w:sz="8" w:space="0" w:color="auto"/>
              <w:bottom w:val="single" w:sz="8" w:space="0" w:color="auto"/>
              <w:right w:val="single" w:sz="8" w:space="0" w:color="auto"/>
            </w:tcBorders>
            <w:noWrap/>
            <w:hideMark/>
          </w:tcPr>
          <w:p w14:paraId="5EE04875"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2012</w:t>
            </w:r>
          </w:p>
        </w:tc>
        <w:tc>
          <w:tcPr>
            <w:tcW w:w="1219" w:type="dxa"/>
            <w:tcBorders>
              <w:top w:val="single" w:sz="8" w:space="0" w:color="auto"/>
              <w:left w:val="single" w:sz="8" w:space="0" w:color="auto"/>
              <w:bottom w:val="single" w:sz="8" w:space="0" w:color="auto"/>
              <w:right w:val="single" w:sz="8" w:space="0" w:color="auto"/>
            </w:tcBorders>
            <w:noWrap/>
            <w:hideMark/>
          </w:tcPr>
          <w:p w14:paraId="5D48955B"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0-100% (n=2)</w:t>
            </w:r>
          </w:p>
        </w:tc>
        <w:tc>
          <w:tcPr>
            <w:tcW w:w="1342" w:type="dxa"/>
            <w:tcBorders>
              <w:top w:val="single" w:sz="8" w:space="0" w:color="auto"/>
              <w:left w:val="single" w:sz="8" w:space="0" w:color="auto"/>
              <w:bottom w:val="single" w:sz="8" w:space="0" w:color="auto"/>
              <w:right w:val="single" w:sz="8" w:space="0" w:color="auto"/>
            </w:tcBorders>
            <w:noWrap/>
            <w:hideMark/>
          </w:tcPr>
          <w:p w14:paraId="4496B0A1"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Small-eyed ray (Raja micro-ocellata)</w:t>
            </w:r>
          </w:p>
        </w:tc>
        <w:tc>
          <w:tcPr>
            <w:tcW w:w="1131" w:type="dxa"/>
            <w:tcBorders>
              <w:top w:val="single" w:sz="8" w:space="0" w:color="auto"/>
              <w:left w:val="single" w:sz="8" w:space="0" w:color="auto"/>
              <w:bottom w:val="single" w:sz="8" w:space="0" w:color="auto"/>
              <w:right w:val="single" w:sz="8" w:space="0" w:color="auto"/>
            </w:tcBorders>
            <w:noWrap/>
            <w:hideMark/>
          </w:tcPr>
          <w:p w14:paraId="6402F1E5"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Western Channel beam trawl</w:t>
            </w:r>
          </w:p>
        </w:tc>
        <w:tc>
          <w:tcPr>
            <w:tcW w:w="600" w:type="dxa"/>
            <w:tcBorders>
              <w:top w:val="single" w:sz="8" w:space="0" w:color="auto"/>
              <w:left w:val="single" w:sz="8" w:space="0" w:color="auto"/>
              <w:bottom w:val="single" w:sz="8" w:space="0" w:color="auto"/>
              <w:right w:val="single" w:sz="8" w:space="0" w:color="auto"/>
            </w:tcBorders>
            <w:noWrap/>
            <w:hideMark/>
          </w:tcPr>
          <w:p w14:paraId="6006BD20"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BT2</w:t>
            </w:r>
          </w:p>
        </w:tc>
        <w:tc>
          <w:tcPr>
            <w:tcW w:w="1749" w:type="dxa"/>
            <w:tcBorders>
              <w:top w:val="single" w:sz="8" w:space="0" w:color="auto"/>
              <w:left w:val="single" w:sz="8" w:space="0" w:color="auto"/>
              <w:bottom w:val="single" w:sz="8" w:space="0" w:color="auto"/>
              <w:right w:val="single" w:sz="8" w:space="0" w:color="auto"/>
            </w:tcBorders>
            <w:noWrap/>
            <w:hideMark/>
          </w:tcPr>
          <w:p w14:paraId="7D9253C8"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Not monitored to asymptote; no control; survival rate likely overestimated</w:t>
            </w:r>
          </w:p>
        </w:tc>
      </w:tr>
      <w:tr w:rsidR="003C4EE5" w:rsidRPr="006934FD" w14:paraId="2C9DF263"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64F2619E"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lastRenderedPageBreak/>
              <w:t>6</w:t>
            </w:r>
          </w:p>
        </w:tc>
        <w:tc>
          <w:tcPr>
            <w:tcW w:w="3130" w:type="dxa"/>
            <w:tcBorders>
              <w:top w:val="single" w:sz="8" w:space="0" w:color="auto"/>
              <w:left w:val="single" w:sz="8" w:space="0" w:color="auto"/>
              <w:bottom w:val="single" w:sz="8" w:space="0" w:color="auto"/>
              <w:right w:val="single" w:sz="8" w:space="0" w:color="auto"/>
            </w:tcBorders>
            <w:noWrap/>
            <w:hideMark/>
          </w:tcPr>
          <w:p w14:paraId="4197DA44"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Ellis, J. R., McCully, S. R., Silva, J. F., Catchpole, T. L., Goldsmith, D., Bendall, V. and Burt, G.</w:t>
            </w:r>
          </w:p>
        </w:tc>
        <w:tc>
          <w:tcPr>
            <w:tcW w:w="2835" w:type="dxa"/>
            <w:tcBorders>
              <w:top w:val="single" w:sz="8" w:space="0" w:color="auto"/>
              <w:left w:val="single" w:sz="8" w:space="0" w:color="auto"/>
              <w:bottom w:val="single" w:sz="8" w:space="0" w:color="auto"/>
              <w:right w:val="single" w:sz="8" w:space="0" w:color="auto"/>
            </w:tcBorders>
            <w:noWrap/>
            <w:hideMark/>
          </w:tcPr>
          <w:p w14:paraId="799D43CF"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Assessing discard mortality of commercially caught skates (Rajidae) – validation of experimental results.</w:t>
            </w:r>
          </w:p>
        </w:tc>
        <w:tc>
          <w:tcPr>
            <w:tcW w:w="1560" w:type="dxa"/>
            <w:tcBorders>
              <w:top w:val="single" w:sz="8" w:space="0" w:color="auto"/>
              <w:left w:val="single" w:sz="8" w:space="0" w:color="auto"/>
              <w:bottom w:val="single" w:sz="8" w:space="0" w:color="auto"/>
              <w:right w:val="single" w:sz="8" w:space="0" w:color="auto"/>
            </w:tcBorders>
            <w:noWrap/>
            <w:hideMark/>
          </w:tcPr>
          <w:p w14:paraId="213F45A0"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DEFRA Report MB5202, 142 pp.</w:t>
            </w:r>
          </w:p>
        </w:tc>
        <w:tc>
          <w:tcPr>
            <w:tcW w:w="722" w:type="dxa"/>
            <w:tcBorders>
              <w:top w:val="single" w:sz="8" w:space="0" w:color="auto"/>
              <w:left w:val="single" w:sz="8" w:space="0" w:color="auto"/>
              <w:bottom w:val="single" w:sz="8" w:space="0" w:color="auto"/>
              <w:right w:val="single" w:sz="8" w:space="0" w:color="auto"/>
            </w:tcBorders>
            <w:noWrap/>
            <w:hideMark/>
          </w:tcPr>
          <w:p w14:paraId="135ED47C"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2012</w:t>
            </w:r>
          </w:p>
        </w:tc>
        <w:tc>
          <w:tcPr>
            <w:tcW w:w="1219" w:type="dxa"/>
            <w:tcBorders>
              <w:top w:val="single" w:sz="8" w:space="0" w:color="auto"/>
              <w:left w:val="single" w:sz="8" w:space="0" w:color="auto"/>
              <w:bottom w:val="single" w:sz="8" w:space="0" w:color="auto"/>
              <w:right w:val="single" w:sz="8" w:space="0" w:color="auto"/>
            </w:tcBorders>
            <w:noWrap/>
            <w:hideMark/>
          </w:tcPr>
          <w:p w14:paraId="380A45DB"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25-74% (n=25)</w:t>
            </w:r>
          </w:p>
        </w:tc>
        <w:tc>
          <w:tcPr>
            <w:tcW w:w="1342" w:type="dxa"/>
            <w:tcBorders>
              <w:top w:val="single" w:sz="8" w:space="0" w:color="auto"/>
              <w:left w:val="single" w:sz="8" w:space="0" w:color="auto"/>
              <w:bottom w:val="single" w:sz="8" w:space="0" w:color="auto"/>
              <w:right w:val="single" w:sz="8" w:space="0" w:color="auto"/>
            </w:tcBorders>
            <w:noWrap/>
            <w:hideMark/>
          </w:tcPr>
          <w:p w14:paraId="7D26ADDC"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Blonde ray (Raja brachyura)</w:t>
            </w:r>
          </w:p>
        </w:tc>
        <w:tc>
          <w:tcPr>
            <w:tcW w:w="1131" w:type="dxa"/>
            <w:tcBorders>
              <w:top w:val="single" w:sz="8" w:space="0" w:color="auto"/>
              <w:left w:val="single" w:sz="8" w:space="0" w:color="auto"/>
              <w:bottom w:val="single" w:sz="8" w:space="0" w:color="auto"/>
              <w:right w:val="single" w:sz="8" w:space="0" w:color="auto"/>
            </w:tcBorders>
            <w:noWrap/>
            <w:hideMark/>
          </w:tcPr>
          <w:p w14:paraId="4FE8BFD1"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Western Channel beam trawl</w:t>
            </w:r>
          </w:p>
        </w:tc>
        <w:tc>
          <w:tcPr>
            <w:tcW w:w="600" w:type="dxa"/>
            <w:tcBorders>
              <w:top w:val="single" w:sz="8" w:space="0" w:color="auto"/>
              <w:left w:val="single" w:sz="8" w:space="0" w:color="auto"/>
              <w:bottom w:val="single" w:sz="8" w:space="0" w:color="auto"/>
              <w:right w:val="single" w:sz="8" w:space="0" w:color="auto"/>
            </w:tcBorders>
            <w:noWrap/>
            <w:hideMark/>
          </w:tcPr>
          <w:p w14:paraId="2F13882C"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BT2</w:t>
            </w:r>
          </w:p>
        </w:tc>
        <w:tc>
          <w:tcPr>
            <w:tcW w:w="1749" w:type="dxa"/>
            <w:tcBorders>
              <w:top w:val="single" w:sz="8" w:space="0" w:color="auto"/>
              <w:left w:val="single" w:sz="8" w:space="0" w:color="auto"/>
              <w:bottom w:val="single" w:sz="8" w:space="0" w:color="auto"/>
              <w:right w:val="single" w:sz="8" w:space="0" w:color="auto"/>
            </w:tcBorders>
            <w:noWrap/>
            <w:hideMark/>
          </w:tcPr>
          <w:p w14:paraId="1B5BD242"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Not monitored to asymptote; no control; survival rate likely overestimated</w:t>
            </w:r>
          </w:p>
        </w:tc>
      </w:tr>
      <w:tr w:rsidR="003C4EE5" w:rsidRPr="006934FD" w14:paraId="42330EE5"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42689396"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6</w:t>
            </w:r>
          </w:p>
        </w:tc>
        <w:tc>
          <w:tcPr>
            <w:tcW w:w="3130" w:type="dxa"/>
            <w:tcBorders>
              <w:top w:val="single" w:sz="8" w:space="0" w:color="auto"/>
              <w:left w:val="single" w:sz="8" w:space="0" w:color="auto"/>
              <w:bottom w:val="single" w:sz="8" w:space="0" w:color="auto"/>
              <w:right w:val="single" w:sz="8" w:space="0" w:color="auto"/>
            </w:tcBorders>
            <w:noWrap/>
            <w:hideMark/>
          </w:tcPr>
          <w:p w14:paraId="40F2B03E"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Ellis, J. R., McCully, S. R., Silva, J. F., Catchpole, T. L., Goldsmith, D., Bendall, V. and Burt, G.</w:t>
            </w:r>
          </w:p>
        </w:tc>
        <w:tc>
          <w:tcPr>
            <w:tcW w:w="2835" w:type="dxa"/>
            <w:tcBorders>
              <w:top w:val="single" w:sz="8" w:space="0" w:color="auto"/>
              <w:left w:val="single" w:sz="8" w:space="0" w:color="auto"/>
              <w:bottom w:val="single" w:sz="8" w:space="0" w:color="auto"/>
              <w:right w:val="single" w:sz="8" w:space="0" w:color="auto"/>
            </w:tcBorders>
            <w:noWrap/>
            <w:hideMark/>
          </w:tcPr>
          <w:p w14:paraId="396010B1"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Assessing discard mortality of commercially caught skates (Rajidae) – validation of experimental results.</w:t>
            </w:r>
          </w:p>
        </w:tc>
        <w:tc>
          <w:tcPr>
            <w:tcW w:w="1560" w:type="dxa"/>
            <w:tcBorders>
              <w:top w:val="single" w:sz="8" w:space="0" w:color="auto"/>
              <w:left w:val="single" w:sz="8" w:space="0" w:color="auto"/>
              <w:bottom w:val="single" w:sz="8" w:space="0" w:color="auto"/>
              <w:right w:val="single" w:sz="8" w:space="0" w:color="auto"/>
            </w:tcBorders>
            <w:noWrap/>
            <w:hideMark/>
          </w:tcPr>
          <w:p w14:paraId="356D2BCC"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DEFRA Report MB5202, 142 pp.</w:t>
            </w:r>
          </w:p>
        </w:tc>
        <w:tc>
          <w:tcPr>
            <w:tcW w:w="722" w:type="dxa"/>
            <w:tcBorders>
              <w:top w:val="single" w:sz="8" w:space="0" w:color="auto"/>
              <w:left w:val="single" w:sz="8" w:space="0" w:color="auto"/>
              <w:bottom w:val="single" w:sz="8" w:space="0" w:color="auto"/>
              <w:right w:val="single" w:sz="8" w:space="0" w:color="auto"/>
            </w:tcBorders>
            <w:noWrap/>
            <w:hideMark/>
          </w:tcPr>
          <w:p w14:paraId="3835EE40"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2012</w:t>
            </w:r>
          </w:p>
        </w:tc>
        <w:tc>
          <w:tcPr>
            <w:tcW w:w="1219" w:type="dxa"/>
            <w:tcBorders>
              <w:top w:val="single" w:sz="8" w:space="0" w:color="auto"/>
              <w:left w:val="single" w:sz="8" w:space="0" w:color="auto"/>
              <w:bottom w:val="single" w:sz="8" w:space="0" w:color="auto"/>
              <w:right w:val="single" w:sz="8" w:space="0" w:color="auto"/>
            </w:tcBorders>
            <w:noWrap/>
            <w:hideMark/>
          </w:tcPr>
          <w:p w14:paraId="0801EF7C"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40-67% (n=13)</w:t>
            </w:r>
          </w:p>
        </w:tc>
        <w:tc>
          <w:tcPr>
            <w:tcW w:w="1342" w:type="dxa"/>
            <w:tcBorders>
              <w:top w:val="single" w:sz="8" w:space="0" w:color="auto"/>
              <w:left w:val="single" w:sz="8" w:space="0" w:color="auto"/>
              <w:bottom w:val="single" w:sz="8" w:space="0" w:color="auto"/>
              <w:right w:val="single" w:sz="8" w:space="0" w:color="auto"/>
            </w:tcBorders>
            <w:noWrap/>
            <w:hideMark/>
          </w:tcPr>
          <w:p w14:paraId="4D4D208B"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Spotted ray (Raja montagui)</w:t>
            </w:r>
          </w:p>
        </w:tc>
        <w:tc>
          <w:tcPr>
            <w:tcW w:w="1131" w:type="dxa"/>
            <w:tcBorders>
              <w:top w:val="single" w:sz="8" w:space="0" w:color="auto"/>
              <w:left w:val="single" w:sz="8" w:space="0" w:color="auto"/>
              <w:bottom w:val="single" w:sz="8" w:space="0" w:color="auto"/>
              <w:right w:val="single" w:sz="8" w:space="0" w:color="auto"/>
            </w:tcBorders>
            <w:noWrap/>
            <w:hideMark/>
          </w:tcPr>
          <w:p w14:paraId="22E64CB0"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Western Channel beam trawl</w:t>
            </w:r>
          </w:p>
        </w:tc>
        <w:tc>
          <w:tcPr>
            <w:tcW w:w="600" w:type="dxa"/>
            <w:tcBorders>
              <w:top w:val="single" w:sz="8" w:space="0" w:color="auto"/>
              <w:left w:val="single" w:sz="8" w:space="0" w:color="auto"/>
              <w:bottom w:val="single" w:sz="8" w:space="0" w:color="auto"/>
              <w:right w:val="single" w:sz="8" w:space="0" w:color="auto"/>
            </w:tcBorders>
            <w:noWrap/>
            <w:hideMark/>
          </w:tcPr>
          <w:p w14:paraId="7818CDC2"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BT2</w:t>
            </w:r>
          </w:p>
        </w:tc>
        <w:tc>
          <w:tcPr>
            <w:tcW w:w="1749" w:type="dxa"/>
            <w:tcBorders>
              <w:top w:val="single" w:sz="8" w:space="0" w:color="auto"/>
              <w:left w:val="single" w:sz="8" w:space="0" w:color="auto"/>
              <w:bottom w:val="single" w:sz="8" w:space="0" w:color="auto"/>
              <w:right w:val="single" w:sz="8" w:space="0" w:color="auto"/>
            </w:tcBorders>
            <w:noWrap/>
            <w:hideMark/>
          </w:tcPr>
          <w:p w14:paraId="6A9A72CD"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Not monitored to asymptote; no control; survival rate likely overestimated</w:t>
            </w:r>
          </w:p>
        </w:tc>
      </w:tr>
      <w:tr w:rsidR="003C4EE5" w:rsidRPr="006934FD" w14:paraId="70130198"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3BCF3AA9"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6</w:t>
            </w:r>
          </w:p>
        </w:tc>
        <w:tc>
          <w:tcPr>
            <w:tcW w:w="3130" w:type="dxa"/>
            <w:tcBorders>
              <w:top w:val="single" w:sz="8" w:space="0" w:color="auto"/>
              <w:left w:val="single" w:sz="8" w:space="0" w:color="auto"/>
              <w:bottom w:val="single" w:sz="8" w:space="0" w:color="auto"/>
              <w:right w:val="single" w:sz="8" w:space="0" w:color="auto"/>
            </w:tcBorders>
            <w:noWrap/>
            <w:hideMark/>
          </w:tcPr>
          <w:p w14:paraId="180A4C93"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Ellis, J. R., McCully, S. R., Silva, J. F., Catchpole, T. L., Goldsmith, D., Bendall, V. and Burt, G.</w:t>
            </w:r>
          </w:p>
        </w:tc>
        <w:tc>
          <w:tcPr>
            <w:tcW w:w="2835" w:type="dxa"/>
            <w:tcBorders>
              <w:top w:val="single" w:sz="8" w:space="0" w:color="auto"/>
              <w:left w:val="single" w:sz="8" w:space="0" w:color="auto"/>
              <w:bottom w:val="single" w:sz="8" w:space="0" w:color="auto"/>
              <w:right w:val="single" w:sz="8" w:space="0" w:color="auto"/>
            </w:tcBorders>
            <w:noWrap/>
            <w:hideMark/>
          </w:tcPr>
          <w:p w14:paraId="5E285B72"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Assessing discard mortality of commercially caught skates (Rajidae) – validation of experimental results.</w:t>
            </w:r>
          </w:p>
        </w:tc>
        <w:tc>
          <w:tcPr>
            <w:tcW w:w="1560" w:type="dxa"/>
            <w:tcBorders>
              <w:top w:val="single" w:sz="8" w:space="0" w:color="auto"/>
              <w:left w:val="single" w:sz="8" w:space="0" w:color="auto"/>
              <w:bottom w:val="single" w:sz="8" w:space="0" w:color="auto"/>
              <w:right w:val="single" w:sz="8" w:space="0" w:color="auto"/>
            </w:tcBorders>
            <w:noWrap/>
            <w:hideMark/>
          </w:tcPr>
          <w:p w14:paraId="4D491F85"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DEFRA Report MB5202, 142 pp.</w:t>
            </w:r>
          </w:p>
        </w:tc>
        <w:tc>
          <w:tcPr>
            <w:tcW w:w="722" w:type="dxa"/>
            <w:tcBorders>
              <w:top w:val="single" w:sz="8" w:space="0" w:color="auto"/>
              <w:left w:val="single" w:sz="8" w:space="0" w:color="auto"/>
              <w:bottom w:val="single" w:sz="8" w:space="0" w:color="auto"/>
              <w:right w:val="single" w:sz="8" w:space="0" w:color="auto"/>
            </w:tcBorders>
            <w:noWrap/>
            <w:hideMark/>
          </w:tcPr>
          <w:p w14:paraId="094B1BDE"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2012</w:t>
            </w:r>
          </w:p>
        </w:tc>
        <w:tc>
          <w:tcPr>
            <w:tcW w:w="1219" w:type="dxa"/>
            <w:tcBorders>
              <w:top w:val="single" w:sz="8" w:space="0" w:color="auto"/>
              <w:left w:val="single" w:sz="8" w:space="0" w:color="auto"/>
              <w:bottom w:val="single" w:sz="8" w:space="0" w:color="auto"/>
              <w:right w:val="single" w:sz="8" w:space="0" w:color="auto"/>
            </w:tcBorders>
            <w:noWrap/>
            <w:hideMark/>
          </w:tcPr>
          <w:p w14:paraId="2178D25E"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25-83% (n=26)</w:t>
            </w:r>
          </w:p>
        </w:tc>
        <w:tc>
          <w:tcPr>
            <w:tcW w:w="1342" w:type="dxa"/>
            <w:tcBorders>
              <w:top w:val="single" w:sz="8" w:space="0" w:color="auto"/>
              <w:left w:val="single" w:sz="8" w:space="0" w:color="auto"/>
              <w:bottom w:val="single" w:sz="8" w:space="0" w:color="auto"/>
              <w:right w:val="single" w:sz="8" w:space="0" w:color="auto"/>
            </w:tcBorders>
            <w:noWrap/>
            <w:hideMark/>
          </w:tcPr>
          <w:p w14:paraId="332B14E6"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Cuckoo ray (Leucoraja naevus)</w:t>
            </w:r>
          </w:p>
        </w:tc>
        <w:tc>
          <w:tcPr>
            <w:tcW w:w="1131" w:type="dxa"/>
            <w:tcBorders>
              <w:top w:val="single" w:sz="8" w:space="0" w:color="auto"/>
              <w:left w:val="single" w:sz="8" w:space="0" w:color="auto"/>
              <w:bottom w:val="single" w:sz="8" w:space="0" w:color="auto"/>
              <w:right w:val="single" w:sz="8" w:space="0" w:color="auto"/>
            </w:tcBorders>
            <w:noWrap/>
            <w:hideMark/>
          </w:tcPr>
          <w:p w14:paraId="16CD909A"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Western Channel beam trawl</w:t>
            </w:r>
          </w:p>
        </w:tc>
        <w:tc>
          <w:tcPr>
            <w:tcW w:w="600" w:type="dxa"/>
            <w:tcBorders>
              <w:top w:val="single" w:sz="8" w:space="0" w:color="auto"/>
              <w:left w:val="single" w:sz="8" w:space="0" w:color="auto"/>
              <w:bottom w:val="single" w:sz="8" w:space="0" w:color="auto"/>
              <w:right w:val="single" w:sz="8" w:space="0" w:color="auto"/>
            </w:tcBorders>
            <w:noWrap/>
            <w:hideMark/>
          </w:tcPr>
          <w:p w14:paraId="67311DA3"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BT2</w:t>
            </w:r>
          </w:p>
        </w:tc>
        <w:tc>
          <w:tcPr>
            <w:tcW w:w="1749" w:type="dxa"/>
            <w:tcBorders>
              <w:top w:val="single" w:sz="8" w:space="0" w:color="auto"/>
              <w:left w:val="single" w:sz="8" w:space="0" w:color="auto"/>
              <w:bottom w:val="single" w:sz="8" w:space="0" w:color="auto"/>
              <w:right w:val="single" w:sz="8" w:space="0" w:color="auto"/>
            </w:tcBorders>
            <w:noWrap/>
            <w:hideMark/>
          </w:tcPr>
          <w:p w14:paraId="624AF12C"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Not monitored to asymptote; no control; survival rate likely overestimated</w:t>
            </w:r>
          </w:p>
        </w:tc>
      </w:tr>
      <w:tr w:rsidR="003C4EE5" w:rsidRPr="006934FD" w14:paraId="3BCDEE10"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2431118B"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7</w:t>
            </w:r>
          </w:p>
        </w:tc>
        <w:tc>
          <w:tcPr>
            <w:tcW w:w="3130" w:type="dxa"/>
            <w:tcBorders>
              <w:top w:val="single" w:sz="8" w:space="0" w:color="auto"/>
              <w:left w:val="single" w:sz="8" w:space="0" w:color="auto"/>
              <w:bottom w:val="single" w:sz="8" w:space="0" w:color="auto"/>
              <w:right w:val="single" w:sz="8" w:space="0" w:color="auto"/>
            </w:tcBorders>
            <w:noWrap/>
            <w:hideMark/>
          </w:tcPr>
          <w:p w14:paraId="097AB593"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Saygu, I., Deval, M. C.</w:t>
            </w:r>
          </w:p>
        </w:tc>
        <w:tc>
          <w:tcPr>
            <w:tcW w:w="2835" w:type="dxa"/>
            <w:tcBorders>
              <w:top w:val="single" w:sz="8" w:space="0" w:color="auto"/>
              <w:left w:val="single" w:sz="8" w:space="0" w:color="auto"/>
              <w:bottom w:val="single" w:sz="8" w:space="0" w:color="auto"/>
              <w:right w:val="single" w:sz="8" w:space="0" w:color="auto"/>
            </w:tcBorders>
            <w:noWrap/>
            <w:hideMark/>
          </w:tcPr>
          <w:p w14:paraId="43948518"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The Post-Release Survival of Two Skate Species Discarded by Bottom Trawl Fisheries in Antalya Bay, Eastern Mediterranean</w:t>
            </w:r>
          </w:p>
        </w:tc>
        <w:tc>
          <w:tcPr>
            <w:tcW w:w="1560" w:type="dxa"/>
            <w:tcBorders>
              <w:top w:val="single" w:sz="8" w:space="0" w:color="auto"/>
              <w:left w:val="single" w:sz="8" w:space="0" w:color="auto"/>
              <w:bottom w:val="single" w:sz="8" w:space="0" w:color="auto"/>
              <w:right w:val="single" w:sz="8" w:space="0" w:color="auto"/>
            </w:tcBorders>
            <w:noWrap/>
            <w:hideMark/>
          </w:tcPr>
          <w:p w14:paraId="33C2C881"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TURKISH JOURNAL OF FISHERIES AND AQUATIC SCIENCES 14: 947-953</w:t>
            </w:r>
          </w:p>
        </w:tc>
        <w:tc>
          <w:tcPr>
            <w:tcW w:w="722" w:type="dxa"/>
            <w:tcBorders>
              <w:top w:val="single" w:sz="8" w:space="0" w:color="auto"/>
              <w:left w:val="single" w:sz="8" w:space="0" w:color="auto"/>
              <w:bottom w:val="single" w:sz="8" w:space="0" w:color="auto"/>
              <w:right w:val="single" w:sz="8" w:space="0" w:color="auto"/>
            </w:tcBorders>
            <w:noWrap/>
            <w:hideMark/>
          </w:tcPr>
          <w:p w14:paraId="5292CE16"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2014</w:t>
            </w:r>
          </w:p>
        </w:tc>
        <w:tc>
          <w:tcPr>
            <w:tcW w:w="1219" w:type="dxa"/>
            <w:tcBorders>
              <w:top w:val="single" w:sz="8" w:space="0" w:color="auto"/>
              <w:left w:val="single" w:sz="8" w:space="0" w:color="auto"/>
              <w:bottom w:val="single" w:sz="8" w:space="0" w:color="auto"/>
              <w:right w:val="single" w:sz="8" w:space="0" w:color="auto"/>
            </w:tcBorders>
            <w:noWrap/>
            <w:hideMark/>
          </w:tcPr>
          <w:p w14:paraId="64F8F7EF"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81% (n=120)</w:t>
            </w:r>
          </w:p>
        </w:tc>
        <w:tc>
          <w:tcPr>
            <w:tcW w:w="1342" w:type="dxa"/>
            <w:tcBorders>
              <w:top w:val="single" w:sz="8" w:space="0" w:color="auto"/>
              <w:left w:val="single" w:sz="8" w:space="0" w:color="auto"/>
              <w:bottom w:val="single" w:sz="8" w:space="0" w:color="auto"/>
              <w:right w:val="single" w:sz="8" w:space="0" w:color="auto"/>
            </w:tcBorders>
            <w:noWrap/>
            <w:hideMark/>
          </w:tcPr>
          <w:p w14:paraId="3E4C72C7"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Thornback ray (Raja clavata)</w:t>
            </w:r>
          </w:p>
        </w:tc>
        <w:tc>
          <w:tcPr>
            <w:tcW w:w="1131" w:type="dxa"/>
            <w:tcBorders>
              <w:top w:val="single" w:sz="8" w:space="0" w:color="auto"/>
              <w:left w:val="single" w:sz="8" w:space="0" w:color="auto"/>
              <w:bottom w:val="single" w:sz="8" w:space="0" w:color="auto"/>
              <w:right w:val="single" w:sz="8" w:space="0" w:color="auto"/>
            </w:tcBorders>
            <w:noWrap/>
            <w:hideMark/>
          </w:tcPr>
          <w:p w14:paraId="15DC05CD"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GFCM Geographical subarea 24 otter trawl</w:t>
            </w:r>
          </w:p>
        </w:tc>
        <w:tc>
          <w:tcPr>
            <w:tcW w:w="600" w:type="dxa"/>
            <w:tcBorders>
              <w:top w:val="single" w:sz="8" w:space="0" w:color="auto"/>
              <w:left w:val="single" w:sz="8" w:space="0" w:color="auto"/>
              <w:bottom w:val="single" w:sz="8" w:space="0" w:color="auto"/>
              <w:right w:val="single" w:sz="8" w:space="0" w:color="auto"/>
            </w:tcBorders>
            <w:noWrap/>
            <w:hideMark/>
          </w:tcPr>
          <w:p w14:paraId="34D74438"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TR1</w:t>
            </w:r>
          </w:p>
        </w:tc>
        <w:tc>
          <w:tcPr>
            <w:tcW w:w="1749" w:type="dxa"/>
            <w:tcBorders>
              <w:top w:val="single" w:sz="8" w:space="0" w:color="auto"/>
              <w:left w:val="single" w:sz="8" w:space="0" w:color="auto"/>
              <w:bottom w:val="single" w:sz="8" w:space="0" w:color="auto"/>
              <w:right w:val="single" w:sz="8" w:space="0" w:color="auto"/>
            </w:tcBorders>
            <w:noWrap/>
            <w:hideMark/>
          </w:tcPr>
          <w:p w14:paraId="4160DB68"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Not monitored to asymptote; survival rate likely overestimated</w:t>
            </w:r>
          </w:p>
        </w:tc>
      </w:tr>
      <w:tr w:rsidR="003C4EE5" w:rsidRPr="006934FD" w14:paraId="6CE5D0B1"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6632A803"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7</w:t>
            </w:r>
          </w:p>
        </w:tc>
        <w:tc>
          <w:tcPr>
            <w:tcW w:w="3130" w:type="dxa"/>
            <w:tcBorders>
              <w:top w:val="single" w:sz="8" w:space="0" w:color="auto"/>
              <w:left w:val="single" w:sz="8" w:space="0" w:color="auto"/>
              <w:bottom w:val="single" w:sz="8" w:space="0" w:color="auto"/>
              <w:right w:val="single" w:sz="8" w:space="0" w:color="auto"/>
            </w:tcBorders>
            <w:noWrap/>
            <w:hideMark/>
          </w:tcPr>
          <w:p w14:paraId="406470E1"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Saygu, I., Deval, M. C.</w:t>
            </w:r>
          </w:p>
        </w:tc>
        <w:tc>
          <w:tcPr>
            <w:tcW w:w="2835" w:type="dxa"/>
            <w:tcBorders>
              <w:top w:val="single" w:sz="8" w:space="0" w:color="auto"/>
              <w:left w:val="single" w:sz="8" w:space="0" w:color="auto"/>
              <w:bottom w:val="single" w:sz="8" w:space="0" w:color="auto"/>
              <w:right w:val="single" w:sz="8" w:space="0" w:color="auto"/>
            </w:tcBorders>
            <w:noWrap/>
            <w:hideMark/>
          </w:tcPr>
          <w:p w14:paraId="684B2FE4"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The Post-Release Survival of Two Skate Species Discarded by Bottom Trawl Fisheries in Antalya Bay, Eastern Mediterranean</w:t>
            </w:r>
          </w:p>
        </w:tc>
        <w:tc>
          <w:tcPr>
            <w:tcW w:w="1560" w:type="dxa"/>
            <w:tcBorders>
              <w:top w:val="single" w:sz="8" w:space="0" w:color="auto"/>
              <w:left w:val="single" w:sz="8" w:space="0" w:color="auto"/>
              <w:bottom w:val="single" w:sz="8" w:space="0" w:color="auto"/>
              <w:right w:val="single" w:sz="8" w:space="0" w:color="auto"/>
            </w:tcBorders>
            <w:noWrap/>
            <w:hideMark/>
          </w:tcPr>
          <w:p w14:paraId="27793AF6"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 xml:space="preserve">TURKISH JOURNAL OF FISHERIES AND AQUATIC </w:t>
            </w:r>
            <w:r w:rsidRPr="006934FD">
              <w:rPr>
                <w:rFonts w:ascii="Arial" w:hAnsi="Arial" w:cs="Arial"/>
                <w:sz w:val="18"/>
                <w:szCs w:val="18"/>
              </w:rPr>
              <w:lastRenderedPageBreak/>
              <w:t>SCIENCES 14: 947-954</w:t>
            </w:r>
          </w:p>
        </w:tc>
        <w:tc>
          <w:tcPr>
            <w:tcW w:w="722" w:type="dxa"/>
            <w:tcBorders>
              <w:top w:val="single" w:sz="8" w:space="0" w:color="auto"/>
              <w:left w:val="single" w:sz="8" w:space="0" w:color="auto"/>
              <w:bottom w:val="single" w:sz="8" w:space="0" w:color="auto"/>
              <w:right w:val="single" w:sz="8" w:space="0" w:color="auto"/>
            </w:tcBorders>
            <w:noWrap/>
            <w:hideMark/>
          </w:tcPr>
          <w:p w14:paraId="70D7AFE1"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lastRenderedPageBreak/>
              <w:t>2014</w:t>
            </w:r>
          </w:p>
        </w:tc>
        <w:tc>
          <w:tcPr>
            <w:tcW w:w="1219" w:type="dxa"/>
            <w:tcBorders>
              <w:top w:val="single" w:sz="8" w:space="0" w:color="auto"/>
              <w:left w:val="single" w:sz="8" w:space="0" w:color="auto"/>
              <w:bottom w:val="single" w:sz="8" w:space="0" w:color="auto"/>
              <w:right w:val="single" w:sz="8" w:space="0" w:color="auto"/>
            </w:tcBorders>
            <w:noWrap/>
            <w:hideMark/>
          </w:tcPr>
          <w:p w14:paraId="1D8333A4"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21% (n=68)</w:t>
            </w:r>
          </w:p>
        </w:tc>
        <w:tc>
          <w:tcPr>
            <w:tcW w:w="2473" w:type="dxa"/>
            <w:gridSpan w:val="2"/>
            <w:tcBorders>
              <w:top w:val="single" w:sz="8" w:space="0" w:color="auto"/>
              <w:left w:val="single" w:sz="8" w:space="0" w:color="auto"/>
              <w:bottom w:val="single" w:sz="8" w:space="0" w:color="auto"/>
              <w:right w:val="single" w:sz="8" w:space="0" w:color="auto"/>
            </w:tcBorders>
            <w:noWrap/>
            <w:hideMark/>
          </w:tcPr>
          <w:p w14:paraId="4D60D971"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Brown skate (Raja miraletus)</w:t>
            </w:r>
          </w:p>
        </w:tc>
        <w:tc>
          <w:tcPr>
            <w:tcW w:w="600" w:type="dxa"/>
            <w:tcBorders>
              <w:top w:val="single" w:sz="8" w:space="0" w:color="auto"/>
              <w:left w:val="single" w:sz="8" w:space="0" w:color="auto"/>
              <w:bottom w:val="single" w:sz="8" w:space="0" w:color="auto"/>
              <w:right w:val="single" w:sz="8" w:space="0" w:color="auto"/>
            </w:tcBorders>
            <w:noWrap/>
            <w:hideMark/>
          </w:tcPr>
          <w:p w14:paraId="1782AD1A"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TR1</w:t>
            </w:r>
          </w:p>
        </w:tc>
        <w:tc>
          <w:tcPr>
            <w:tcW w:w="1749" w:type="dxa"/>
            <w:tcBorders>
              <w:top w:val="single" w:sz="8" w:space="0" w:color="auto"/>
              <w:left w:val="single" w:sz="8" w:space="0" w:color="auto"/>
              <w:bottom w:val="single" w:sz="8" w:space="0" w:color="auto"/>
              <w:right w:val="single" w:sz="8" w:space="0" w:color="auto"/>
            </w:tcBorders>
            <w:noWrap/>
            <w:hideMark/>
          </w:tcPr>
          <w:p w14:paraId="0B378B40"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Not monitored to asymptote; survival rate likely overestimated</w:t>
            </w:r>
          </w:p>
        </w:tc>
      </w:tr>
      <w:tr w:rsidR="003C4EE5" w:rsidRPr="006934FD" w14:paraId="2DBBC04B"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47840A37"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8</w:t>
            </w:r>
          </w:p>
        </w:tc>
        <w:tc>
          <w:tcPr>
            <w:tcW w:w="3130" w:type="dxa"/>
            <w:tcBorders>
              <w:top w:val="single" w:sz="8" w:space="0" w:color="auto"/>
              <w:left w:val="single" w:sz="8" w:space="0" w:color="auto"/>
              <w:bottom w:val="single" w:sz="8" w:space="0" w:color="auto"/>
              <w:right w:val="single" w:sz="8" w:space="0" w:color="auto"/>
            </w:tcBorders>
            <w:noWrap/>
            <w:hideMark/>
          </w:tcPr>
          <w:p w14:paraId="2F88B9D2"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Enever, R., Revill, A. S., Caslake, R., Grant, A.</w:t>
            </w:r>
          </w:p>
        </w:tc>
        <w:tc>
          <w:tcPr>
            <w:tcW w:w="2835" w:type="dxa"/>
            <w:tcBorders>
              <w:top w:val="single" w:sz="8" w:space="0" w:color="auto"/>
              <w:left w:val="single" w:sz="8" w:space="0" w:color="auto"/>
              <w:bottom w:val="single" w:sz="8" w:space="0" w:color="auto"/>
              <w:right w:val="single" w:sz="8" w:space="0" w:color="auto"/>
            </w:tcBorders>
            <w:noWrap/>
            <w:hideMark/>
          </w:tcPr>
          <w:p w14:paraId="2B4D7EF6"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Discard mitigation increases skate survival in the Bristol Channel</w:t>
            </w:r>
          </w:p>
        </w:tc>
        <w:tc>
          <w:tcPr>
            <w:tcW w:w="1560" w:type="dxa"/>
            <w:tcBorders>
              <w:top w:val="single" w:sz="8" w:space="0" w:color="auto"/>
              <w:left w:val="single" w:sz="8" w:space="0" w:color="auto"/>
              <w:bottom w:val="single" w:sz="8" w:space="0" w:color="auto"/>
              <w:right w:val="single" w:sz="8" w:space="0" w:color="auto"/>
            </w:tcBorders>
            <w:noWrap/>
            <w:hideMark/>
          </w:tcPr>
          <w:p w14:paraId="570C7CC1"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FISHERIES RESEARCH 102(1–2): 9–15</w:t>
            </w:r>
          </w:p>
        </w:tc>
        <w:tc>
          <w:tcPr>
            <w:tcW w:w="722" w:type="dxa"/>
            <w:tcBorders>
              <w:top w:val="single" w:sz="8" w:space="0" w:color="auto"/>
              <w:left w:val="single" w:sz="8" w:space="0" w:color="auto"/>
              <w:bottom w:val="single" w:sz="8" w:space="0" w:color="auto"/>
              <w:right w:val="single" w:sz="8" w:space="0" w:color="auto"/>
            </w:tcBorders>
            <w:noWrap/>
            <w:hideMark/>
          </w:tcPr>
          <w:p w14:paraId="151AECB4"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2010</w:t>
            </w:r>
          </w:p>
        </w:tc>
        <w:tc>
          <w:tcPr>
            <w:tcW w:w="1219" w:type="dxa"/>
            <w:tcBorders>
              <w:top w:val="single" w:sz="8" w:space="0" w:color="auto"/>
              <w:left w:val="single" w:sz="8" w:space="0" w:color="auto"/>
              <w:bottom w:val="single" w:sz="8" w:space="0" w:color="auto"/>
              <w:right w:val="single" w:sz="8" w:space="0" w:color="auto"/>
            </w:tcBorders>
            <w:noWrap/>
            <w:hideMark/>
          </w:tcPr>
          <w:p w14:paraId="44F78125"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55-67% (n=278)</w:t>
            </w:r>
          </w:p>
        </w:tc>
        <w:tc>
          <w:tcPr>
            <w:tcW w:w="1342" w:type="dxa"/>
            <w:tcBorders>
              <w:top w:val="single" w:sz="8" w:space="0" w:color="auto"/>
              <w:left w:val="single" w:sz="8" w:space="0" w:color="auto"/>
              <w:bottom w:val="single" w:sz="8" w:space="0" w:color="auto"/>
              <w:right w:val="single" w:sz="8" w:space="0" w:color="auto"/>
            </w:tcBorders>
            <w:noWrap/>
            <w:hideMark/>
          </w:tcPr>
          <w:p w14:paraId="6622346B"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Small-eyed skate (Raja micro-ocellata)</w:t>
            </w:r>
          </w:p>
        </w:tc>
        <w:tc>
          <w:tcPr>
            <w:tcW w:w="1131" w:type="dxa"/>
            <w:tcBorders>
              <w:top w:val="single" w:sz="8" w:space="0" w:color="auto"/>
              <w:left w:val="single" w:sz="8" w:space="0" w:color="auto"/>
              <w:bottom w:val="single" w:sz="8" w:space="0" w:color="auto"/>
              <w:right w:val="single" w:sz="8" w:space="0" w:color="auto"/>
            </w:tcBorders>
            <w:noWrap/>
            <w:hideMark/>
          </w:tcPr>
          <w:p w14:paraId="4941CDC1"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Bristol Channel, otter trawl</w:t>
            </w:r>
          </w:p>
        </w:tc>
        <w:tc>
          <w:tcPr>
            <w:tcW w:w="600" w:type="dxa"/>
            <w:tcBorders>
              <w:top w:val="single" w:sz="8" w:space="0" w:color="auto"/>
              <w:left w:val="single" w:sz="8" w:space="0" w:color="auto"/>
              <w:bottom w:val="single" w:sz="8" w:space="0" w:color="auto"/>
              <w:right w:val="single" w:sz="8" w:space="0" w:color="auto"/>
            </w:tcBorders>
            <w:noWrap/>
            <w:hideMark/>
          </w:tcPr>
          <w:p w14:paraId="7C7F39A1"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TR2</w:t>
            </w:r>
          </w:p>
        </w:tc>
        <w:tc>
          <w:tcPr>
            <w:tcW w:w="1749" w:type="dxa"/>
            <w:tcBorders>
              <w:top w:val="single" w:sz="8" w:space="0" w:color="auto"/>
              <w:left w:val="single" w:sz="8" w:space="0" w:color="auto"/>
              <w:bottom w:val="single" w:sz="8" w:space="0" w:color="auto"/>
              <w:right w:val="single" w:sz="8" w:space="0" w:color="auto"/>
            </w:tcBorders>
            <w:noWrap/>
            <w:hideMark/>
          </w:tcPr>
          <w:p w14:paraId="37D2D17F"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Not monitored to asymptote; no control; survival rate likely overestimated</w:t>
            </w:r>
          </w:p>
        </w:tc>
      </w:tr>
      <w:tr w:rsidR="003C4EE5" w:rsidRPr="006934FD" w14:paraId="3B3D694D"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16CCB7D8"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9</w:t>
            </w:r>
          </w:p>
        </w:tc>
        <w:tc>
          <w:tcPr>
            <w:tcW w:w="3130" w:type="dxa"/>
            <w:tcBorders>
              <w:top w:val="single" w:sz="8" w:space="0" w:color="auto"/>
              <w:left w:val="single" w:sz="8" w:space="0" w:color="auto"/>
              <w:bottom w:val="single" w:sz="8" w:space="0" w:color="auto"/>
              <w:right w:val="single" w:sz="8" w:space="0" w:color="auto"/>
            </w:tcBorders>
            <w:noWrap/>
            <w:hideMark/>
          </w:tcPr>
          <w:p w14:paraId="46B58E98"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Tom Catchpole, Serena Wright, Victoria Bendall, Stuart Hetherington, Peter Randall, Elizabeth Ross, Ana Ribiero Santos, Jim Ellis, Jochen Depestele (ILVO), Suzanna Neville</w:t>
            </w:r>
          </w:p>
        </w:tc>
        <w:tc>
          <w:tcPr>
            <w:tcW w:w="2835" w:type="dxa"/>
            <w:tcBorders>
              <w:top w:val="single" w:sz="8" w:space="0" w:color="auto"/>
              <w:left w:val="single" w:sz="8" w:space="0" w:color="auto"/>
              <w:bottom w:val="single" w:sz="8" w:space="0" w:color="auto"/>
              <w:right w:val="single" w:sz="8" w:space="0" w:color="auto"/>
            </w:tcBorders>
            <w:noWrap/>
            <w:hideMark/>
          </w:tcPr>
          <w:p w14:paraId="3E2C2EBE"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Ray Discard Survival - Enhancing evidence of the discard survival of ray species</w:t>
            </w:r>
          </w:p>
        </w:tc>
        <w:tc>
          <w:tcPr>
            <w:tcW w:w="1560" w:type="dxa"/>
            <w:tcBorders>
              <w:top w:val="single" w:sz="8" w:space="0" w:color="auto"/>
              <w:left w:val="single" w:sz="8" w:space="0" w:color="auto"/>
              <w:bottom w:val="single" w:sz="8" w:space="0" w:color="auto"/>
              <w:right w:val="single" w:sz="8" w:space="0" w:color="auto"/>
            </w:tcBorders>
            <w:noWrap/>
            <w:hideMark/>
          </w:tcPr>
          <w:p w14:paraId="4009FA7A"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CEFAS Report</w:t>
            </w:r>
          </w:p>
        </w:tc>
        <w:tc>
          <w:tcPr>
            <w:tcW w:w="722" w:type="dxa"/>
            <w:tcBorders>
              <w:top w:val="single" w:sz="8" w:space="0" w:color="auto"/>
              <w:left w:val="single" w:sz="8" w:space="0" w:color="auto"/>
              <w:bottom w:val="single" w:sz="8" w:space="0" w:color="auto"/>
              <w:right w:val="single" w:sz="8" w:space="0" w:color="auto"/>
            </w:tcBorders>
            <w:noWrap/>
            <w:hideMark/>
          </w:tcPr>
          <w:p w14:paraId="59DAF0C9"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2017</w:t>
            </w:r>
          </w:p>
        </w:tc>
        <w:tc>
          <w:tcPr>
            <w:tcW w:w="1219" w:type="dxa"/>
            <w:tcBorders>
              <w:top w:val="single" w:sz="8" w:space="0" w:color="auto"/>
              <w:left w:val="single" w:sz="8" w:space="0" w:color="auto"/>
              <w:bottom w:val="single" w:sz="8" w:space="0" w:color="auto"/>
              <w:right w:val="single" w:sz="8" w:space="0" w:color="auto"/>
            </w:tcBorders>
            <w:noWrap/>
            <w:hideMark/>
          </w:tcPr>
          <w:p w14:paraId="3F544063"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41-44% (n=25)</w:t>
            </w:r>
          </w:p>
        </w:tc>
        <w:tc>
          <w:tcPr>
            <w:tcW w:w="1342" w:type="dxa"/>
            <w:tcBorders>
              <w:top w:val="single" w:sz="8" w:space="0" w:color="auto"/>
              <w:left w:val="single" w:sz="8" w:space="0" w:color="auto"/>
              <w:bottom w:val="single" w:sz="8" w:space="0" w:color="auto"/>
              <w:right w:val="single" w:sz="8" w:space="0" w:color="auto"/>
            </w:tcBorders>
            <w:noWrap/>
            <w:hideMark/>
          </w:tcPr>
          <w:p w14:paraId="1E36E8FD"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Blonde ray (Raja brachyura)</w:t>
            </w:r>
          </w:p>
        </w:tc>
        <w:tc>
          <w:tcPr>
            <w:tcW w:w="1131" w:type="dxa"/>
            <w:tcBorders>
              <w:top w:val="single" w:sz="8" w:space="0" w:color="auto"/>
              <w:left w:val="single" w:sz="8" w:space="0" w:color="auto"/>
              <w:bottom w:val="single" w:sz="8" w:space="0" w:color="auto"/>
              <w:right w:val="single" w:sz="8" w:space="0" w:color="auto"/>
            </w:tcBorders>
            <w:noWrap/>
            <w:hideMark/>
          </w:tcPr>
          <w:p w14:paraId="3B94EF47"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Western Channel beam trawl</w:t>
            </w:r>
          </w:p>
        </w:tc>
        <w:tc>
          <w:tcPr>
            <w:tcW w:w="600" w:type="dxa"/>
            <w:tcBorders>
              <w:top w:val="single" w:sz="8" w:space="0" w:color="auto"/>
              <w:left w:val="single" w:sz="8" w:space="0" w:color="auto"/>
              <w:bottom w:val="single" w:sz="8" w:space="0" w:color="auto"/>
              <w:right w:val="single" w:sz="8" w:space="0" w:color="auto"/>
            </w:tcBorders>
            <w:noWrap/>
            <w:hideMark/>
          </w:tcPr>
          <w:p w14:paraId="5BAC4790"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BT2</w:t>
            </w:r>
          </w:p>
        </w:tc>
        <w:tc>
          <w:tcPr>
            <w:tcW w:w="1749" w:type="dxa"/>
            <w:tcBorders>
              <w:top w:val="single" w:sz="8" w:space="0" w:color="auto"/>
              <w:left w:val="single" w:sz="8" w:space="0" w:color="auto"/>
              <w:bottom w:val="single" w:sz="8" w:space="0" w:color="auto"/>
              <w:right w:val="single" w:sz="8" w:space="0" w:color="auto"/>
            </w:tcBorders>
            <w:noWrap/>
            <w:hideMark/>
          </w:tcPr>
          <w:p w14:paraId="7B42582B"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Ellis et al (2012) enhanced estimates modelled to assymtote</w:t>
            </w:r>
          </w:p>
        </w:tc>
      </w:tr>
      <w:tr w:rsidR="003C4EE5" w:rsidRPr="006934FD" w14:paraId="2CA5E19C"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3DFD763B"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9</w:t>
            </w:r>
          </w:p>
        </w:tc>
        <w:tc>
          <w:tcPr>
            <w:tcW w:w="3130" w:type="dxa"/>
            <w:tcBorders>
              <w:top w:val="single" w:sz="8" w:space="0" w:color="auto"/>
              <w:left w:val="single" w:sz="8" w:space="0" w:color="auto"/>
              <w:bottom w:val="single" w:sz="8" w:space="0" w:color="auto"/>
              <w:right w:val="single" w:sz="8" w:space="0" w:color="auto"/>
            </w:tcBorders>
            <w:noWrap/>
            <w:hideMark/>
          </w:tcPr>
          <w:p w14:paraId="3FAD854F"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Tom Catchpole, Serena Wright, Victoria Bendall, Stuart Hetherington, Peter Randall, Elizabeth Ross, Ana Ribiero Santos, Jim Ellis, Jochen Depestele (ILVO), Suzanna Neville</w:t>
            </w:r>
          </w:p>
        </w:tc>
        <w:tc>
          <w:tcPr>
            <w:tcW w:w="2835" w:type="dxa"/>
            <w:tcBorders>
              <w:top w:val="single" w:sz="8" w:space="0" w:color="auto"/>
              <w:left w:val="single" w:sz="8" w:space="0" w:color="auto"/>
              <w:bottom w:val="single" w:sz="8" w:space="0" w:color="auto"/>
              <w:right w:val="single" w:sz="8" w:space="0" w:color="auto"/>
            </w:tcBorders>
            <w:noWrap/>
            <w:hideMark/>
          </w:tcPr>
          <w:p w14:paraId="7EDFF34C"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Ray Discard Survival - Enhancing evidence of the discard survival of ray species</w:t>
            </w:r>
          </w:p>
        </w:tc>
        <w:tc>
          <w:tcPr>
            <w:tcW w:w="1560" w:type="dxa"/>
            <w:tcBorders>
              <w:top w:val="single" w:sz="8" w:space="0" w:color="auto"/>
              <w:left w:val="single" w:sz="8" w:space="0" w:color="auto"/>
              <w:bottom w:val="single" w:sz="8" w:space="0" w:color="auto"/>
              <w:right w:val="single" w:sz="8" w:space="0" w:color="auto"/>
            </w:tcBorders>
            <w:noWrap/>
            <w:hideMark/>
          </w:tcPr>
          <w:p w14:paraId="7085B560"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CEFAS Report</w:t>
            </w:r>
          </w:p>
        </w:tc>
        <w:tc>
          <w:tcPr>
            <w:tcW w:w="722" w:type="dxa"/>
            <w:tcBorders>
              <w:top w:val="single" w:sz="8" w:space="0" w:color="auto"/>
              <w:left w:val="single" w:sz="8" w:space="0" w:color="auto"/>
              <w:bottom w:val="single" w:sz="8" w:space="0" w:color="auto"/>
              <w:right w:val="single" w:sz="8" w:space="0" w:color="auto"/>
            </w:tcBorders>
            <w:noWrap/>
            <w:hideMark/>
          </w:tcPr>
          <w:p w14:paraId="548C0D00"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2017</w:t>
            </w:r>
          </w:p>
        </w:tc>
        <w:tc>
          <w:tcPr>
            <w:tcW w:w="1219" w:type="dxa"/>
            <w:tcBorders>
              <w:top w:val="single" w:sz="8" w:space="0" w:color="auto"/>
              <w:left w:val="single" w:sz="8" w:space="0" w:color="auto"/>
              <w:bottom w:val="single" w:sz="8" w:space="0" w:color="auto"/>
              <w:right w:val="single" w:sz="8" w:space="0" w:color="auto"/>
            </w:tcBorders>
            <w:noWrap/>
            <w:hideMark/>
          </w:tcPr>
          <w:p w14:paraId="1BDB8CD9"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34-35% (n=26)</w:t>
            </w:r>
          </w:p>
        </w:tc>
        <w:tc>
          <w:tcPr>
            <w:tcW w:w="1342" w:type="dxa"/>
            <w:tcBorders>
              <w:top w:val="single" w:sz="8" w:space="0" w:color="auto"/>
              <w:left w:val="single" w:sz="8" w:space="0" w:color="auto"/>
              <w:bottom w:val="single" w:sz="8" w:space="0" w:color="auto"/>
              <w:right w:val="single" w:sz="8" w:space="0" w:color="auto"/>
            </w:tcBorders>
            <w:noWrap/>
            <w:hideMark/>
          </w:tcPr>
          <w:p w14:paraId="50B71E1F"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Cuckoo ray (Leucoraja naevus)</w:t>
            </w:r>
          </w:p>
        </w:tc>
        <w:tc>
          <w:tcPr>
            <w:tcW w:w="1131" w:type="dxa"/>
            <w:tcBorders>
              <w:top w:val="single" w:sz="8" w:space="0" w:color="auto"/>
              <w:left w:val="single" w:sz="8" w:space="0" w:color="auto"/>
              <w:bottom w:val="single" w:sz="8" w:space="0" w:color="auto"/>
              <w:right w:val="single" w:sz="8" w:space="0" w:color="auto"/>
            </w:tcBorders>
            <w:noWrap/>
            <w:hideMark/>
          </w:tcPr>
          <w:p w14:paraId="1C0B7B6F"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Western Channel beam trawl</w:t>
            </w:r>
          </w:p>
        </w:tc>
        <w:tc>
          <w:tcPr>
            <w:tcW w:w="600" w:type="dxa"/>
            <w:tcBorders>
              <w:top w:val="single" w:sz="8" w:space="0" w:color="auto"/>
              <w:left w:val="single" w:sz="8" w:space="0" w:color="auto"/>
              <w:bottom w:val="single" w:sz="8" w:space="0" w:color="auto"/>
              <w:right w:val="single" w:sz="8" w:space="0" w:color="auto"/>
            </w:tcBorders>
            <w:noWrap/>
            <w:hideMark/>
          </w:tcPr>
          <w:p w14:paraId="7F8B0193"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BT2</w:t>
            </w:r>
          </w:p>
        </w:tc>
        <w:tc>
          <w:tcPr>
            <w:tcW w:w="1749" w:type="dxa"/>
            <w:tcBorders>
              <w:top w:val="single" w:sz="8" w:space="0" w:color="auto"/>
              <w:left w:val="single" w:sz="8" w:space="0" w:color="auto"/>
              <w:bottom w:val="single" w:sz="8" w:space="0" w:color="auto"/>
              <w:right w:val="single" w:sz="8" w:space="0" w:color="auto"/>
            </w:tcBorders>
            <w:noWrap/>
            <w:hideMark/>
          </w:tcPr>
          <w:p w14:paraId="12C863B5"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Ellis et al (2012) enhanced estimates modelled to assymtote</w:t>
            </w:r>
          </w:p>
        </w:tc>
      </w:tr>
      <w:tr w:rsidR="003C4EE5" w:rsidRPr="006934FD" w14:paraId="4A3BBFAA"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72CCE2C1"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9</w:t>
            </w:r>
          </w:p>
        </w:tc>
        <w:tc>
          <w:tcPr>
            <w:tcW w:w="3130" w:type="dxa"/>
            <w:tcBorders>
              <w:top w:val="single" w:sz="8" w:space="0" w:color="auto"/>
              <w:left w:val="single" w:sz="8" w:space="0" w:color="auto"/>
              <w:bottom w:val="single" w:sz="8" w:space="0" w:color="auto"/>
              <w:right w:val="single" w:sz="8" w:space="0" w:color="auto"/>
            </w:tcBorders>
            <w:noWrap/>
            <w:hideMark/>
          </w:tcPr>
          <w:p w14:paraId="3923F216"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Tom Catchpole, Serena Wright, Victoria Bendall, Stuart Hetherington, Peter Randall, Elizabeth Ross, Ana Ribiero Santos, Jim Ellis, Jochen Depestele (ILVO), Suzanna Neville</w:t>
            </w:r>
          </w:p>
        </w:tc>
        <w:tc>
          <w:tcPr>
            <w:tcW w:w="2835" w:type="dxa"/>
            <w:tcBorders>
              <w:top w:val="single" w:sz="8" w:space="0" w:color="auto"/>
              <w:left w:val="single" w:sz="8" w:space="0" w:color="auto"/>
              <w:bottom w:val="single" w:sz="8" w:space="0" w:color="auto"/>
              <w:right w:val="single" w:sz="8" w:space="0" w:color="auto"/>
            </w:tcBorders>
            <w:noWrap/>
            <w:hideMark/>
          </w:tcPr>
          <w:p w14:paraId="330B0617"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Ray Discard Survival - Enhancing evidence of the discard survival of ray species</w:t>
            </w:r>
          </w:p>
        </w:tc>
        <w:tc>
          <w:tcPr>
            <w:tcW w:w="1560" w:type="dxa"/>
            <w:tcBorders>
              <w:top w:val="single" w:sz="8" w:space="0" w:color="auto"/>
              <w:left w:val="single" w:sz="8" w:space="0" w:color="auto"/>
              <w:bottom w:val="single" w:sz="8" w:space="0" w:color="auto"/>
              <w:right w:val="single" w:sz="8" w:space="0" w:color="auto"/>
            </w:tcBorders>
            <w:noWrap/>
            <w:hideMark/>
          </w:tcPr>
          <w:p w14:paraId="48F580DD"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CEFAS Report</w:t>
            </w:r>
          </w:p>
        </w:tc>
        <w:tc>
          <w:tcPr>
            <w:tcW w:w="722" w:type="dxa"/>
            <w:tcBorders>
              <w:top w:val="single" w:sz="8" w:space="0" w:color="auto"/>
              <w:left w:val="single" w:sz="8" w:space="0" w:color="auto"/>
              <w:bottom w:val="single" w:sz="8" w:space="0" w:color="auto"/>
              <w:right w:val="single" w:sz="8" w:space="0" w:color="auto"/>
            </w:tcBorders>
            <w:noWrap/>
            <w:hideMark/>
          </w:tcPr>
          <w:p w14:paraId="0D5D7654"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2017</w:t>
            </w:r>
          </w:p>
        </w:tc>
        <w:tc>
          <w:tcPr>
            <w:tcW w:w="1219" w:type="dxa"/>
            <w:tcBorders>
              <w:top w:val="single" w:sz="8" w:space="0" w:color="auto"/>
              <w:left w:val="single" w:sz="8" w:space="0" w:color="auto"/>
              <w:bottom w:val="single" w:sz="8" w:space="0" w:color="auto"/>
              <w:right w:val="single" w:sz="8" w:space="0" w:color="auto"/>
            </w:tcBorders>
            <w:noWrap/>
            <w:hideMark/>
          </w:tcPr>
          <w:p w14:paraId="55913866"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57-69% (n=162)</w:t>
            </w:r>
          </w:p>
        </w:tc>
        <w:tc>
          <w:tcPr>
            <w:tcW w:w="1342" w:type="dxa"/>
            <w:tcBorders>
              <w:top w:val="single" w:sz="8" w:space="0" w:color="auto"/>
              <w:left w:val="single" w:sz="8" w:space="0" w:color="auto"/>
              <w:bottom w:val="single" w:sz="8" w:space="0" w:color="auto"/>
              <w:right w:val="single" w:sz="8" w:space="0" w:color="auto"/>
            </w:tcBorders>
            <w:noWrap/>
            <w:hideMark/>
          </w:tcPr>
          <w:p w14:paraId="3F2D90A0"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Thornback ray (Raja clavata)</w:t>
            </w:r>
          </w:p>
        </w:tc>
        <w:tc>
          <w:tcPr>
            <w:tcW w:w="1131" w:type="dxa"/>
            <w:tcBorders>
              <w:top w:val="single" w:sz="8" w:space="0" w:color="auto"/>
              <w:left w:val="single" w:sz="8" w:space="0" w:color="auto"/>
              <w:bottom w:val="single" w:sz="8" w:space="0" w:color="auto"/>
              <w:right w:val="single" w:sz="8" w:space="0" w:color="auto"/>
            </w:tcBorders>
            <w:noWrap/>
            <w:hideMark/>
          </w:tcPr>
          <w:p w14:paraId="52120F5C"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Bristol Channel otter trawl</w:t>
            </w:r>
          </w:p>
        </w:tc>
        <w:tc>
          <w:tcPr>
            <w:tcW w:w="600" w:type="dxa"/>
            <w:tcBorders>
              <w:top w:val="single" w:sz="8" w:space="0" w:color="auto"/>
              <w:left w:val="single" w:sz="8" w:space="0" w:color="auto"/>
              <w:bottom w:val="single" w:sz="8" w:space="0" w:color="auto"/>
              <w:right w:val="single" w:sz="8" w:space="0" w:color="auto"/>
            </w:tcBorders>
            <w:noWrap/>
            <w:hideMark/>
          </w:tcPr>
          <w:p w14:paraId="19E40FF8"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TR2</w:t>
            </w:r>
          </w:p>
        </w:tc>
        <w:tc>
          <w:tcPr>
            <w:tcW w:w="1749" w:type="dxa"/>
            <w:tcBorders>
              <w:top w:val="single" w:sz="8" w:space="0" w:color="auto"/>
              <w:left w:val="single" w:sz="8" w:space="0" w:color="auto"/>
              <w:bottom w:val="single" w:sz="8" w:space="0" w:color="auto"/>
              <w:right w:val="single" w:sz="8" w:space="0" w:color="auto"/>
            </w:tcBorders>
            <w:noWrap/>
            <w:hideMark/>
          </w:tcPr>
          <w:p w14:paraId="5D4564E0"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Enever et al (2009) enhanced estimates modelled to assymtote</w:t>
            </w:r>
          </w:p>
        </w:tc>
      </w:tr>
      <w:tr w:rsidR="003C4EE5" w:rsidRPr="006934FD" w14:paraId="11276901"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7134B1E0"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lastRenderedPageBreak/>
              <w:t>9</w:t>
            </w:r>
          </w:p>
        </w:tc>
        <w:tc>
          <w:tcPr>
            <w:tcW w:w="3130" w:type="dxa"/>
            <w:tcBorders>
              <w:top w:val="single" w:sz="8" w:space="0" w:color="auto"/>
              <w:left w:val="single" w:sz="8" w:space="0" w:color="auto"/>
              <w:bottom w:val="single" w:sz="8" w:space="0" w:color="auto"/>
              <w:right w:val="single" w:sz="8" w:space="0" w:color="auto"/>
            </w:tcBorders>
            <w:noWrap/>
            <w:hideMark/>
          </w:tcPr>
          <w:p w14:paraId="0D98C568"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Tom Catchpole, Serena Wright, Victoria Bendall, Stuart Hetherington, Peter Randall, Elizabeth Ross, Ana Ribiero Santos, Jim Ellis, Jochen Depestele (ILVO), Suzanna Neville</w:t>
            </w:r>
          </w:p>
        </w:tc>
        <w:tc>
          <w:tcPr>
            <w:tcW w:w="2835" w:type="dxa"/>
            <w:tcBorders>
              <w:top w:val="single" w:sz="8" w:space="0" w:color="auto"/>
              <w:left w:val="single" w:sz="8" w:space="0" w:color="auto"/>
              <w:bottom w:val="single" w:sz="8" w:space="0" w:color="auto"/>
              <w:right w:val="single" w:sz="8" w:space="0" w:color="auto"/>
            </w:tcBorders>
            <w:noWrap/>
            <w:hideMark/>
          </w:tcPr>
          <w:p w14:paraId="38D9D0F7"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Ray Discard Survival - Enhancing evidence of the discard survival of ray species</w:t>
            </w:r>
          </w:p>
        </w:tc>
        <w:tc>
          <w:tcPr>
            <w:tcW w:w="1560" w:type="dxa"/>
            <w:tcBorders>
              <w:top w:val="single" w:sz="8" w:space="0" w:color="auto"/>
              <w:left w:val="single" w:sz="8" w:space="0" w:color="auto"/>
              <w:bottom w:val="single" w:sz="8" w:space="0" w:color="auto"/>
              <w:right w:val="single" w:sz="8" w:space="0" w:color="auto"/>
            </w:tcBorders>
            <w:noWrap/>
            <w:hideMark/>
          </w:tcPr>
          <w:p w14:paraId="173277B0"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CEFAS Report</w:t>
            </w:r>
          </w:p>
        </w:tc>
        <w:tc>
          <w:tcPr>
            <w:tcW w:w="722" w:type="dxa"/>
            <w:tcBorders>
              <w:top w:val="single" w:sz="8" w:space="0" w:color="auto"/>
              <w:left w:val="single" w:sz="8" w:space="0" w:color="auto"/>
              <w:bottom w:val="single" w:sz="8" w:space="0" w:color="auto"/>
              <w:right w:val="single" w:sz="8" w:space="0" w:color="auto"/>
            </w:tcBorders>
            <w:noWrap/>
            <w:hideMark/>
          </w:tcPr>
          <w:p w14:paraId="06265A41"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2017</w:t>
            </w:r>
          </w:p>
        </w:tc>
        <w:tc>
          <w:tcPr>
            <w:tcW w:w="1219" w:type="dxa"/>
            <w:tcBorders>
              <w:top w:val="single" w:sz="8" w:space="0" w:color="auto"/>
              <w:left w:val="single" w:sz="8" w:space="0" w:color="auto"/>
              <w:bottom w:val="single" w:sz="8" w:space="0" w:color="auto"/>
              <w:right w:val="single" w:sz="8" w:space="0" w:color="auto"/>
            </w:tcBorders>
            <w:noWrap/>
            <w:hideMark/>
          </w:tcPr>
          <w:p w14:paraId="086135C0"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95% (n=15)</w:t>
            </w:r>
          </w:p>
        </w:tc>
        <w:tc>
          <w:tcPr>
            <w:tcW w:w="1342" w:type="dxa"/>
            <w:tcBorders>
              <w:top w:val="single" w:sz="8" w:space="0" w:color="auto"/>
              <w:left w:val="single" w:sz="8" w:space="0" w:color="auto"/>
              <w:bottom w:val="single" w:sz="8" w:space="0" w:color="auto"/>
              <w:right w:val="single" w:sz="8" w:space="0" w:color="auto"/>
            </w:tcBorders>
            <w:noWrap/>
            <w:hideMark/>
          </w:tcPr>
          <w:p w14:paraId="1457BAD4"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Thornback ray (Raja clavata)</w:t>
            </w:r>
          </w:p>
        </w:tc>
        <w:tc>
          <w:tcPr>
            <w:tcW w:w="1131" w:type="dxa"/>
            <w:tcBorders>
              <w:top w:val="single" w:sz="8" w:space="0" w:color="auto"/>
              <w:left w:val="single" w:sz="8" w:space="0" w:color="auto"/>
              <w:bottom w:val="single" w:sz="8" w:space="0" w:color="auto"/>
              <w:right w:val="single" w:sz="8" w:space="0" w:color="auto"/>
            </w:tcBorders>
            <w:noWrap/>
            <w:hideMark/>
          </w:tcPr>
          <w:p w14:paraId="04A713B6"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North Sea gill netter</w:t>
            </w:r>
          </w:p>
        </w:tc>
        <w:tc>
          <w:tcPr>
            <w:tcW w:w="600" w:type="dxa"/>
            <w:tcBorders>
              <w:top w:val="single" w:sz="8" w:space="0" w:color="auto"/>
              <w:left w:val="single" w:sz="8" w:space="0" w:color="auto"/>
              <w:bottom w:val="single" w:sz="8" w:space="0" w:color="auto"/>
              <w:right w:val="single" w:sz="8" w:space="0" w:color="auto"/>
            </w:tcBorders>
            <w:noWrap/>
            <w:hideMark/>
          </w:tcPr>
          <w:p w14:paraId="18ABE58A"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GT1</w:t>
            </w:r>
          </w:p>
        </w:tc>
        <w:tc>
          <w:tcPr>
            <w:tcW w:w="1749" w:type="dxa"/>
            <w:tcBorders>
              <w:top w:val="single" w:sz="8" w:space="0" w:color="auto"/>
              <w:left w:val="single" w:sz="8" w:space="0" w:color="auto"/>
              <w:bottom w:val="single" w:sz="8" w:space="0" w:color="auto"/>
              <w:right w:val="single" w:sz="8" w:space="0" w:color="auto"/>
            </w:tcBorders>
            <w:noWrap/>
            <w:hideMark/>
          </w:tcPr>
          <w:p w14:paraId="1591B05C"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DST tagging, effect of predation included within estimate</w:t>
            </w:r>
          </w:p>
        </w:tc>
      </w:tr>
      <w:tr w:rsidR="003C4EE5" w:rsidRPr="006934FD" w14:paraId="5DA527FC"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2FF40BF4"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9</w:t>
            </w:r>
          </w:p>
        </w:tc>
        <w:tc>
          <w:tcPr>
            <w:tcW w:w="3130" w:type="dxa"/>
            <w:tcBorders>
              <w:top w:val="single" w:sz="8" w:space="0" w:color="auto"/>
              <w:left w:val="single" w:sz="8" w:space="0" w:color="auto"/>
              <w:bottom w:val="single" w:sz="8" w:space="0" w:color="auto"/>
              <w:right w:val="single" w:sz="8" w:space="0" w:color="auto"/>
            </w:tcBorders>
            <w:noWrap/>
            <w:hideMark/>
          </w:tcPr>
          <w:p w14:paraId="407B5925"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Tom Catchpole, Serena Wright, Victoria Bendall, Stuart Hetherington, Peter Randall, Elizabeth Ross, Ana Ribiero Santos, Jim Ellis, Jochen Depestele (ILVO), Suzanna Neville</w:t>
            </w:r>
          </w:p>
        </w:tc>
        <w:tc>
          <w:tcPr>
            <w:tcW w:w="2835" w:type="dxa"/>
            <w:tcBorders>
              <w:top w:val="single" w:sz="8" w:space="0" w:color="auto"/>
              <w:left w:val="single" w:sz="8" w:space="0" w:color="auto"/>
              <w:bottom w:val="single" w:sz="8" w:space="0" w:color="auto"/>
              <w:right w:val="single" w:sz="8" w:space="0" w:color="auto"/>
            </w:tcBorders>
            <w:noWrap/>
            <w:hideMark/>
          </w:tcPr>
          <w:p w14:paraId="5717C18C"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Ray Discard Survival - Enhancing evidence of the discard survival of ray species</w:t>
            </w:r>
          </w:p>
        </w:tc>
        <w:tc>
          <w:tcPr>
            <w:tcW w:w="1560" w:type="dxa"/>
            <w:tcBorders>
              <w:top w:val="single" w:sz="8" w:space="0" w:color="auto"/>
              <w:left w:val="single" w:sz="8" w:space="0" w:color="auto"/>
              <w:bottom w:val="single" w:sz="8" w:space="0" w:color="auto"/>
              <w:right w:val="single" w:sz="8" w:space="0" w:color="auto"/>
            </w:tcBorders>
            <w:noWrap/>
            <w:hideMark/>
          </w:tcPr>
          <w:p w14:paraId="45690149"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CEFAS Report</w:t>
            </w:r>
          </w:p>
        </w:tc>
        <w:tc>
          <w:tcPr>
            <w:tcW w:w="722" w:type="dxa"/>
            <w:tcBorders>
              <w:top w:val="single" w:sz="8" w:space="0" w:color="auto"/>
              <w:left w:val="single" w:sz="8" w:space="0" w:color="auto"/>
              <w:bottom w:val="single" w:sz="8" w:space="0" w:color="auto"/>
              <w:right w:val="single" w:sz="8" w:space="0" w:color="auto"/>
            </w:tcBorders>
            <w:noWrap/>
            <w:hideMark/>
          </w:tcPr>
          <w:p w14:paraId="686316CC"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2017</w:t>
            </w:r>
          </w:p>
        </w:tc>
        <w:tc>
          <w:tcPr>
            <w:tcW w:w="1219" w:type="dxa"/>
            <w:tcBorders>
              <w:top w:val="single" w:sz="8" w:space="0" w:color="auto"/>
              <w:left w:val="single" w:sz="8" w:space="0" w:color="auto"/>
              <w:bottom w:val="single" w:sz="8" w:space="0" w:color="auto"/>
              <w:right w:val="single" w:sz="8" w:space="0" w:color="auto"/>
            </w:tcBorders>
            <w:noWrap/>
            <w:hideMark/>
          </w:tcPr>
          <w:p w14:paraId="3C6E82AD"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92% (n=5)</w:t>
            </w:r>
          </w:p>
        </w:tc>
        <w:tc>
          <w:tcPr>
            <w:tcW w:w="1342" w:type="dxa"/>
            <w:tcBorders>
              <w:top w:val="single" w:sz="8" w:space="0" w:color="auto"/>
              <w:left w:val="single" w:sz="8" w:space="0" w:color="auto"/>
              <w:bottom w:val="single" w:sz="8" w:space="0" w:color="auto"/>
              <w:right w:val="single" w:sz="8" w:space="0" w:color="auto"/>
            </w:tcBorders>
            <w:noWrap/>
            <w:hideMark/>
          </w:tcPr>
          <w:p w14:paraId="7697F645"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Blonde ray (Raja brachyura)</w:t>
            </w:r>
          </w:p>
        </w:tc>
        <w:tc>
          <w:tcPr>
            <w:tcW w:w="1131" w:type="dxa"/>
            <w:tcBorders>
              <w:top w:val="single" w:sz="8" w:space="0" w:color="auto"/>
              <w:left w:val="single" w:sz="8" w:space="0" w:color="auto"/>
              <w:bottom w:val="single" w:sz="8" w:space="0" w:color="auto"/>
              <w:right w:val="single" w:sz="8" w:space="0" w:color="auto"/>
            </w:tcBorders>
            <w:noWrap/>
            <w:hideMark/>
          </w:tcPr>
          <w:p w14:paraId="3ECFA396"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North Sea gill netter</w:t>
            </w:r>
          </w:p>
        </w:tc>
        <w:tc>
          <w:tcPr>
            <w:tcW w:w="600" w:type="dxa"/>
            <w:tcBorders>
              <w:top w:val="single" w:sz="8" w:space="0" w:color="auto"/>
              <w:left w:val="single" w:sz="8" w:space="0" w:color="auto"/>
              <w:bottom w:val="single" w:sz="8" w:space="0" w:color="auto"/>
              <w:right w:val="single" w:sz="8" w:space="0" w:color="auto"/>
            </w:tcBorders>
            <w:noWrap/>
            <w:hideMark/>
          </w:tcPr>
          <w:p w14:paraId="3EC38856"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GT1</w:t>
            </w:r>
          </w:p>
        </w:tc>
        <w:tc>
          <w:tcPr>
            <w:tcW w:w="1749" w:type="dxa"/>
            <w:tcBorders>
              <w:top w:val="single" w:sz="8" w:space="0" w:color="auto"/>
              <w:left w:val="single" w:sz="8" w:space="0" w:color="auto"/>
              <w:bottom w:val="single" w:sz="8" w:space="0" w:color="auto"/>
              <w:right w:val="single" w:sz="8" w:space="0" w:color="auto"/>
            </w:tcBorders>
            <w:noWrap/>
            <w:hideMark/>
          </w:tcPr>
          <w:p w14:paraId="6E5212B9"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DST tagging, effect of predation included within estimate; not representative sorting</w:t>
            </w:r>
          </w:p>
        </w:tc>
      </w:tr>
      <w:tr w:rsidR="003C4EE5" w:rsidRPr="006934FD" w14:paraId="13029276"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23FBD43A"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10</w:t>
            </w:r>
          </w:p>
        </w:tc>
        <w:tc>
          <w:tcPr>
            <w:tcW w:w="3130" w:type="dxa"/>
            <w:tcBorders>
              <w:top w:val="single" w:sz="8" w:space="0" w:color="auto"/>
              <w:left w:val="single" w:sz="8" w:space="0" w:color="auto"/>
              <w:bottom w:val="single" w:sz="8" w:space="0" w:color="auto"/>
              <w:right w:val="single" w:sz="8" w:space="0" w:color="auto"/>
            </w:tcBorders>
            <w:noWrap/>
            <w:hideMark/>
          </w:tcPr>
          <w:p w14:paraId="0F097B35"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Christopher Bird, Victoria Bendall, Jim Ellis, Thomas Catchpole</w:t>
            </w:r>
          </w:p>
        </w:tc>
        <w:tc>
          <w:tcPr>
            <w:tcW w:w="2835" w:type="dxa"/>
            <w:tcBorders>
              <w:top w:val="single" w:sz="8" w:space="0" w:color="auto"/>
              <w:left w:val="single" w:sz="8" w:space="0" w:color="auto"/>
              <w:bottom w:val="single" w:sz="8" w:space="0" w:color="auto"/>
              <w:right w:val="single" w:sz="8" w:space="0" w:color="auto"/>
            </w:tcBorders>
            <w:noWrap/>
            <w:hideMark/>
          </w:tcPr>
          <w:p w14:paraId="79C85453"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Health and vitality of discarded skates and rays</w:t>
            </w:r>
          </w:p>
        </w:tc>
        <w:tc>
          <w:tcPr>
            <w:tcW w:w="1560" w:type="dxa"/>
            <w:tcBorders>
              <w:top w:val="single" w:sz="8" w:space="0" w:color="auto"/>
              <w:left w:val="single" w:sz="8" w:space="0" w:color="auto"/>
              <w:bottom w:val="single" w:sz="8" w:space="0" w:color="auto"/>
              <w:right w:val="single" w:sz="8" w:space="0" w:color="auto"/>
            </w:tcBorders>
            <w:noWrap/>
            <w:hideMark/>
          </w:tcPr>
          <w:p w14:paraId="1557FD93"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CEFAS Report</w:t>
            </w:r>
          </w:p>
        </w:tc>
        <w:tc>
          <w:tcPr>
            <w:tcW w:w="722" w:type="dxa"/>
            <w:tcBorders>
              <w:top w:val="single" w:sz="8" w:space="0" w:color="auto"/>
              <w:left w:val="single" w:sz="8" w:space="0" w:color="auto"/>
              <w:bottom w:val="single" w:sz="8" w:space="0" w:color="auto"/>
              <w:right w:val="single" w:sz="8" w:space="0" w:color="auto"/>
            </w:tcBorders>
            <w:noWrap/>
            <w:hideMark/>
          </w:tcPr>
          <w:p w14:paraId="6BA7A8F9"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2018</w:t>
            </w:r>
          </w:p>
        </w:tc>
        <w:tc>
          <w:tcPr>
            <w:tcW w:w="1219" w:type="dxa"/>
            <w:tcBorders>
              <w:top w:val="single" w:sz="8" w:space="0" w:color="auto"/>
              <w:left w:val="single" w:sz="8" w:space="0" w:color="auto"/>
              <w:bottom w:val="single" w:sz="8" w:space="0" w:color="auto"/>
              <w:right w:val="single" w:sz="8" w:space="0" w:color="auto"/>
            </w:tcBorders>
            <w:noWrap/>
            <w:hideMark/>
          </w:tcPr>
          <w:p w14:paraId="1A0A379E"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At-vessel mortality only, based on vitality assessments</w:t>
            </w:r>
          </w:p>
        </w:tc>
        <w:tc>
          <w:tcPr>
            <w:tcW w:w="1342" w:type="dxa"/>
            <w:tcBorders>
              <w:top w:val="single" w:sz="8" w:space="0" w:color="auto"/>
              <w:left w:val="single" w:sz="8" w:space="0" w:color="auto"/>
              <w:bottom w:val="single" w:sz="8" w:space="0" w:color="auto"/>
              <w:right w:val="single" w:sz="8" w:space="0" w:color="auto"/>
            </w:tcBorders>
            <w:noWrap/>
            <w:hideMark/>
          </w:tcPr>
          <w:p w14:paraId="15047640"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Nine skate ray species</w:t>
            </w:r>
          </w:p>
        </w:tc>
        <w:tc>
          <w:tcPr>
            <w:tcW w:w="1131" w:type="dxa"/>
            <w:tcBorders>
              <w:top w:val="single" w:sz="8" w:space="0" w:color="auto"/>
              <w:left w:val="single" w:sz="8" w:space="0" w:color="auto"/>
              <w:bottom w:val="single" w:sz="8" w:space="0" w:color="auto"/>
              <w:right w:val="single" w:sz="8" w:space="0" w:color="auto"/>
            </w:tcBorders>
            <w:noWrap/>
            <w:hideMark/>
          </w:tcPr>
          <w:p w14:paraId="67394486"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NS, NWW various</w:t>
            </w:r>
          </w:p>
        </w:tc>
        <w:tc>
          <w:tcPr>
            <w:tcW w:w="600" w:type="dxa"/>
            <w:tcBorders>
              <w:top w:val="single" w:sz="8" w:space="0" w:color="auto"/>
              <w:left w:val="single" w:sz="8" w:space="0" w:color="auto"/>
              <w:bottom w:val="single" w:sz="8" w:space="0" w:color="auto"/>
              <w:right w:val="single" w:sz="8" w:space="0" w:color="auto"/>
            </w:tcBorders>
            <w:noWrap/>
            <w:hideMark/>
          </w:tcPr>
          <w:p w14:paraId="1B06A944"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TR2,GT1,GN1,LL1</w:t>
            </w:r>
          </w:p>
        </w:tc>
        <w:tc>
          <w:tcPr>
            <w:tcW w:w="1749" w:type="dxa"/>
            <w:tcBorders>
              <w:top w:val="single" w:sz="8" w:space="0" w:color="auto"/>
              <w:left w:val="single" w:sz="8" w:space="0" w:color="auto"/>
              <w:bottom w:val="single" w:sz="8" w:space="0" w:color="auto"/>
              <w:right w:val="single" w:sz="8" w:space="0" w:color="auto"/>
            </w:tcBorders>
            <w:noWrap/>
            <w:hideMark/>
          </w:tcPr>
          <w:p w14:paraId="69984E59" w14:textId="77777777" w:rsidR="003C4EE5" w:rsidRPr="006934FD" w:rsidRDefault="003C4EE5" w:rsidP="003C4EE5">
            <w:pPr>
              <w:spacing w:before="240" w:after="120"/>
              <w:ind w:left="0"/>
              <w:jc w:val="left"/>
              <w:rPr>
                <w:rFonts w:ascii="Arial" w:hAnsi="Arial" w:cs="Arial"/>
                <w:sz w:val="18"/>
                <w:szCs w:val="18"/>
              </w:rPr>
            </w:pPr>
            <w:r w:rsidRPr="006934FD">
              <w:rPr>
                <w:rFonts w:ascii="Arial" w:hAnsi="Arial" w:cs="Arial"/>
                <w:sz w:val="18"/>
                <w:szCs w:val="18"/>
              </w:rPr>
              <w:t>Compiled vitality (health) scores from 10 projects</w:t>
            </w:r>
          </w:p>
        </w:tc>
        <w:bookmarkEnd w:id="114"/>
      </w:tr>
    </w:tbl>
    <w:p w14:paraId="51F910B2" w14:textId="4380EB86" w:rsidR="00FE6CF9" w:rsidRDefault="00FE6CF9" w:rsidP="00FE6CF9"/>
    <w:p w14:paraId="43D85084" w14:textId="77777777" w:rsidR="00FE6CF9" w:rsidRPr="00FE6CF9" w:rsidRDefault="00FE6CF9" w:rsidP="00FE6CF9"/>
    <w:p w14:paraId="7E8FF620" w14:textId="5B1BD0BE" w:rsidR="00963171" w:rsidRDefault="00963171" w:rsidP="00EA60DC"/>
    <w:p w14:paraId="0F9B4FF6" w14:textId="712134B7" w:rsidR="00725AB9" w:rsidRDefault="00725AB9">
      <w:pPr>
        <w:spacing w:after="160" w:line="259" w:lineRule="auto"/>
        <w:ind w:left="0"/>
        <w:jc w:val="left"/>
      </w:pPr>
      <w:r>
        <w:br w:type="page"/>
      </w:r>
    </w:p>
    <w:p w14:paraId="0C71EDF8" w14:textId="0C4D58C4" w:rsidR="00725AB9" w:rsidRDefault="00725AB9" w:rsidP="00725AB9">
      <w:pPr>
        <w:spacing w:after="160" w:line="259" w:lineRule="auto"/>
        <w:ind w:left="0"/>
        <w:jc w:val="left"/>
        <w:sectPr w:rsidR="00725AB9" w:rsidSect="003C4EE5">
          <w:pgSz w:w="16838" w:h="11906" w:orient="landscape"/>
          <w:pgMar w:top="1440" w:right="1440" w:bottom="1440" w:left="1440" w:header="708" w:footer="708" w:gutter="0"/>
          <w:cols w:space="708"/>
          <w:docGrid w:linePitch="360"/>
        </w:sectPr>
      </w:pPr>
    </w:p>
    <w:p w14:paraId="40C4DC30" w14:textId="0AE7B8EC" w:rsidR="00725AB9" w:rsidRDefault="00725AB9" w:rsidP="00725AB9">
      <w:pPr>
        <w:pStyle w:val="Appendix"/>
      </w:pPr>
      <w:r>
        <w:lastRenderedPageBreak/>
        <w:t>Appendix 2:</w:t>
      </w:r>
    </w:p>
    <w:p w14:paraId="47AC9C7E" w14:textId="77777777" w:rsidR="00626530" w:rsidRPr="00A76934" w:rsidRDefault="00626530" w:rsidP="00626530">
      <w:pPr>
        <w:rPr>
          <w:rFonts w:cs="Times New Roman"/>
          <w:b/>
          <w:i/>
          <w:noProof/>
          <w:u w:val="single"/>
          <w:shd w:val="clear" w:color="auto" w:fill="FFFFFF"/>
        </w:rPr>
      </w:pPr>
      <w:r w:rsidRPr="000F782D">
        <w:rPr>
          <w:rFonts w:cs="Times New Roman"/>
          <w:b/>
          <w:i/>
          <w:noProof/>
          <w:u w:val="single"/>
          <w:shd w:val="clear" w:color="auto" w:fill="FFFFFF"/>
        </w:rPr>
        <w:t xml:space="preserve">Offshore sampling scheme: </w:t>
      </w:r>
      <w:r w:rsidRPr="000F782D">
        <w:rPr>
          <w:rFonts w:cs="Times New Roman"/>
          <w:b/>
          <w:i/>
          <w:color w:val="000000"/>
          <w:u w:val="single"/>
        </w:rPr>
        <w:t>UK-E+W Observer at sea</w:t>
      </w:r>
    </w:p>
    <w:p w14:paraId="43FC666A" w14:textId="77777777" w:rsidR="00626530" w:rsidRPr="000F782D" w:rsidRDefault="00626530" w:rsidP="00626530">
      <w:pPr>
        <w:rPr>
          <w:rFonts w:cs="Times New Roman"/>
          <w:kern w:val="16"/>
        </w:rPr>
      </w:pPr>
      <w:r>
        <w:rPr>
          <w:rFonts w:cs="Times New Roman"/>
        </w:rPr>
        <w:t xml:space="preserve">The current off-shore sampling scheme was set up in 2001, with some changes made throughout the years to take into account the regional and technical (ie. gear types) specifications. </w:t>
      </w:r>
      <w:r w:rsidRPr="000F782D">
        <w:rPr>
          <w:rFonts w:cs="Times New Roman"/>
          <w:kern w:val="16"/>
        </w:rPr>
        <w:t xml:space="preserve">The sampling frame is a virtual frame of all fishing trips of the vessels in the list, which comprises all commercial fishing vessels [registered in </w:t>
      </w:r>
      <w:r>
        <w:rPr>
          <w:rFonts w:cs="Times New Roman"/>
          <w:kern w:val="16"/>
        </w:rPr>
        <w:t>England and Wales</w:t>
      </w:r>
      <w:r w:rsidRPr="000F782D">
        <w:rPr>
          <w:rFonts w:cs="Times New Roman"/>
          <w:kern w:val="16"/>
        </w:rPr>
        <w:t>]. The list of active vessels is updated quarterly to capture the polyvalent and seasonal nature of regional fisheries.</w:t>
      </w:r>
      <w:r>
        <w:rPr>
          <w:rFonts w:cs="Times New Roman"/>
          <w:kern w:val="16"/>
        </w:rPr>
        <w:t xml:space="preserve"> </w:t>
      </w:r>
      <w:r w:rsidRPr="000F782D">
        <w:rPr>
          <w:rFonts w:cs="Times New Roman"/>
        </w:rPr>
        <w:t>list frame of fishing vessels, from which a stratified random selection is made for direct observation by Cefas observers</w:t>
      </w:r>
    </w:p>
    <w:p w14:paraId="44F1C5C7" w14:textId="77777777" w:rsidR="00626530" w:rsidRPr="000F782D" w:rsidRDefault="00626530" w:rsidP="00626530">
      <w:pPr>
        <w:rPr>
          <w:rFonts w:cs="Times New Roman"/>
          <w:kern w:val="16"/>
        </w:rPr>
      </w:pPr>
      <w:r w:rsidRPr="000F782D">
        <w:rPr>
          <w:rFonts w:cs="Times New Roman"/>
          <w:kern w:val="16"/>
        </w:rPr>
        <w:t xml:space="preserve">The list of vessels in the </w:t>
      </w:r>
      <w:r>
        <w:rPr>
          <w:rFonts w:cs="Times New Roman"/>
          <w:kern w:val="16"/>
        </w:rPr>
        <w:t>sampling frame is stratified by:</w:t>
      </w:r>
      <w:r w:rsidRPr="000F782D">
        <w:rPr>
          <w:rFonts w:cs="Times New Roman"/>
          <w:kern w:val="16"/>
        </w:rPr>
        <w:t xml:space="preserve"> Region </w:t>
      </w:r>
      <w:r>
        <w:rPr>
          <w:rFonts w:cs="Times New Roman"/>
          <w:kern w:val="16"/>
        </w:rPr>
        <w:t xml:space="preserve">- </w:t>
      </w:r>
      <w:r w:rsidRPr="000F782D">
        <w:rPr>
          <w:rFonts w:cs="Times New Roman"/>
          <w:kern w:val="16"/>
        </w:rPr>
        <w:t>2 strata in the North Sea and Eastern Artic and 3 in the North Atlantic</w:t>
      </w:r>
      <w:r>
        <w:rPr>
          <w:rFonts w:cs="Times New Roman"/>
          <w:kern w:val="16"/>
        </w:rPr>
        <w:t xml:space="preserve"> -</w:t>
      </w:r>
      <w:r w:rsidRPr="000F782D">
        <w:rPr>
          <w:rFonts w:cs="Times New Roman"/>
          <w:kern w:val="16"/>
        </w:rPr>
        <w:t xml:space="preserve"> and predominant fishing method (nets, trawls, lines, beam trawl and scallop dredge). In addition, some region / fishing method strata are further stratified by vessel LOA (&lt;10m; 10m+). In most regions the nets, trawls and lines are combined into single strata but in some regions where gear specific fisheries are more distinct Nets and Trawl are separated. Beam trawl and Scallop dredge vessels are also kept distinct but cover all regions - the North Sea and North East Atlantic to capture the nomadic nature of a lot of these vessels. </w:t>
      </w:r>
    </w:p>
    <w:p w14:paraId="0A3D31E5" w14:textId="77777777" w:rsidR="00626530" w:rsidRPr="000F782D" w:rsidRDefault="00626530" w:rsidP="00626530">
      <w:pPr>
        <w:rPr>
          <w:rFonts w:cs="Times New Roman"/>
          <w:kern w:val="16"/>
        </w:rPr>
      </w:pPr>
      <w:r w:rsidRPr="000F782D">
        <w:rPr>
          <w:rFonts w:cs="Times New Roman"/>
          <w:kern w:val="16"/>
        </w:rPr>
        <w:t>Some vessels are excluded from the sampling frame:</w:t>
      </w:r>
    </w:p>
    <w:p w14:paraId="68AFE66C" w14:textId="77777777" w:rsidR="00626530" w:rsidRPr="000F782D" w:rsidRDefault="00626530" w:rsidP="00626530">
      <w:pPr>
        <w:pStyle w:val="ListParagraph"/>
        <w:numPr>
          <w:ilvl w:val="0"/>
          <w:numId w:val="18"/>
        </w:numPr>
        <w:spacing w:after="0"/>
        <w:rPr>
          <w:rFonts w:cs="Times New Roman"/>
          <w:noProof/>
          <w:shd w:val="clear" w:color="auto" w:fill="FFFFFF"/>
        </w:rPr>
      </w:pPr>
      <w:r w:rsidRPr="000F782D">
        <w:rPr>
          <w:rFonts w:cs="Times New Roman"/>
          <w:noProof/>
          <w:shd w:val="clear" w:color="auto" w:fill="FFFFFF"/>
        </w:rPr>
        <w:t xml:space="preserve">Vessels less than 7m, excluded for health &amp; safety reasons </w:t>
      </w:r>
    </w:p>
    <w:p w14:paraId="3F279AF8" w14:textId="77777777" w:rsidR="00626530" w:rsidRPr="000F782D" w:rsidRDefault="00626530" w:rsidP="00626530">
      <w:pPr>
        <w:pStyle w:val="ListParagraph"/>
        <w:numPr>
          <w:ilvl w:val="0"/>
          <w:numId w:val="18"/>
        </w:numPr>
        <w:spacing w:after="0"/>
        <w:rPr>
          <w:rFonts w:cs="Times New Roman"/>
          <w:noProof/>
          <w:shd w:val="clear" w:color="auto" w:fill="FFFFFF"/>
        </w:rPr>
      </w:pPr>
      <w:r w:rsidRPr="000F782D">
        <w:rPr>
          <w:rFonts w:cs="Times New Roman"/>
          <w:noProof/>
          <w:shd w:val="clear" w:color="auto" w:fill="FFFFFF"/>
        </w:rPr>
        <w:t>Vessels considered unsafe to take observers for reasons other than size.</w:t>
      </w:r>
    </w:p>
    <w:p w14:paraId="6D70FED9" w14:textId="77777777" w:rsidR="00626530" w:rsidRPr="000F782D" w:rsidRDefault="00626530" w:rsidP="00626530">
      <w:pPr>
        <w:pStyle w:val="ListParagraph"/>
        <w:numPr>
          <w:ilvl w:val="0"/>
          <w:numId w:val="18"/>
        </w:numPr>
        <w:spacing w:after="0"/>
        <w:rPr>
          <w:rFonts w:cs="Times New Roman"/>
          <w:noProof/>
          <w:shd w:val="clear" w:color="auto" w:fill="FFFFFF"/>
        </w:rPr>
      </w:pPr>
      <w:r w:rsidRPr="000F782D">
        <w:rPr>
          <w:rFonts w:cs="Times New Roman"/>
          <w:noProof/>
          <w:shd w:val="clear" w:color="auto" w:fill="FFFFFF"/>
        </w:rPr>
        <w:t xml:space="preserve">Vessels specialising in fishing methods or target species for which a derogation has been granted: </w:t>
      </w:r>
    </w:p>
    <w:p w14:paraId="22EDB41C" w14:textId="77777777" w:rsidR="00626530" w:rsidRPr="000F782D" w:rsidRDefault="00626530" w:rsidP="00626530">
      <w:pPr>
        <w:pStyle w:val="ListParagraph"/>
        <w:numPr>
          <w:ilvl w:val="1"/>
          <w:numId w:val="18"/>
        </w:numPr>
        <w:spacing w:after="0"/>
        <w:rPr>
          <w:rFonts w:cs="Times New Roman"/>
          <w:noProof/>
          <w:shd w:val="clear" w:color="auto" w:fill="FFFFFF"/>
        </w:rPr>
      </w:pPr>
      <w:r w:rsidRPr="000F782D">
        <w:rPr>
          <w:rFonts w:cs="Times New Roman"/>
          <w:noProof/>
          <w:shd w:val="clear" w:color="auto" w:fill="FFFFFF"/>
        </w:rPr>
        <w:t>Clam, oyster and cockle dredgers</w:t>
      </w:r>
    </w:p>
    <w:p w14:paraId="14235198" w14:textId="77777777" w:rsidR="00626530" w:rsidRPr="000F782D" w:rsidRDefault="00626530" w:rsidP="00626530">
      <w:pPr>
        <w:pStyle w:val="ListParagraph"/>
        <w:numPr>
          <w:ilvl w:val="1"/>
          <w:numId w:val="18"/>
        </w:numPr>
        <w:spacing w:after="0"/>
        <w:rPr>
          <w:rFonts w:cs="Times New Roman"/>
          <w:noProof/>
          <w:shd w:val="clear" w:color="auto" w:fill="FFFFFF"/>
        </w:rPr>
      </w:pPr>
      <w:r w:rsidRPr="000F782D">
        <w:rPr>
          <w:rFonts w:cs="Times New Roman"/>
          <w:noProof/>
          <w:shd w:val="clear" w:color="auto" w:fill="FFFFFF"/>
        </w:rPr>
        <w:t>Some pelagic vessels</w:t>
      </w:r>
    </w:p>
    <w:p w14:paraId="29FDE945" w14:textId="77777777" w:rsidR="00626530" w:rsidRPr="000F782D" w:rsidRDefault="00626530" w:rsidP="00626530">
      <w:pPr>
        <w:pStyle w:val="ListParagraph"/>
        <w:numPr>
          <w:ilvl w:val="1"/>
          <w:numId w:val="18"/>
        </w:numPr>
        <w:spacing w:after="0"/>
        <w:rPr>
          <w:rFonts w:cs="Times New Roman"/>
          <w:noProof/>
          <w:shd w:val="clear" w:color="auto" w:fill="FFFFFF"/>
        </w:rPr>
      </w:pPr>
      <w:r w:rsidRPr="000F782D">
        <w:rPr>
          <w:rFonts w:cs="Times New Roman"/>
          <w:noProof/>
          <w:shd w:val="clear" w:color="auto" w:fill="FFFFFF"/>
        </w:rPr>
        <w:t>Potting vessels</w:t>
      </w:r>
    </w:p>
    <w:p w14:paraId="0CEAC6A0" w14:textId="77777777" w:rsidR="00626530" w:rsidRPr="000F782D" w:rsidRDefault="00626530" w:rsidP="00626530">
      <w:pPr>
        <w:pStyle w:val="ListParagraph"/>
        <w:numPr>
          <w:ilvl w:val="0"/>
          <w:numId w:val="18"/>
        </w:numPr>
        <w:rPr>
          <w:rFonts w:cs="Times New Roman"/>
          <w:noProof/>
          <w:shd w:val="clear" w:color="auto" w:fill="FFFFFF"/>
        </w:rPr>
      </w:pPr>
      <w:r w:rsidRPr="000F782D">
        <w:rPr>
          <w:rFonts w:cs="Times New Roman"/>
          <w:noProof/>
          <w:shd w:val="clear" w:color="auto" w:fill="FFFFFF"/>
        </w:rPr>
        <w:t>Vessels fishing from foreign ports or outside England and Wales. Vessels subject to bilateral agreements to be sampled in another country, or where RCMs consider the metier is effectively sampled by another country.</w:t>
      </w:r>
    </w:p>
    <w:p w14:paraId="25D29156" w14:textId="77777777" w:rsidR="00626530" w:rsidRPr="000F782D" w:rsidRDefault="00626530" w:rsidP="00626530">
      <w:pPr>
        <w:rPr>
          <w:rFonts w:cs="Times New Roman"/>
          <w:noProof/>
          <w:shd w:val="clear" w:color="auto" w:fill="FFFFFF"/>
        </w:rPr>
      </w:pPr>
      <w:r w:rsidRPr="000F782D">
        <w:rPr>
          <w:rFonts w:cs="Times New Roman"/>
          <w:noProof/>
          <w:shd w:val="clear" w:color="auto" w:fill="FFFFFF"/>
        </w:rPr>
        <w:t>Teams of regionally based observers work to quarterly targets and use shared drawlists of randomly ordered vessels. Each vessel in turn is approached and non response and refusals are recorded.</w:t>
      </w:r>
    </w:p>
    <w:p w14:paraId="1A1E6656" w14:textId="77777777" w:rsidR="00626530" w:rsidRDefault="00626530" w:rsidP="00626530">
      <w:r>
        <w:t xml:space="preserve">Once at sea, for each sampled haul the following information is collected: gear type and mesh size, tow duration, shot and haul position, </w:t>
      </w:r>
      <w:r w:rsidRPr="001C0004">
        <w:t>species catch composition and quantity of the landings and discards in the catch</w:t>
      </w:r>
      <w:r>
        <w:t xml:space="preserve">. The sampling scheme is a multistage process in which discards are estimated from a fraction of a haul, and typically &gt;60% of the hauls are sampled during a trip. In each sampled haul all the species are sampled; length measurements are registered for all fish, crustaceans and cephalopods species. When is not possible to sample the whole haul catch, the observer estimates the volume measured relative to the total catch to obtained a raising factor that is used to estimate the total catch of the haul. Due to the </w:t>
      </w:r>
      <w:r>
        <w:lastRenderedPageBreak/>
        <w:t xml:space="preserve">randomness nature of the sampling procedure, rare species, such as some species of elasmobranchs may not be representatively sampled. For each trip, numbers-at-length were raised to the haul, based on an estimated proportion of the total catch volume sampled, then to the trip, based on the proportion of sampled hauls and fished hauls. The length based data was converted to biomass, using length-weight relationships for each species collected during various scientific trawl </w:t>
      </w:r>
      <w:r w:rsidRPr="001C09B0">
        <w:t xml:space="preserve">surveys </w:t>
      </w:r>
      <w:r w:rsidRPr="006854BE">
        <w:t>(Cefas, unpubl. data).</w:t>
      </w:r>
      <w:r>
        <w:t xml:space="preserve"> </w:t>
      </w:r>
    </w:p>
    <w:p w14:paraId="1B48BFC5" w14:textId="77777777" w:rsidR="00626530" w:rsidRPr="0031688B" w:rsidRDefault="00626530" w:rsidP="00626530">
      <w:pPr>
        <w:rPr>
          <w:lang w:val="en-US"/>
        </w:rPr>
      </w:pPr>
      <w:r w:rsidRPr="0031688B">
        <w:rPr>
          <w:lang w:val="en-US"/>
        </w:rPr>
        <w:t>Trip-raised estimates summed for</w:t>
      </w:r>
      <w:r>
        <w:rPr>
          <w:lang w:val="en-US"/>
        </w:rPr>
        <w:t xml:space="preserve"> sampled vessels in stratum, are</w:t>
      </w:r>
      <w:r w:rsidRPr="0031688B">
        <w:rPr>
          <w:lang w:val="en-US"/>
        </w:rPr>
        <w:t xml:space="preserve"> then raised to total fleet using </w:t>
      </w:r>
      <w:r>
        <w:rPr>
          <w:lang w:val="en-US"/>
        </w:rPr>
        <w:t xml:space="preserve">a ratio between the </w:t>
      </w:r>
      <w:r w:rsidRPr="0031688B">
        <w:rPr>
          <w:lang w:val="en-US"/>
        </w:rPr>
        <w:t>reported total fleet landings of stock and reported landings of stock by</w:t>
      </w:r>
      <w:r>
        <w:rPr>
          <w:lang w:val="en-US"/>
        </w:rPr>
        <w:t xml:space="preserve"> the</w:t>
      </w:r>
      <w:r w:rsidRPr="0031688B">
        <w:rPr>
          <w:lang w:val="en-US"/>
        </w:rPr>
        <w:t xml:space="preserve"> sampled vessels. When no landings are reported, used effort (number of trips in stratum) to raise the discard data.</w:t>
      </w:r>
    </w:p>
    <w:p w14:paraId="50F1A9D4" w14:textId="77777777" w:rsidR="00626530" w:rsidRPr="000F782D" w:rsidRDefault="00626530" w:rsidP="00626530">
      <w:pPr>
        <w:autoSpaceDE w:val="0"/>
        <w:autoSpaceDN w:val="0"/>
        <w:adjustRightInd w:val="0"/>
      </w:pPr>
    </w:p>
    <w:p w14:paraId="76ADF26C" w14:textId="77777777" w:rsidR="00626530" w:rsidRPr="00626530" w:rsidRDefault="00626530" w:rsidP="00626530"/>
    <w:p w14:paraId="76ABFE97" w14:textId="0C4D4C39" w:rsidR="00BC3492" w:rsidRDefault="00BC3492" w:rsidP="00725AB9">
      <w:pPr>
        <w:spacing w:after="160" w:line="259" w:lineRule="auto"/>
        <w:ind w:left="0"/>
        <w:jc w:val="left"/>
        <w:sectPr w:rsidR="00BC3492" w:rsidSect="00725AB9">
          <w:pgSz w:w="11906" w:h="16838"/>
          <w:pgMar w:top="1440" w:right="1440" w:bottom="1440" w:left="1440" w:header="708" w:footer="708" w:gutter="0"/>
          <w:cols w:space="708"/>
          <w:docGrid w:linePitch="360"/>
        </w:sectPr>
      </w:pPr>
    </w:p>
    <w:p w14:paraId="73E230A5" w14:textId="77777777" w:rsidR="00BC3492" w:rsidRPr="00090A24" w:rsidRDefault="00BC3492" w:rsidP="006160B7">
      <w:pPr>
        <w:pStyle w:val="CefasSub-heading"/>
        <w:ind w:hanging="567"/>
        <w:rPr>
          <w:sz w:val="28"/>
        </w:rPr>
      </w:pPr>
      <w:r w:rsidRPr="00090A24">
        <w:rPr>
          <w:sz w:val="28"/>
        </w:rPr>
        <w:lastRenderedPageBreak/>
        <w:t>About us</w:t>
      </w:r>
    </w:p>
    <w:p w14:paraId="47711012"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The Centre for Environment, Fisheries and Aquaculture Science is the UK’s leading and most diverse centre for applied marine and freshwater science. </w:t>
      </w:r>
    </w:p>
    <w:p w14:paraId="57824C31" w14:textId="77777777" w:rsidR="00BC3492" w:rsidRPr="00090A24" w:rsidRDefault="00BC3492" w:rsidP="00295730">
      <w:pPr>
        <w:pStyle w:val="NoSpacing"/>
        <w:rPr>
          <w:rFonts w:ascii="Arial" w:hAnsi="Arial" w:cs="Arial"/>
          <w:color w:val="002554"/>
          <w:sz w:val="18"/>
          <w:szCs w:val="18"/>
        </w:rPr>
      </w:pPr>
    </w:p>
    <w:p w14:paraId="3CB1E2D8"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We advise UK government and private sector customers on the environmental impact of their policies, programmes and activities through our scientific evidence and impartial expert advice.</w:t>
      </w:r>
    </w:p>
    <w:p w14:paraId="0F5859A7" w14:textId="77777777" w:rsidR="00BC3492" w:rsidRPr="00090A24" w:rsidRDefault="00BC3492" w:rsidP="00295730">
      <w:pPr>
        <w:pStyle w:val="NoSpacing"/>
        <w:rPr>
          <w:rFonts w:ascii="Arial" w:hAnsi="Arial" w:cs="Arial"/>
          <w:color w:val="002554"/>
          <w:sz w:val="18"/>
          <w:szCs w:val="18"/>
        </w:rPr>
      </w:pPr>
    </w:p>
    <w:p w14:paraId="4B7425B2"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Our environmental monitoring and assessment programmes are fundamental to the sustainable development of marine and freshwater industries.   </w:t>
      </w:r>
    </w:p>
    <w:p w14:paraId="41D70930" w14:textId="77777777" w:rsidR="00BC3492" w:rsidRPr="00090A24" w:rsidRDefault="00BC3492" w:rsidP="00295730">
      <w:pPr>
        <w:pStyle w:val="NoSpacing"/>
        <w:rPr>
          <w:rFonts w:ascii="Arial" w:hAnsi="Arial" w:cs="Arial"/>
          <w:color w:val="002554"/>
          <w:sz w:val="18"/>
          <w:szCs w:val="18"/>
        </w:rPr>
      </w:pPr>
    </w:p>
    <w:p w14:paraId="71884303"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Through the application of our science and technology, we play a major role in growing the marine and freshwater economy, creating jobs, and safeguarding public health and the health of our seas and aquatic resources</w:t>
      </w:r>
    </w:p>
    <w:p w14:paraId="137FBC5C" w14:textId="77777777" w:rsidR="00BC3492" w:rsidRPr="00090A24" w:rsidRDefault="00BC3492" w:rsidP="00295730">
      <w:pPr>
        <w:pStyle w:val="NoSpacing"/>
        <w:rPr>
          <w:rFonts w:ascii="Arial" w:hAnsi="Arial" w:cs="Arial"/>
          <w:color w:val="002554"/>
          <w:sz w:val="18"/>
          <w:szCs w:val="18"/>
        </w:rPr>
      </w:pPr>
    </w:p>
    <w:p w14:paraId="2669C90D" w14:textId="1986D647" w:rsidR="00BC3492" w:rsidRPr="00090A24" w:rsidRDefault="00BC3492" w:rsidP="00295730">
      <w:pPr>
        <w:pStyle w:val="NoSpacing"/>
        <w:rPr>
          <w:rFonts w:ascii="Arial" w:hAnsi="Arial" w:cs="Arial"/>
          <w:b/>
          <w:color w:val="002554"/>
          <w:sz w:val="18"/>
          <w:szCs w:val="18"/>
        </w:rPr>
      </w:pPr>
      <w:r w:rsidRPr="00090A24">
        <w:rPr>
          <w:rFonts w:ascii="Arial" w:hAnsi="Arial" w:cs="Arial"/>
          <w:b/>
          <w:color w:val="002554"/>
          <w:sz w:val="18"/>
          <w:szCs w:val="18"/>
        </w:rPr>
        <w:t>Head office</w:t>
      </w:r>
      <w:r w:rsidR="006160B7">
        <w:rPr>
          <w:rFonts w:ascii="Arial" w:hAnsi="Arial" w:cs="Arial"/>
          <w:b/>
          <w:color w:val="002554"/>
          <w:sz w:val="18"/>
          <w:szCs w:val="18"/>
        </w:rPr>
        <w:tab/>
      </w:r>
      <w:r w:rsidR="006160B7">
        <w:rPr>
          <w:rFonts w:ascii="Arial" w:hAnsi="Arial" w:cs="Arial"/>
          <w:b/>
          <w:color w:val="002554"/>
          <w:sz w:val="18"/>
          <w:szCs w:val="18"/>
        </w:rPr>
        <w:tab/>
      </w:r>
      <w:r w:rsidR="006160B7">
        <w:rPr>
          <w:rFonts w:ascii="Arial" w:hAnsi="Arial" w:cs="Arial"/>
          <w:b/>
          <w:color w:val="002554"/>
          <w:sz w:val="18"/>
          <w:szCs w:val="18"/>
        </w:rPr>
        <w:tab/>
      </w:r>
    </w:p>
    <w:p w14:paraId="4352B0F8"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Centre for Environment, Fisheries &amp; Aquaculture Science</w:t>
      </w:r>
      <w:r w:rsidRPr="00090A24">
        <w:rPr>
          <w:rFonts w:ascii="Arial" w:hAnsi="Arial" w:cs="Arial"/>
          <w:color w:val="002554"/>
          <w:sz w:val="18"/>
          <w:szCs w:val="18"/>
        </w:rPr>
        <w:tab/>
      </w:r>
    </w:p>
    <w:p w14:paraId="565BEB3D"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Pakefield Road</w:t>
      </w:r>
    </w:p>
    <w:p w14:paraId="1F5C7880"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Lowestoft</w:t>
      </w:r>
    </w:p>
    <w:p w14:paraId="39878B36"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Suffolk</w:t>
      </w:r>
    </w:p>
    <w:p w14:paraId="1FF45FC0"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NR33 0HT</w:t>
      </w:r>
    </w:p>
    <w:p w14:paraId="7D0A0703"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Tel: +44 (0) 1502 56 2244</w:t>
      </w:r>
    </w:p>
    <w:p w14:paraId="04BBFC20"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Fax: +44 (0) 1502 51 3865</w:t>
      </w:r>
    </w:p>
    <w:p w14:paraId="3AC3F8D2"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ab/>
      </w:r>
      <w:r w:rsidRPr="00090A24">
        <w:rPr>
          <w:rFonts w:ascii="Arial" w:hAnsi="Arial" w:cs="Arial"/>
          <w:color w:val="002554"/>
          <w:sz w:val="18"/>
          <w:szCs w:val="18"/>
        </w:rPr>
        <w:tab/>
      </w:r>
      <w:r w:rsidRPr="00090A24">
        <w:rPr>
          <w:rFonts w:ascii="Arial" w:hAnsi="Arial" w:cs="Arial"/>
          <w:color w:val="002554"/>
          <w:sz w:val="18"/>
          <w:szCs w:val="18"/>
        </w:rPr>
        <w:tab/>
      </w:r>
      <w:r w:rsidRPr="00090A24">
        <w:rPr>
          <w:rFonts w:ascii="Arial" w:hAnsi="Arial" w:cs="Arial"/>
          <w:color w:val="002554"/>
          <w:sz w:val="18"/>
          <w:szCs w:val="18"/>
        </w:rPr>
        <w:tab/>
      </w:r>
      <w:r w:rsidRPr="00090A24">
        <w:rPr>
          <w:rFonts w:ascii="Arial" w:hAnsi="Arial" w:cs="Arial"/>
          <w:color w:val="002554"/>
          <w:sz w:val="18"/>
          <w:szCs w:val="18"/>
        </w:rPr>
        <w:tab/>
      </w:r>
    </w:p>
    <w:p w14:paraId="0B2D55AD"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Weymouth office </w:t>
      </w:r>
    </w:p>
    <w:p w14:paraId="653C88F7"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Barrack Road</w:t>
      </w:r>
    </w:p>
    <w:p w14:paraId="5E5F51A2"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The Nothe</w:t>
      </w:r>
      <w:r w:rsidRPr="00090A24">
        <w:rPr>
          <w:rFonts w:ascii="Arial" w:hAnsi="Arial" w:cs="Arial"/>
          <w:color w:val="002554"/>
          <w:sz w:val="18"/>
          <w:szCs w:val="18"/>
        </w:rPr>
        <w:tab/>
      </w:r>
    </w:p>
    <w:p w14:paraId="09CB8EE5"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Weymouth </w:t>
      </w:r>
    </w:p>
    <w:p w14:paraId="61358EE7"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DT4 8UB </w:t>
      </w:r>
    </w:p>
    <w:p w14:paraId="5EB81818" w14:textId="77777777" w:rsidR="00BC3492" w:rsidRPr="00090A24" w:rsidRDefault="00BC3492" w:rsidP="00295730">
      <w:pPr>
        <w:pStyle w:val="NoSpacing"/>
        <w:rPr>
          <w:rFonts w:ascii="Arial" w:hAnsi="Arial" w:cs="Arial"/>
          <w:color w:val="002554"/>
          <w:sz w:val="18"/>
          <w:szCs w:val="18"/>
        </w:rPr>
      </w:pPr>
    </w:p>
    <w:p w14:paraId="57814B4D"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Tel: +44 (0) 1305 206600</w:t>
      </w:r>
    </w:p>
    <w:p w14:paraId="1632A91C" w14:textId="683A1AD9"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Fax: +44 (0) 1305 206601</w:t>
      </w:r>
    </w:p>
    <w:p w14:paraId="1824DC23" w14:textId="77777777" w:rsidR="00963171" w:rsidRPr="00090A24" w:rsidRDefault="00963171" w:rsidP="00295730">
      <w:pPr>
        <w:pStyle w:val="NoSpacing"/>
        <w:rPr>
          <w:rFonts w:ascii="Arial" w:hAnsi="Arial" w:cs="Arial"/>
          <w:color w:val="002554"/>
          <w:sz w:val="18"/>
          <w:szCs w:val="18"/>
        </w:rPr>
      </w:pPr>
    </w:p>
    <w:p w14:paraId="308E4C5F" w14:textId="67D9E030" w:rsidR="00BC3492" w:rsidRPr="00090A24" w:rsidRDefault="00963171" w:rsidP="00295730">
      <w:pPr>
        <w:pStyle w:val="NoSpacing"/>
        <w:rPr>
          <w:rFonts w:ascii="Arial" w:hAnsi="Arial" w:cs="Arial"/>
          <w:color w:val="002554"/>
          <w:sz w:val="18"/>
          <w:szCs w:val="18"/>
        </w:rPr>
      </w:pPr>
      <w:r w:rsidRPr="00090A24">
        <w:rPr>
          <w:rFonts w:ascii="Arial" w:hAnsi="Arial" w:cs="Arial"/>
          <w:noProof/>
          <w:color w:val="002554"/>
          <w:sz w:val="18"/>
          <w:szCs w:val="18"/>
          <w:lang w:eastAsia="en-GB"/>
        </w:rPr>
        <w:drawing>
          <wp:inline distT="0" distB="0" distL="0" distR="0" wp14:anchorId="68006A90" wp14:editId="730508F3">
            <wp:extent cx="570000" cy="540000"/>
            <wp:effectExtent l="0" t="0" r="1905" b="0"/>
            <wp:docPr id="47" name="Picture 47" descr="122-11223iso-9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2-11223iso-9001-lrqa-roundel-med-res"/>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570000" cy="540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0A87FA08" wp14:editId="1D8FAFEB">
            <wp:extent cx="570423" cy="540000"/>
            <wp:effectExtent l="0" t="0" r="1270" b="0"/>
            <wp:docPr id="48" name="Picture 48" descr="122-11235ohsas-18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11235ohsas-18001-lrqa-roundel-med-res"/>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570423" cy="540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0FBEF28D" wp14:editId="2B6BB39C">
            <wp:extent cx="314438" cy="468000"/>
            <wp:effectExtent l="0" t="0" r="9525" b="8255"/>
            <wp:docPr id="49" name="Picture 49" descr="ISO14001Reg-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O14001Reg-Pos"/>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314438" cy="468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297C95EE" wp14:editId="2B9094BE">
            <wp:extent cx="579689" cy="468000"/>
            <wp:effectExtent l="0" t="0" r="0" b="8255"/>
            <wp:docPr id="50" name="Picture 50" descr="2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ticks"/>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579689" cy="468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2C7A8E1F" wp14:editId="6A241672">
            <wp:extent cx="621584" cy="409039"/>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0866" cy="434889"/>
                    </a:xfrm>
                    <a:prstGeom prst="rect">
                      <a:avLst/>
                    </a:prstGeom>
                    <a:noFill/>
                  </pic:spPr>
                </pic:pic>
              </a:graphicData>
            </a:graphic>
          </wp:inline>
        </w:drawing>
      </w:r>
    </w:p>
    <w:p w14:paraId="5E14B100" w14:textId="39389815" w:rsidR="00BC3492"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 </w:t>
      </w:r>
    </w:p>
    <w:p w14:paraId="4B2F2808" w14:textId="77777777" w:rsidR="002F0284" w:rsidRPr="00090A24" w:rsidRDefault="002F0284" w:rsidP="00295730">
      <w:pPr>
        <w:pStyle w:val="NoSpacing"/>
        <w:rPr>
          <w:rFonts w:ascii="Arial" w:hAnsi="Arial" w:cs="Arial"/>
          <w:color w:val="002554"/>
          <w:sz w:val="18"/>
          <w:szCs w:val="18"/>
        </w:rPr>
      </w:pPr>
    </w:p>
    <w:p w14:paraId="0DF39582" w14:textId="77777777" w:rsidR="00BC3492" w:rsidRPr="00090A24" w:rsidRDefault="00BC3492" w:rsidP="006160B7">
      <w:pPr>
        <w:pStyle w:val="CefasSub-heading"/>
        <w:ind w:hanging="567"/>
        <w:rPr>
          <w:sz w:val="28"/>
        </w:rPr>
      </w:pPr>
      <w:r w:rsidRPr="00090A24">
        <w:rPr>
          <w:sz w:val="28"/>
        </w:rPr>
        <w:t>Customer focus</w:t>
      </w:r>
    </w:p>
    <w:p w14:paraId="54BB63B5"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We offer a range of multidisciplinary bespoke scientific programmes covering a range of sectors, both public and private. Our broad capability covers shelf sea dynamics, climate effects on the aquatic environment, ecosystems and food security. We are growing our business in overseas markets, with a particular emphasis on Kuwait and the Middle East.</w:t>
      </w:r>
    </w:p>
    <w:p w14:paraId="33ECFB89" w14:textId="77777777" w:rsidR="00BC3492" w:rsidRPr="00090A24" w:rsidRDefault="00BC3492" w:rsidP="00295730">
      <w:pPr>
        <w:pStyle w:val="NoSpacing"/>
        <w:rPr>
          <w:rFonts w:ascii="Arial" w:hAnsi="Arial" w:cs="Arial"/>
          <w:color w:val="002554"/>
          <w:sz w:val="18"/>
          <w:szCs w:val="18"/>
        </w:rPr>
      </w:pPr>
    </w:p>
    <w:p w14:paraId="257A7603"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Our customer base and partnerships are broad, spanning Government, public and private sectors, academia, non-governmental organisations (NGOs), at home and internationally.</w:t>
      </w:r>
    </w:p>
    <w:p w14:paraId="660E1041" w14:textId="77777777" w:rsidR="00BC3492" w:rsidRPr="00090A24" w:rsidRDefault="00BC3492" w:rsidP="00295730">
      <w:pPr>
        <w:pStyle w:val="NoSpacing"/>
        <w:rPr>
          <w:rFonts w:ascii="Arial" w:hAnsi="Arial" w:cs="Arial"/>
          <w:color w:val="002554"/>
          <w:sz w:val="18"/>
          <w:szCs w:val="18"/>
        </w:rPr>
      </w:pPr>
    </w:p>
    <w:p w14:paraId="6BCE3E74" w14:textId="77777777" w:rsidR="006160B7" w:rsidRDefault="006160B7" w:rsidP="00295730">
      <w:pPr>
        <w:pStyle w:val="NoSpacing"/>
        <w:rPr>
          <w:rFonts w:ascii="Arial" w:hAnsi="Arial" w:cs="Arial"/>
          <w:color w:val="002554"/>
          <w:sz w:val="18"/>
          <w:szCs w:val="18"/>
        </w:rPr>
      </w:pPr>
    </w:p>
    <w:p w14:paraId="44926C2C" w14:textId="00919358"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We work with: </w:t>
      </w:r>
    </w:p>
    <w:p w14:paraId="404CB6AA" w14:textId="77777777" w:rsidR="00BC3492" w:rsidRPr="00090A24" w:rsidRDefault="00BC3492" w:rsidP="00295730">
      <w:pPr>
        <w:pStyle w:val="NoSpacing"/>
        <w:rPr>
          <w:rFonts w:ascii="Arial" w:hAnsi="Arial" w:cs="Arial"/>
          <w:color w:val="002554"/>
          <w:sz w:val="18"/>
          <w:szCs w:val="18"/>
        </w:rPr>
      </w:pPr>
    </w:p>
    <w:p w14:paraId="5A087A10" w14:textId="77777777" w:rsidR="00BC3492" w:rsidRPr="00090A24" w:rsidRDefault="00BC3492" w:rsidP="006160B7">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 xml:space="preserve">a wide range of UK Government departments and agencies, including Department for the Environment Food and Rural Affairs (Defra) and Department for Energy and Climate and Change (DECC), Natural Resources Wales, Scotland, Northern Ireland and governments overseas. </w:t>
      </w:r>
    </w:p>
    <w:p w14:paraId="123F9DA5" w14:textId="77777777" w:rsidR="00BC3492" w:rsidRPr="00090A24" w:rsidRDefault="00BC3492" w:rsidP="006160B7">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 xml:space="preserve">industries across a range of sectors including offshore renewable energy, oil and gas emergency response, marine surveying, fishing and aquaculture. </w:t>
      </w:r>
    </w:p>
    <w:p w14:paraId="2D8F70A6" w14:textId="77777777" w:rsidR="00BC3492" w:rsidRPr="00090A24" w:rsidRDefault="00BC3492" w:rsidP="006160B7">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other scientists from research councils, universities and EU research programmes.</w:t>
      </w:r>
    </w:p>
    <w:p w14:paraId="72E16280" w14:textId="77777777" w:rsidR="00BC3492" w:rsidRPr="00090A24" w:rsidRDefault="00BC3492" w:rsidP="006160B7">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 xml:space="preserve">NGOs interested in marine and freshwater. </w:t>
      </w:r>
    </w:p>
    <w:p w14:paraId="4B8CAC4E" w14:textId="77777777" w:rsidR="00BC3492" w:rsidRPr="00090A24" w:rsidRDefault="00BC3492" w:rsidP="006160B7">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local communities and voluntary groups, active in protecting the coastal, marine and freshwater environments.</w:t>
      </w:r>
    </w:p>
    <w:p w14:paraId="0E96AC33" w14:textId="5D024BA7" w:rsidR="00090A24" w:rsidRDefault="00090A24" w:rsidP="00EA60DC">
      <w:pPr>
        <w:pStyle w:val="CefasHeading"/>
        <w:rPr>
          <w:sz w:val="18"/>
          <w:szCs w:val="18"/>
        </w:rPr>
      </w:pPr>
    </w:p>
    <w:bookmarkEnd w:id="113"/>
    <w:p w14:paraId="3C1D2547" w14:textId="452BE5F1" w:rsidR="006160B7" w:rsidRDefault="006160B7" w:rsidP="00EA60DC">
      <w:pPr>
        <w:pStyle w:val="CefasHeading"/>
        <w:rPr>
          <w:sz w:val="18"/>
          <w:szCs w:val="18"/>
        </w:rPr>
      </w:pPr>
    </w:p>
    <w:p w14:paraId="40211D87" w14:textId="6BC3E426" w:rsidR="006160B7" w:rsidRDefault="006160B7" w:rsidP="00EA60DC">
      <w:pPr>
        <w:pStyle w:val="CefasHeading"/>
        <w:rPr>
          <w:sz w:val="18"/>
          <w:szCs w:val="18"/>
        </w:rPr>
      </w:pPr>
    </w:p>
    <w:p w14:paraId="5514639D" w14:textId="50CC039A" w:rsidR="006160B7" w:rsidRDefault="006160B7" w:rsidP="00EA60DC">
      <w:pPr>
        <w:pStyle w:val="CefasHeading"/>
        <w:rPr>
          <w:sz w:val="18"/>
          <w:szCs w:val="18"/>
        </w:rPr>
      </w:pPr>
    </w:p>
    <w:p w14:paraId="3DB30AB4" w14:textId="18AE7A7A" w:rsidR="006160B7" w:rsidRDefault="006160B7" w:rsidP="00EA60DC">
      <w:pPr>
        <w:pStyle w:val="CefasHeading"/>
        <w:rPr>
          <w:sz w:val="18"/>
          <w:szCs w:val="18"/>
        </w:rPr>
      </w:pPr>
    </w:p>
    <w:p w14:paraId="789D610D" w14:textId="6ABC4605" w:rsidR="006160B7" w:rsidRDefault="006160B7" w:rsidP="00EA60DC">
      <w:pPr>
        <w:pStyle w:val="CefasHeading"/>
        <w:rPr>
          <w:sz w:val="18"/>
          <w:szCs w:val="18"/>
        </w:rPr>
      </w:pPr>
    </w:p>
    <w:p w14:paraId="53D7203B" w14:textId="77777777" w:rsidR="006160B7" w:rsidRDefault="006160B7" w:rsidP="00EA60DC">
      <w:pPr>
        <w:pStyle w:val="CefasHeading"/>
        <w:rPr>
          <w:sz w:val="18"/>
          <w:szCs w:val="18"/>
        </w:rPr>
      </w:pPr>
    </w:p>
    <w:p w14:paraId="49410537" w14:textId="77777777" w:rsidR="00090A24" w:rsidRDefault="00090A24" w:rsidP="00090A24">
      <w:pPr>
        <w:tabs>
          <w:tab w:val="left" w:pos="644"/>
        </w:tabs>
        <w:spacing w:after="0" w:line="240" w:lineRule="auto"/>
        <w:rPr>
          <w:rFonts w:ascii="Arial" w:hAnsi="Arial" w:cs="Arial"/>
          <w:color w:val="002554"/>
          <w:sz w:val="18"/>
          <w:szCs w:val="18"/>
        </w:rPr>
      </w:pPr>
    </w:p>
    <w:p w14:paraId="179841A5" w14:textId="1C2D5F40" w:rsidR="006744DB" w:rsidRPr="008464AA" w:rsidRDefault="00090A24" w:rsidP="006160B7">
      <w:pPr>
        <w:pStyle w:val="CefasSub-heading"/>
        <w:pBdr>
          <w:top w:val="single" w:sz="4" w:space="1" w:color="auto"/>
        </w:pBdr>
      </w:pPr>
      <w:bookmarkStart w:id="115" w:name="_Toc466558436"/>
      <w:r w:rsidRPr="0027350F">
        <w:t>www.cefas.co.uk</w:t>
      </w:r>
      <w:bookmarkEnd w:id="115"/>
    </w:p>
    <w:sectPr w:rsidR="006744DB" w:rsidRPr="008464AA" w:rsidSect="00725AB9">
      <w:headerReference w:type="default" r:id="rId36"/>
      <w:footerReference w:type="default" r:id="rId37"/>
      <w:pgSz w:w="11906" w:h="16838"/>
      <w:pgMar w:top="1440" w:right="1440" w:bottom="1440" w:left="1440" w:header="794" w:footer="397" w:gutter="0"/>
      <w:pgNumType w:start="1"/>
      <w:cols w:num="2"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4F930F" w14:textId="77777777" w:rsidR="00AD18C0" w:rsidRDefault="00AD18C0" w:rsidP="00EA60DC">
      <w:r>
        <w:separator/>
      </w:r>
    </w:p>
  </w:endnote>
  <w:endnote w:type="continuationSeparator" w:id="0">
    <w:p w14:paraId="161AE1C7" w14:textId="77777777" w:rsidR="00AD18C0" w:rsidRDefault="00AD18C0" w:rsidP="00EA6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00000003" w:usb1="00000000" w:usb2="00000000" w:usb3="00000000" w:csb0="00000001" w:csb1="00000000"/>
  </w:font>
  <w:font w:name="Open Sans">
    <w:altName w:val="Tahoma"/>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45A43" w14:textId="50CE616A" w:rsidR="00AD18C0" w:rsidRDefault="00AD18C0" w:rsidP="00610D78">
    <w:pPr>
      <w:pStyle w:val="Footer"/>
      <w:ind w:left="0"/>
    </w:pPr>
    <w:r>
      <w:rPr>
        <w:rFonts w:ascii="Calibri" w:hAnsi="Calibri" w:cs="Calibri"/>
        <w:noProof/>
        <w:color w:val="000000"/>
        <w:sz w:val="20"/>
        <w:szCs w:val="20"/>
        <w:lang w:eastAsia="en-GB"/>
      </w:rPr>
      <w:drawing>
        <wp:inline distT="0" distB="0" distL="0" distR="0" wp14:anchorId="7B5798CC" wp14:editId="187BF228">
          <wp:extent cx="764540" cy="36957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png"/>
                  <pic:cNvPicPr/>
                </pic:nvPicPr>
                <pic:blipFill>
                  <a:blip r:embed="rId1">
                    <a:extLst>
                      <a:ext uri="{28A0092B-C50C-407E-A947-70E740481C1C}">
                        <a14:useLocalDpi xmlns:a14="http://schemas.microsoft.com/office/drawing/2010/main" val="0"/>
                      </a:ext>
                    </a:extLst>
                  </a:blip>
                  <a:stretch>
                    <a:fillRect/>
                  </a:stretch>
                </pic:blipFill>
                <pic:spPr>
                  <a:xfrm>
                    <a:off x="0" y="0"/>
                    <a:ext cx="764540" cy="369570"/>
                  </a:xfrm>
                  <a:prstGeom prst="rect">
                    <a:avLst/>
                  </a:prstGeom>
                </pic:spPr>
              </pic:pic>
            </a:graphicData>
          </a:graphic>
        </wp:inline>
      </w:drawing>
    </w:r>
    <w:r>
      <w:rPr>
        <w:noProof/>
        <w:lang w:eastAsia="en-GB"/>
      </w:rPr>
      <w:drawing>
        <wp:inline distT="0" distB="0" distL="0" distR="0" wp14:anchorId="5D6BE73D" wp14:editId="0F92F178">
          <wp:extent cx="570000" cy="540000"/>
          <wp:effectExtent l="0" t="0" r="1905" b="0"/>
          <wp:docPr id="251" name="Picture 251" descr="122-11223iso-9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2-11223iso-9001-lrqa-roundel-med-r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0000" cy="540000"/>
                  </a:xfrm>
                  <a:prstGeom prst="rect">
                    <a:avLst/>
                  </a:prstGeom>
                  <a:noFill/>
                  <a:ln>
                    <a:noFill/>
                  </a:ln>
                </pic:spPr>
              </pic:pic>
            </a:graphicData>
          </a:graphic>
        </wp:inline>
      </w:drawing>
    </w:r>
    <w:r>
      <w:rPr>
        <w:noProof/>
        <w:lang w:eastAsia="en-GB"/>
      </w:rPr>
      <w:drawing>
        <wp:inline distT="0" distB="0" distL="0" distR="0" wp14:anchorId="13464810" wp14:editId="0A473B86">
          <wp:extent cx="570423" cy="540000"/>
          <wp:effectExtent l="0" t="0" r="1270" b="0"/>
          <wp:docPr id="252" name="Picture 252" descr="122-11235ohsas-18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11235ohsas-18001-lrqa-roundel-med-r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0423" cy="540000"/>
                  </a:xfrm>
                  <a:prstGeom prst="rect">
                    <a:avLst/>
                  </a:prstGeom>
                  <a:noFill/>
                  <a:ln>
                    <a:noFill/>
                  </a:ln>
                </pic:spPr>
              </pic:pic>
            </a:graphicData>
          </a:graphic>
        </wp:inline>
      </w:drawing>
    </w:r>
    <w:r>
      <w:rPr>
        <w:noProof/>
        <w:lang w:eastAsia="en-GB"/>
      </w:rPr>
      <w:drawing>
        <wp:inline distT="0" distB="0" distL="0" distR="0" wp14:anchorId="69C32F83" wp14:editId="00029866">
          <wp:extent cx="314438" cy="468000"/>
          <wp:effectExtent l="0" t="0" r="9525" b="8255"/>
          <wp:docPr id="253" name="Picture 253" descr="ISO14001Reg-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O14001Reg-Po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4438" cy="468000"/>
                  </a:xfrm>
                  <a:prstGeom prst="rect">
                    <a:avLst/>
                  </a:prstGeom>
                  <a:noFill/>
                  <a:ln>
                    <a:noFill/>
                  </a:ln>
                </pic:spPr>
              </pic:pic>
            </a:graphicData>
          </a:graphic>
        </wp:inline>
      </w:drawing>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4073C" w14:textId="7AFEB01A" w:rsidR="00AD18C0" w:rsidRPr="00FF1E8D" w:rsidRDefault="00AD18C0" w:rsidP="00EA60DC">
    <w:pPr>
      <w:pStyle w:val="Footer"/>
    </w:pPr>
    <w:r>
      <w:rPr>
        <w:lang w:eastAsia="en-GB"/>
      </w:rPr>
      <w:tab/>
    </w:r>
    <w:r>
      <w:rPr>
        <w:noProof/>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AFDCC" w14:textId="77777777" w:rsidR="00AD18C0" w:rsidRPr="00FF1E8D" w:rsidRDefault="00AD18C0" w:rsidP="00EA60DC">
    <w:pPr>
      <w:pStyle w:val="Footer"/>
    </w:pPr>
    <w:r>
      <w:rPr>
        <w:lang w:eastAsia="en-GB"/>
      </w:rPr>
      <w:tab/>
    </w:r>
    <w:r>
      <w:rPr>
        <w:noProof/>
        <w:lang w:eastAsia="en-G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3771C" w14:textId="74F92049" w:rsidR="00AD18C0" w:rsidRDefault="00AD18C0" w:rsidP="00EA60DC">
    <w:pPr>
      <w:pStyle w:val="Footer"/>
      <w:jc w:val="right"/>
    </w:pPr>
    <w:r w:rsidRPr="00AA45FD">
      <w:rPr>
        <w:lang w:eastAsia="en-GB"/>
      </w:rPr>
      <w:t xml:space="preserve">Page </w:t>
    </w:r>
    <w:r w:rsidRPr="00AA45FD">
      <w:rPr>
        <w:lang w:eastAsia="en-GB"/>
      </w:rPr>
      <w:fldChar w:fldCharType="begin"/>
    </w:r>
    <w:r w:rsidRPr="00AA45FD">
      <w:rPr>
        <w:lang w:eastAsia="en-GB"/>
      </w:rPr>
      <w:instrText xml:space="preserve"> PAGE   \* MERGEFORMAT </w:instrText>
    </w:r>
    <w:r w:rsidRPr="00AA45FD">
      <w:rPr>
        <w:lang w:eastAsia="en-GB"/>
      </w:rPr>
      <w:fldChar w:fldCharType="separate"/>
    </w:r>
    <w:r w:rsidR="00C61884">
      <w:rPr>
        <w:noProof/>
        <w:lang w:eastAsia="en-GB"/>
      </w:rPr>
      <w:t>18</w:t>
    </w:r>
    <w:r w:rsidRPr="00AA45FD">
      <w:rPr>
        <w:noProof/>
        <w:lang w:eastAsia="en-G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E1315" w14:textId="6B466563" w:rsidR="00AD18C0" w:rsidRDefault="00AD18C0" w:rsidP="001D239E">
    <w:pPr>
      <w:pStyle w:val="Footer"/>
      <w:pBdr>
        <w:top w:val="single" w:sz="4" w:space="1" w:color="44546A" w:themeColor="text2"/>
      </w:pBdr>
      <w:tabs>
        <w:tab w:val="clear" w:pos="4513"/>
        <w:tab w:val="center" w:pos="8931"/>
      </w:tabs>
    </w:pPr>
    <w:r>
      <w:rPr>
        <w:i/>
        <w:color w:val="002554"/>
        <w:sz w:val="20"/>
        <w:szCs w:val="20"/>
        <w:lang w:eastAsia="en-GB"/>
      </w:rPr>
      <w:tab/>
    </w:r>
    <w:r w:rsidRPr="001D239E">
      <w:rPr>
        <w:color w:val="002554"/>
        <w:sz w:val="20"/>
        <w:szCs w:val="20"/>
        <w:lang w:eastAsia="en-GB"/>
      </w:rPr>
      <w:t xml:space="preserve"> Page </w:t>
    </w:r>
    <w:r w:rsidRPr="001D239E">
      <w:rPr>
        <w:color w:val="002554"/>
        <w:sz w:val="20"/>
        <w:szCs w:val="20"/>
        <w:lang w:eastAsia="en-GB"/>
      </w:rPr>
      <w:fldChar w:fldCharType="begin"/>
    </w:r>
    <w:r w:rsidRPr="001D239E">
      <w:rPr>
        <w:color w:val="002554"/>
        <w:sz w:val="20"/>
        <w:szCs w:val="20"/>
        <w:lang w:eastAsia="en-GB"/>
      </w:rPr>
      <w:instrText xml:space="preserve"> PAGE   \* MERGEFORMAT </w:instrText>
    </w:r>
    <w:r w:rsidRPr="001D239E">
      <w:rPr>
        <w:color w:val="002554"/>
        <w:sz w:val="20"/>
        <w:szCs w:val="20"/>
        <w:lang w:eastAsia="en-GB"/>
      </w:rPr>
      <w:fldChar w:fldCharType="separate"/>
    </w:r>
    <w:r w:rsidR="00C61884">
      <w:rPr>
        <w:noProof/>
        <w:color w:val="002554"/>
        <w:sz w:val="20"/>
        <w:szCs w:val="20"/>
        <w:lang w:eastAsia="en-GB"/>
      </w:rPr>
      <w:t>35</w:t>
    </w:r>
    <w:r w:rsidRPr="001D239E">
      <w:rPr>
        <w:color w:val="002554"/>
        <w:sz w:val="20"/>
        <w:szCs w:val="20"/>
        <w:lang w:eastAsia="en-G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9A06E" w14:textId="77777777" w:rsidR="00AD18C0" w:rsidRPr="00090A24" w:rsidRDefault="00AD18C0" w:rsidP="00EA60DC">
    <w:pPr>
      <w:pStyle w:val="Header"/>
      <w:rPr>
        <w:sz w:val="11"/>
        <w:szCs w:val="11"/>
      </w:rPr>
    </w:pPr>
    <w:r w:rsidRPr="00090A24">
      <w:rPr>
        <w:sz w:val="11"/>
        <w:szCs w:val="11"/>
      </w:rPr>
      <w:tab/>
    </w:r>
  </w:p>
  <w:p w14:paraId="393C6DA2" w14:textId="77777777" w:rsidR="00AD18C0" w:rsidRPr="00090A24" w:rsidRDefault="00AD18C0" w:rsidP="00EA60DC">
    <w:pPr>
      <w:rPr>
        <w:sz w:val="11"/>
        <w:szCs w:val="11"/>
      </w:rPr>
    </w:pPr>
    <w:r w:rsidRPr="00090A24">
      <w:rPr>
        <w:noProof/>
        <w:sz w:val="11"/>
        <w:szCs w:val="11"/>
        <w:lang w:eastAsia="en-GB"/>
      </w:rPr>
      <w:drawing>
        <wp:anchor distT="0" distB="0" distL="114300" distR="114300" simplePos="0" relativeHeight="251661312" behindDoc="1" locked="0" layoutInCell="1" allowOverlap="1" wp14:anchorId="5B43F519" wp14:editId="591EA127">
          <wp:simplePos x="0" y="0"/>
          <wp:positionH relativeFrom="margin">
            <wp:align>right</wp:align>
          </wp:positionH>
          <wp:positionV relativeFrom="paragraph">
            <wp:posOffset>-177011</wp:posOffset>
          </wp:positionV>
          <wp:extent cx="269875" cy="262255"/>
          <wp:effectExtent l="0" t="0" r="0" b="4445"/>
          <wp:wrapSquare wrapText="bothSides"/>
          <wp:docPr id="70" name="Picture 70" descr="Recyc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cycle-logo"/>
                  <pic:cNvPicPr>
                    <a:picLocks noChangeAspect="1" noChangeArrowheads="1"/>
                  </pic:cNvPicPr>
                </pic:nvPicPr>
                <pic:blipFill>
                  <a:blip r:embed="rId1" cstate="print"/>
                  <a:srcRect/>
                  <a:stretch>
                    <a:fillRect/>
                  </a:stretch>
                </pic:blipFill>
                <pic:spPr bwMode="auto">
                  <a:xfrm>
                    <a:off x="0" y="0"/>
                    <a:ext cx="269875" cy="262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90A24">
      <w:rPr>
        <w:sz w:val="11"/>
        <w:szCs w:val="11"/>
      </w:rPr>
      <w:t>© Crown copyright 2016</w:t>
    </w:r>
    <w:r w:rsidRPr="00090A24">
      <w:rPr>
        <w:sz w:val="11"/>
        <w:szCs w:val="11"/>
      </w:rPr>
      <w:tab/>
    </w:r>
    <w:r w:rsidRPr="00090A24">
      <w:rPr>
        <w:sz w:val="11"/>
        <w:szCs w:val="11"/>
      </w:rPr>
      <w:tab/>
    </w:r>
    <w:r w:rsidRPr="00090A24">
      <w:rPr>
        <w:sz w:val="11"/>
        <w:szCs w:val="11"/>
      </w:rPr>
      <w:tab/>
    </w:r>
    <w:r w:rsidRPr="00090A24">
      <w:rPr>
        <w:sz w:val="11"/>
        <w:szCs w:val="11"/>
      </w:rPr>
      <w:tab/>
      <w:t xml:space="preserve">          Printed on paper made from a minimum 75% de-inked post-consumer waste</w:t>
    </w:r>
  </w:p>
  <w:p w14:paraId="5E46B93D" w14:textId="77777777" w:rsidR="00AD18C0" w:rsidRDefault="00AD18C0" w:rsidP="00EA60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C82107" w14:textId="77777777" w:rsidR="00AD18C0" w:rsidRDefault="00AD18C0" w:rsidP="00EA60DC">
      <w:r>
        <w:separator/>
      </w:r>
    </w:p>
  </w:footnote>
  <w:footnote w:type="continuationSeparator" w:id="0">
    <w:p w14:paraId="181125BE" w14:textId="77777777" w:rsidR="00AD18C0" w:rsidRDefault="00AD18C0" w:rsidP="00EA60DC">
      <w:r>
        <w:continuationSeparator/>
      </w:r>
    </w:p>
  </w:footnote>
  <w:footnote w:id="1">
    <w:p w14:paraId="7C46ACF0" w14:textId="77777777" w:rsidR="00AD18C0" w:rsidRDefault="00AD18C0" w:rsidP="003C4EE5">
      <w:pPr>
        <w:pStyle w:val="FootnoteText"/>
      </w:pPr>
      <w:r>
        <w:rPr>
          <w:rStyle w:val="FootnoteReference"/>
        </w:rPr>
        <w:footnoteRef/>
      </w:r>
      <w:r>
        <w:t xml:space="preserve"> http://www.seafish.org/industry-support/fishing/project-uk</w:t>
      </w:r>
    </w:p>
  </w:footnote>
  <w:footnote w:id="2">
    <w:p w14:paraId="27BEB657" w14:textId="303ABB5B" w:rsidR="00AD18C0" w:rsidRDefault="00AD18C0" w:rsidP="003C4EE5">
      <w:pPr>
        <w:pStyle w:val="FootnoteText"/>
      </w:pPr>
      <w:r>
        <w:rPr>
          <w:rStyle w:val="FootnoteReference"/>
        </w:rPr>
        <w:footnoteRef/>
      </w:r>
      <w:r>
        <w:t xml:space="preserve">  </w:t>
      </w:r>
      <w:bookmarkStart w:id="55" w:name="_Hlk517282094"/>
      <w:r>
        <w:t>Plaice was considered a secondary species because it covers five plaice stocks: Plaice VIIa, VIIe, VIIb-c, VIIf-g and VIIh-k. From the five stocks, only plaice VIIe and VIIa have analytical assessment and the remaining are considered data limited stocks.</w:t>
      </w:r>
      <w:bookmarkEnd w:id="55"/>
    </w:p>
  </w:footnote>
  <w:footnote w:id="3">
    <w:p w14:paraId="60E711FD" w14:textId="6A76A7E7" w:rsidR="00AD18C0" w:rsidRDefault="00AD18C0">
      <w:pPr>
        <w:pStyle w:val="FootnoteText"/>
      </w:pPr>
      <w:r>
        <w:rPr>
          <w:rStyle w:val="FootnoteReference"/>
        </w:rPr>
        <w:footnoteRef/>
      </w:r>
      <w:r>
        <w:t xml:space="preserve"> Sole was considered a secondary species because it covers four sole stocks: Sole VIIa, VIIe, VIIf-g and VIIh-k. From the four stocks, only sole VIIh-k does not have analytical assessment and is considered a data limited stock. The remaining have full analytical.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CDDA5" w14:textId="77777777" w:rsidR="00AD18C0" w:rsidRDefault="00AD18C0" w:rsidP="00090A24">
    <w:pPr>
      <w:pStyle w:val="Header"/>
      <w:ind w:left="0"/>
    </w:pPr>
    <w:r>
      <w:rPr>
        <w:noProof/>
        <w:lang w:val="en-GB" w:eastAsia="en-GB"/>
      </w:rPr>
      <w:drawing>
        <wp:anchor distT="0" distB="0" distL="114300" distR="114300" simplePos="0" relativeHeight="251656192" behindDoc="0" locked="0" layoutInCell="1" allowOverlap="1" wp14:anchorId="65457D2F" wp14:editId="35E064C4">
          <wp:simplePos x="0" y="0"/>
          <wp:positionH relativeFrom="margin">
            <wp:align>right</wp:align>
          </wp:positionH>
          <wp:positionV relativeFrom="paragraph">
            <wp:posOffset>197331</wp:posOffset>
          </wp:positionV>
          <wp:extent cx="2453640" cy="709295"/>
          <wp:effectExtent l="0" t="0" r="3810"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3640" cy="70929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7C86943B" wp14:editId="51F1A440">
          <wp:extent cx="2619472" cy="1152525"/>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fas_crown_dark_blue_trans_bkg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64463" cy="1172321"/>
                  </a:xfrm>
                  <a:prstGeom prst="rect">
                    <a:avLst/>
                  </a:prstGeom>
                </pic:spPr>
              </pic:pic>
            </a:graphicData>
          </a:graphic>
        </wp:inline>
      </w:drawing>
    </w:r>
    <w:r>
      <w:rPr>
        <w:noProof/>
        <w:lang w:eastAsia="en-GB"/>
      </w:rPr>
      <w:t xml:space="preserve">     </w:t>
    </w:r>
    <w:r>
      <w:rPr>
        <w:noProof/>
        <w:lang w:eastAsia="en-GB"/>
      </w:rPr>
      <w:tab/>
    </w:r>
    <w:r>
      <w:rPr>
        <w:noProof/>
        <w:lang w:eastAsia="en-GB"/>
      </w:rPr>
      <w:tab/>
      <w:t xml:space="preserve">   </w:t>
    </w:r>
  </w:p>
  <w:p w14:paraId="55FC21B3" w14:textId="77777777" w:rsidR="00AD18C0" w:rsidRDefault="00AD18C0" w:rsidP="005273B4">
    <w:pPr>
      <w:ind w:left="0"/>
      <w:rPr>
        <w:rFonts w:ascii="Open Sans" w:hAnsi="Open Sans" w:cs="Open Sans"/>
        <w:i/>
        <w:iCs/>
        <w:color w:val="002060"/>
        <w:sz w:val="20"/>
        <w:szCs w:val="20"/>
        <w:lang w:eastAsia="en-GB"/>
      </w:rPr>
    </w:pPr>
  </w:p>
  <w:p w14:paraId="5DCFED1D" w14:textId="0FCD5DE2" w:rsidR="00AD18C0" w:rsidRPr="005273B4" w:rsidRDefault="00AD18C0" w:rsidP="005273B4">
    <w:pPr>
      <w:ind w:left="0"/>
      <w:rPr>
        <w:rFonts w:ascii="Open Sans" w:hAnsi="Open Sans" w:cs="Open Sans"/>
        <w:i/>
        <w:iCs/>
        <w:color w:val="002060"/>
        <w:sz w:val="20"/>
        <w:szCs w:val="20"/>
        <w:lang w:eastAsia="en-GB"/>
      </w:rPr>
    </w:pPr>
    <w:r>
      <w:rPr>
        <w:rFonts w:ascii="Open Sans" w:hAnsi="Open Sans" w:cs="Open Sans"/>
        <w:i/>
        <w:iCs/>
        <w:color w:val="002060"/>
        <w:sz w:val="20"/>
        <w:szCs w:val="20"/>
        <w:lang w:eastAsia="en-GB"/>
      </w:rPr>
      <w:t>World Class Science for the Marine and Freshwater Environment</w:t>
    </w:r>
    <w:r>
      <w:rPr>
        <w:noProof/>
        <w:lang w:eastAsia="en-GB"/>
      </w:rPr>
      <w:drawing>
        <wp:anchor distT="0" distB="0" distL="114300" distR="114300" simplePos="0" relativeHeight="251655168" behindDoc="1" locked="0" layoutInCell="1" allowOverlap="1" wp14:anchorId="3E371F2A" wp14:editId="63B36805">
          <wp:simplePos x="0" y="0"/>
          <wp:positionH relativeFrom="column">
            <wp:posOffset>4134485</wp:posOffset>
          </wp:positionH>
          <wp:positionV relativeFrom="paragraph">
            <wp:posOffset>615950</wp:posOffset>
          </wp:positionV>
          <wp:extent cx="1800225" cy="534035"/>
          <wp:effectExtent l="0" t="0" r="9525" b="0"/>
          <wp:wrapNone/>
          <wp:docPr id="249" name="Picture 249" descr="Ce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fa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0225" cy="5340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2663F" w14:textId="423070D7" w:rsidR="00AD18C0" w:rsidRDefault="00AD18C0" w:rsidP="00EA60DC">
    <w:pPr>
      <w:pStyle w:val="Header"/>
    </w:pPr>
    <w:r>
      <w:tab/>
    </w:r>
    <w:r>
      <w:tab/>
    </w:r>
    <w:r>
      <w:rPr>
        <w:noProof/>
        <w:lang w:val="en-GB" w:eastAsia="en-GB"/>
      </w:rPr>
      <w:drawing>
        <wp:inline distT="0" distB="0" distL="0" distR="0" wp14:anchorId="74AA78E1" wp14:editId="4AEC539D">
          <wp:extent cx="1171575" cy="338702"/>
          <wp:effectExtent l="0" t="0" r="0" b="444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40AC5" w14:textId="77777777" w:rsidR="00AD18C0" w:rsidRDefault="00AD18C0" w:rsidP="00EA60DC">
    <w:pPr>
      <w:pStyle w:val="Header"/>
    </w:pPr>
    <w:r>
      <w:tab/>
    </w:r>
    <w:r>
      <w:tab/>
    </w:r>
    <w:r>
      <w:rPr>
        <w:noProof/>
        <w:lang w:val="en-GB" w:eastAsia="en-GB"/>
      </w:rPr>
      <w:drawing>
        <wp:inline distT="0" distB="0" distL="0" distR="0" wp14:anchorId="236DE0F7" wp14:editId="495C1C73">
          <wp:extent cx="1171575" cy="338702"/>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03D8A" w14:textId="2CB83F0E" w:rsidR="00AD18C0" w:rsidRDefault="00AD18C0" w:rsidP="00090A24">
    <w:pPr>
      <w:pStyle w:val="Header"/>
      <w:tabs>
        <w:tab w:val="clear" w:pos="4680"/>
        <w:tab w:val="center" w:pos="9026"/>
      </w:tabs>
      <w:ind w:left="0"/>
      <w:jc w:val="right"/>
    </w:pPr>
    <w:r>
      <w:rPr>
        <w:noProof/>
        <w:lang w:eastAsia="en-GB"/>
      </w:rPr>
      <w:t xml:space="preserve">   </w:t>
    </w:r>
    <w:r>
      <w:rPr>
        <w:noProof/>
        <w:lang w:val="en-GB" w:eastAsia="en-GB"/>
      </w:rPr>
      <w:drawing>
        <wp:inline distT="0" distB="0" distL="0" distR="0" wp14:anchorId="6A1A02F9" wp14:editId="02F10C50">
          <wp:extent cx="1171575" cy="338702"/>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5FD3F" w14:textId="77777777" w:rsidR="00AD18C0" w:rsidRDefault="00AD18C0" w:rsidP="00917504">
    <w:pPr>
      <w:pStyle w:val="Header"/>
      <w:tabs>
        <w:tab w:val="clear" w:pos="4680"/>
        <w:tab w:val="center" w:pos="9026"/>
      </w:tabs>
      <w:ind w:left="0"/>
    </w:pPr>
    <w:r>
      <w:rPr>
        <w:color w:val="002554"/>
      </w:rPr>
      <w:tab/>
    </w:r>
    <w:r>
      <w:rPr>
        <w:noProof/>
        <w:lang w:val="en-GB" w:eastAsia="en-GB"/>
      </w:rPr>
      <w:drawing>
        <wp:inline distT="0" distB="0" distL="0" distR="0" wp14:anchorId="4DA3AF81" wp14:editId="1B90C779">
          <wp:extent cx="1171575" cy="338702"/>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8E34C" w14:textId="547B0D15" w:rsidR="00AD18C0" w:rsidRDefault="00AD18C0" w:rsidP="00295730">
    <w:pPr>
      <w:pStyle w:val="Header"/>
      <w:tabs>
        <w:tab w:val="clear" w:pos="4680"/>
        <w:tab w:val="center" w:pos="9026"/>
      </w:tabs>
    </w:pPr>
    <w:r>
      <w:rPr>
        <w:color w:val="002554"/>
      </w:rPr>
      <w:tab/>
    </w:r>
    <w:r>
      <w:rPr>
        <w:noProof/>
        <w:lang w:val="en-GB" w:eastAsia="en-GB"/>
      </w:rPr>
      <w:drawing>
        <wp:inline distT="0" distB="0" distL="0" distR="0" wp14:anchorId="7024BDE3" wp14:editId="4C95A127">
          <wp:extent cx="1171575" cy="338702"/>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D2530" w14:textId="77777777" w:rsidR="00AD18C0" w:rsidRDefault="00AD18C0" w:rsidP="00917504">
    <w:pPr>
      <w:pStyle w:val="Header"/>
      <w:tabs>
        <w:tab w:val="clear" w:pos="4680"/>
        <w:tab w:val="center" w:pos="9026"/>
      </w:tabs>
      <w:ind w:left="0"/>
    </w:pPr>
    <w:r>
      <w:rPr>
        <w:color w:val="002554"/>
      </w:rPr>
      <w:tab/>
    </w:r>
    <w:r>
      <w:rPr>
        <w:noProof/>
        <w:lang w:val="en-GB" w:eastAsia="en-GB"/>
      </w:rPr>
      <w:drawing>
        <wp:inline distT="0" distB="0" distL="0" distR="0" wp14:anchorId="1F085AB6" wp14:editId="1E8CBB68">
          <wp:extent cx="1171575" cy="338702"/>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F9D20" w14:textId="77777777" w:rsidR="00AD18C0" w:rsidRDefault="00AD18C0" w:rsidP="00EA60DC">
    <w:pPr>
      <w:pStyle w:val="Header"/>
    </w:pPr>
    <w:r>
      <w:rPr>
        <w:noProof/>
        <w:lang w:val="en-GB" w:eastAsia="en-GB"/>
      </w:rPr>
      <w:drawing>
        <wp:anchor distT="0" distB="0" distL="114300" distR="114300" simplePos="0" relativeHeight="251660288" behindDoc="0" locked="0" layoutInCell="1" allowOverlap="1" wp14:anchorId="7D2598A5" wp14:editId="265DE0FD">
          <wp:simplePos x="0" y="0"/>
          <wp:positionH relativeFrom="margin">
            <wp:align>right</wp:align>
          </wp:positionH>
          <wp:positionV relativeFrom="paragraph">
            <wp:posOffset>197331</wp:posOffset>
          </wp:positionV>
          <wp:extent cx="2453640" cy="709295"/>
          <wp:effectExtent l="0" t="0" r="381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3640" cy="70929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7A8D04E0" wp14:editId="0F0103B5">
          <wp:extent cx="2619472" cy="1152525"/>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fas_crown_dark_blue_trans_bkg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64463" cy="1172321"/>
                  </a:xfrm>
                  <a:prstGeom prst="rect">
                    <a:avLst/>
                  </a:prstGeom>
                </pic:spPr>
              </pic:pic>
            </a:graphicData>
          </a:graphic>
        </wp:inline>
      </w:drawing>
    </w:r>
    <w:r>
      <w:rPr>
        <w:noProof/>
        <w:lang w:eastAsia="en-GB"/>
      </w:rPr>
      <w:t xml:space="preserve">     </w:t>
    </w:r>
    <w:r>
      <w:rPr>
        <w:noProof/>
        <w:lang w:eastAsia="en-GB"/>
      </w:rPr>
      <w:tab/>
    </w:r>
    <w:r>
      <w:rPr>
        <w:noProof/>
        <w:lang w:eastAsia="en-GB"/>
      </w:rPr>
      <w:tab/>
      <w:t xml:space="preserve">   </w:t>
    </w:r>
  </w:p>
  <w:p w14:paraId="2EDBA4A6" w14:textId="77777777" w:rsidR="00AD18C0" w:rsidRDefault="00AD18C0" w:rsidP="00EA60DC">
    <w:pPr>
      <w:pStyle w:val="Header"/>
      <w:rPr>
        <w:noProof/>
        <w:lang w:eastAsia="en-GB"/>
      </w:rPr>
    </w:pPr>
  </w:p>
  <w:p w14:paraId="3B484DD8" w14:textId="77777777" w:rsidR="00AD18C0" w:rsidRDefault="00AD18C0" w:rsidP="00EA60DC">
    <w:pPr>
      <w:pStyle w:val="Header"/>
      <w:rPr>
        <w:noProof/>
        <w:lang w:eastAsia="en-GB"/>
      </w:rPr>
    </w:pPr>
    <w:r>
      <w:rPr>
        <w:noProof/>
        <w:lang w:val="en-GB" w:eastAsia="en-GB"/>
      </w:rPr>
      <mc:AlternateContent>
        <mc:Choice Requires="wps">
          <w:drawing>
            <wp:anchor distT="0" distB="0" distL="114300" distR="114300" simplePos="0" relativeHeight="251659264" behindDoc="1" locked="0" layoutInCell="1" allowOverlap="1" wp14:anchorId="34F7F3D2" wp14:editId="27519A8E">
              <wp:simplePos x="0" y="0"/>
              <wp:positionH relativeFrom="page">
                <wp:posOffset>0</wp:posOffset>
              </wp:positionH>
              <wp:positionV relativeFrom="paragraph">
                <wp:posOffset>256276</wp:posOffset>
              </wp:positionV>
              <wp:extent cx="7538720" cy="45085"/>
              <wp:effectExtent l="0" t="0" r="24130" b="31115"/>
              <wp:wrapNone/>
              <wp:docPr id="3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38720" cy="45085"/>
                      </a:xfrm>
                      <a:prstGeom prst="straightConnector1">
                        <a:avLst/>
                      </a:prstGeom>
                      <a:noFill/>
                      <a:ln w="19050">
                        <a:solidFill>
                          <a:srgbClr val="0025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AB3604" id="_x0000_t32" coordsize="21600,21600" o:spt="32" o:oned="t" path="m,l21600,21600e" filled="f">
              <v:path arrowok="t" fillok="f" o:connecttype="none"/>
              <o:lock v:ext="edit" shapetype="t"/>
            </v:shapetype>
            <v:shape id="AutoShape 1" o:spid="_x0000_s1026" type="#_x0000_t32" style="position:absolute;margin-left:0;margin-top:20.2pt;width:593.6pt;height:3.55pt;flip:y;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" strokecolor="#002554" strokeweight="1.5pt">
              <w10:wrap anchorx="page"/>
            </v:shape>
          </w:pict>
        </mc:Fallback>
      </mc:AlternateContent>
    </w:r>
  </w:p>
  <w:p w14:paraId="5FDF33A1" w14:textId="77777777" w:rsidR="00AD18C0" w:rsidRDefault="00AD18C0" w:rsidP="00EA60DC">
    <w:pPr>
      <w:pStyle w:val="Header"/>
      <w:rPr>
        <w:noProof/>
        <w:lang w:eastAsia="en-GB"/>
      </w:rPr>
    </w:pPr>
  </w:p>
  <w:p w14:paraId="10CC915D" w14:textId="77777777" w:rsidR="00AD18C0" w:rsidRDefault="00AD18C0" w:rsidP="00EA60DC">
    <w:pPr>
      <w:pStyle w:val="Header"/>
    </w:pPr>
    <w:r>
      <w:tab/>
    </w:r>
    <w:r>
      <w:tab/>
    </w:r>
    <w:r>
      <w:rPr>
        <w:noProof/>
        <w:lang w:val="en-GB" w:eastAsia="en-GB"/>
      </w:rPr>
      <w:drawing>
        <wp:anchor distT="0" distB="0" distL="114300" distR="114300" simplePos="0" relativeHeight="251658240" behindDoc="1" locked="0" layoutInCell="1" allowOverlap="1" wp14:anchorId="00A2F635" wp14:editId="06CC00B6">
          <wp:simplePos x="0" y="0"/>
          <wp:positionH relativeFrom="column">
            <wp:posOffset>4134485</wp:posOffset>
          </wp:positionH>
          <wp:positionV relativeFrom="paragraph">
            <wp:posOffset>615950</wp:posOffset>
          </wp:positionV>
          <wp:extent cx="1800225" cy="534035"/>
          <wp:effectExtent l="0" t="0" r="9525" b="0"/>
          <wp:wrapNone/>
          <wp:docPr id="69" name="Picture 4" descr="Ce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fa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0225" cy="5340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C117D"/>
    <w:multiLevelType w:val="multilevel"/>
    <w:tmpl w:val="788C279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3273" w:hanging="720"/>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58272B7"/>
    <w:multiLevelType w:val="hybridMultilevel"/>
    <w:tmpl w:val="691E3A8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EEA6723"/>
    <w:multiLevelType w:val="multilevel"/>
    <w:tmpl w:val="059C6B8A"/>
    <w:lvl w:ilvl="0">
      <w:start w:val="1"/>
      <w:numFmt w:val="decimal"/>
      <w:lvlText w:val="%1)"/>
      <w:lvlJc w:val="left"/>
      <w:pPr>
        <w:ind w:left="999" w:hanging="432"/>
      </w:pPr>
    </w:lvl>
    <w:lvl w:ilvl="1">
      <w:start w:val="1"/>
      <w:numFmt w:val="decimal"/>
      <w:lvlText w:val="%1.%2"/>
      <w:lvlJc w:val="left"/>
      <w:pPr>
        <w:ind w:left="1143" w:hanging="576"/>
      </w:pPr>
    </w:lvl>
    <w:lvl w:ilvl="2">
      <w:start w:val="1"/>
      <w:numFmt w:val="decimal"/>
      <w:lvlText w:val="%1.%2.%3"/>
      <w:lvlJc w:val="left"/>
      <w:pPr>
        <w:ind w:left="1287" w:hanging="720"/>
      </w:pPr>
    </w:lvl>
    <w:lvl w:ilvl="3">
      <w:start w:val="1"/>
      <w:numFmt w:val="decimal"/>
      <w:lvlText w:val="%1.%2.%3.%4"/>
      <w:lvlJc w:val="left"/>
      <w:pPr>
        <w:ind w:left="1431" w:hanging="864"/>
      </w:pPr>
    </w:lvl>
    <w:lvl w:ilvl="4">
      <w:start w:val="1"/>
      <w:numFmt w:val="decimal"/>
      <w:lvlText w:val="%1.%2.%3.%4.%5"/>
      <w:lvlJc w:val="left"/>
      <w:pPr>
        <w:ind w:left="1575" w:hanging="1008"/>
      </w:pPr>
    </w:lvl>
    <w:lvl w:ilvl="5">
      <w:start w:val="1"/>
      <w:numFmt w:val="decimal"/>
      <w:lvlText w:val="%1.%2.%3.%4.%5.%6"/>
      <w:lvlJc w:val="left"/>
      <w:pPr>
        <w:ind w:left="1719" w:hanging="1152"/>
      </w:pPr>
    </w:lvl>
    <w:lvl w:ilvl="6">
      <w:start w:val="1"/>
      <w:numFmt w:val="decimal"/>
      <w:lvlText w:val="%1.%2.%3.%4.%5.%6.%7"/>
      <w:lvlJc w:val="left"/>
      <w:pPr>
        <w:ind w:left="1863" w:hanging="1296"/>
      </w:pPr>
    </w:lvl>
    <w:lvl w:ilvl="7">
      <w:start w:val="1"/>
      <w:numFmt w:val="decimal"/>
      <w:lvlText w:val="%1.%2.%3.%4.%5.%6.%7.%8"/>
      <w:lvlJc w:val="left"/>
      <w:pPr>
        <w:ind w:left="2007" w:hanging="1440"/>
      </w:pPr>
    </w:lvl>
    <w:lvl w:ilvl="8">
      <w:start w:val="1"/>
      <w:numFmt w:val="decimal"/>
      <w:lvlText w:val="%1.%2.%3.%4.%5.%6.%7.%8.%9"/>
      <w:lvlJc w:val="left"/>
      <w:pPr>
        <w:ind w:left="2151" w:hanging="1584"/>
      </w:pPr>
    </w:lvl>
  </w:abstractNum>
  <w:abstractNum w:abstractNumId="3" w15:restartNumberingAfterBreak="0">
    <w:nsid w:val="0EF50EEA"/>
    <w:multiLevelType w:val="hybridMultilevel"/>
    <w:tmpl w:val="9364DF0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7373EC2"/>
    <w:multiLevelType w:val="multilevel"/>
    <w:tmpl w:val="29B457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9F760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A663BB0"/>
    <w:multiLevelType w:val="hybridMultilevel"/>
    <w:tmpl w:val="FA066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6655C1"/>
    <w:multiLevelType w:val="hybridMultilevel"/>
    <w:tmpl w:val="4BA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6C3B2F"/>
    <w:multiLevelType w:val="hybridMultilevel"/>
    <w:tmpl w:val="8758D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E2037F"/>
    <w:multiLevelType w:val="hybridMultilevel"/>
    <w:tmpl w:val="B96CD966"/>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356641CA"/>
    <w:multiLevelType w:val="multilevel"/>
    <w:tmpl w:val="639CCD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EC67C27"/>
    <w:multiLevelType w:val="hybridMultilevel"/>
    <w:tmpl w:val="7E2A8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7875B0"/>
    <w:multiLevelType w:val="hybridMultilevel"/>
    <w:tmpl w:val="666CCB7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5B187C81"/>
    <w:multiLevelType w:val="hybridMultilevel"/>
    <w:tmpl w:val="47F6160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5F243DE2"/>
    <w:multiLevelType w:val="multilevel"/>
    <w:tmpl w:val="841231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3C4187E"/>
    <w:multiLevelType w:val="hybridMultilevel"/>
    <w:tmpl w:val="870440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52F0CA7"/>
    <w:multiLevelType w:val="multilevel"/>
    <w:tmpl w:val="938833F8"/>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BA3638C"/>
    <w:multiLevelType w:val="multilevel"/>
    <w:tmpl w:val="639CCD40"/>
    <w:lvl w:ilvl="0">
      <w:start w:val="1"/>
      <w:numFmt w:val="decimal"/>
      <w:lvlText w:val="%1."/>
      <w:lvlJc w:val="left"/>
      <w:pPr>
        <w:ind w:left="999" w:hanging="432"/>
      </w:pPr>
    </w:lvl>
    <w:lvl w:ilvl="1">
      <w:start w:val="1"/>
      <w:numFmt w:val="decimal"/>
      <w:lvlText w:val="%1.%2"/>
      <w:lvlJc w:val="left"/>
      <w:pPr>
        <w:ind w:left="1143" w:hanging="576"/>
      </w:pPr>
    </w:lvl>
    <w:lvl w:ilvl="2">
      <w:start w:val="1"/>
      <w:numFmt w:val="decimal"/>
      <w:lvlText w:val="%1.%2.%3"/>
      <w:lvlJc w:val="left"/>
      <w:pPr>
        <w:ind w:left="1287" w:hanging="720"/>
      </w:pPr>
    </w:lvl>
    <w:lvl w:ilvl="3">
      <w:start w:val="1"/>
      <w:numFmt w:val="decimal"/>
      <w:lvlText w:val="%1.%2.%3.%4"/>
      <w:lvlJc w:val="left"/>
      <w:pPr>
        <w:ind w:left="1431" w:hanging="864"/>
      </w:pPr>
    </w:lvl>
    <w:lvl w:ilvl="4">
      <w:start w:val="1"/>
      <w:numFmt w:val="decimal"/>
      <w:lvlText w:val="%1.%2.%3.%4.%5"/>
      <w:lvlJc w:val="left"/>
      <w:pPr>
        <w:ind w:left="1575" w:hanging="1008"/>
      </w:pPr>
    </w:lvl>
    <w:lvl w:ilvl="5">
      <w:start w:val="1"/>
      <w:numFmt w:val="decimal"/>
      <w:lvlText w:val="%1.%2.%3.%4.%5.%6"/>
      <w:lvlJc w:val="left"/>
      <w:pPr>
        <w:ind w:left="1719" w:hanging="1152"/>
      </w:pPr>
    </w:lvl>
    <w:lvl w:ilvl="6">
      <w:start w:val="1"/>
      <w:numFmt w:val="decimal"/>
      <w:lvlText w:val="%1.%2.%3.%4.%5.%6.%7"/>
      <w:lvlJc w:val="left"/>
      <w:pPr>
        <w:ind w:left="1863" w:hanging="1296"/>
      </w:pPr>
    </w:lvl>
    <w:lvl w:ilvl="7">
      <w:start w:val="1"/>
      <w:numFmt w:val="decimal"/>
      <w:lvlText w:val="%1.%2.%3.%4.%5.%6.%7.%8"/>
      <w:lvlJc w:val="left"/>
      <w:pPr>
        <w:ind w:left="2007" w:hanging="1440"/>
      </w:pPr>
    </w:lvl>
    <w:lvl w:ilvl="8">
      <w:start w:val="1"/>
      <w:numFmt w:val="decimal"/>
      <w:lvlText w:val="%1.%2.%3.%4.%5.%6.%7.%8.%9"/>
      <w:lvlJc w:val="left"/>
      <w:pPr>
        <w:ind w:left="2151" w:hanging="1584"/>
      </w:pPr>
    </w:lvl>
  </w:abstractNum>
  <w:num w:numId="1">
    <w:abstractNumId w:val="5"/>
  </w:num>
  <w:num w:numId="2">
    <w:abstractNumId w:val="4"/>
  </w:num>
  <w:num w:numId="3">
    <w:abstractNumId w:val="0"/>
  </w:num>
  <w:num w:numId="4">
    <w:abstractNumId w:val="16"/>
  </w:num>
  <w:num w:numId="5">
    <w:abstractNumId w:val="8"/>
  </w:num>
  <w:num w:numId="6">
    <w:abstractNumId w:val="9"/>
  </w:num>
  <w:num w:numId="7">
    <w:abstractNumId w:val="10"/>
  </w:num>
  <w:num w:numId="8">
    <w:abstractNumId w:val="6"/>
  </w:num>
  <w:num w:numId="9">
    <w:abstractNumId w:val="17"/>
  </w:num>
  <w:num w:numId="10">
    <w:abstractNumId w:val="2"/>
  </w:num>
  <w:num w:numId="11">
    <w:abstractNumId w:val="3"/>
  </w:num>
  <w:num w:numId="12">
    <w:abstractNumId w:val="12"/>
  </w:num>
  <w:num w:numId="13">
    <w:abstractNumId w:val="13"/>
  </w:num>
  <w:num w:numId="14">
    <w:abstractNumId w:val="1"/>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1"/>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activeWritingStyle w:appName="MSWord" w:lang="en-GB" w:vendorID="64" w:dllVersion="0" w:nlCheck="1" w:checkStyle="0"/>
  <w:activeWritingStyle w:appName="MSWord" w:lang="en-US"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4AA"/>
    <w:rsid w:val="00006C8A"/>
    <w:rsid w:val="00020C4F"/>
    <w:rsid w:val="000225A9"/>
    <w:rsid w:val="000340E8"/>
    <w:rsid w:val="00050054"/>
    <w:rsid w:val="00063064"/>
    <w:rsid w:val="00064679"/>
    <w:rsid w:val="00090A24"/>
    <w:rsid w:val="00090AD3"/>
    <w:rsid w:val="00093958"/>
    <w:rsid w:val="000B2E4F"/>
    <w:rsid w:val="000B7E2F"/>
    <w:rsid w:val="000F2A31"/>
    <w:rsid w:val="000F2AA3"/>
    <w:rsid w:val="000F2F11"/>
    <w:rsid w:val="000F2FD8"/>
    <w:rsid w:val="00125544"/>
    <w:rsid w:val="00134E25"/>
    <w:rsid w:val="0015789C"/>
    <w:rsid w:val="00174D67"/>
    <w:rsid w:val="001D239E"/>
    <w:rsid w:val="001E728F"/>
    <w:rsid w:val="001F2A94"/>
    <w:rsid w:val="001F575B"/>
    <w:rsid w:val="00214A05"/>
    <w:rsid w:val="00220709"/>
    <w:rsid w:val="00241F6A"/>
    <w:rsid w:val="002549A6"/>
    <w:rsid w:val="00290C77"/>
    <w:rsid w:val="002942C2"/>
    <w:rsid w:val="00295730"/>
    <w:rsid w:val="00297287"/>
    <w:rsid w:val="002D65BE"/>
    <w:rsid w:val="002E17C1"/>
    <w:rsid w:val="002E205A"/>
    <w:rsid w:val="002F0284"/>
    <w:rsid w:val="002F4A06"/>
    <w:rsid w:val="00301CC1"/>
    <w:rsid w:val="00307D05"/>
    <w:rsid w:val="003170EE"/>
    <w:rsid w:val="00341F14"/>
    <w:rsid w:val="003623CA"/>
    <w:rsid w:val="0039309F"/>
    <w:rsid w:val="003A32C1"/>
    <w:rsid w:val="003A722B"/>
    <w:rsid w:val="003C4EE5"/>
    <w:rsid w:val="003F2717"/>
    <w:rsid w:val="003F3ADD"/>
    <w:rsid w:val="003F4DFD"/>
    <w:rsid w:val="00403961"/>
    <w:rsid w:val="0041734C"/>
    <w:rsid w:val="0042602A"/>
    <w:rsid w:val="00431430"/>
    <w:rsid w:val="0043555F"/>
    <w:rsid w:val="00470302"/>
    <w:rsid w:val="004A2841"/>
    <w:rsid w:val="004C3E05"/>
    <w:rsid w:val="004D1834"/>
    <w:rsid w:val="004E6878"/>
    <w:rsid w:val="00507C61"/>
    <w:rsid w:val="00512ECD"/>
    <w:rsid w:val="005273B4"/>
    <w:rsid w:val="005323CD"/>
    <w:rsid w:val="00562CB7"/>
    <w:rsid w:val="0057491F"/>
    <w:rsid w:val="00575E72"/>
    <w:rsid w:val="00597529"/>
    <w:rsid w:val="005C2CC4"/>
    <w:rsid w:val="005D2CFE"/>
    <w:rsid w:val="005F4984"/>
    <w:rsid w:val="005F7268"/>
    <w:rsid w:val="00610169"/>
    <w:rsid w:val="00610D78"/>
    <w:rsid w:val="00615C65"/>
    <w:rsid w:val="006160B7"/>
    <w:rsid w:val="00626530"/>
    <w:rsid w:val="006352C7"/>
    <w:rsid w:val="0064153A"/>
    <w:rsid w:val="00661B46"/>
    <w:rsid w:val="00671F8F"/>
    <w:rsid w:val="006744DB"/>
    <w:rsid w:val="0069297C"/>
    <w:rsid w:val="006A68A7"/>
    <w:rsid w:val="006A6DA3"/>
    <w:rsid w:val="006C3F83"/>
    <w:rsid w:val="006C6D3B"/>
    <w:rsid w:val="006E091A"/>
    <w:rsid w:val="006E162F"/>
    <w:rsid w:val="006E339D"/>
    <w:rsid w:val="006F06F1"/>
    <w:rsid w:val="006F49E2"/>
    <w:rsid w:val="00725AB9"/>
    <w:rsid w:val="00743F53"/>
    <w:rsid w:val="007444BE"/>
    <w:rsid w:val="007544CF"/>
    <w:rsid w:val="00756D67"/>
    <w:rsid w:val="00757551"/>
    <w:rsid w:val="00765935"/>
    <w:rsid w:val="00784953"/>
    <w:rsid w:val="00784A9A"/>
    <w:rsid w:val="007A345A"/>
    <w:rsid w:val="007B3279"/>
    <w:rsid w:val="007C5FEC"/>
    <w:rsid w:val="0080215F"/>
    <w:rsid w:val="00807FBB"/>
    <w:rsid w:val="00812615"/>
    <w:rsid w:val="00816334"/>
    <w:rsid w:val="0083029F"/>
    <w:rsid w:val="00830A90"/>
    <w:rsid w:val="00834B18"/>
    <w:rsid w:val="008428D9"/>
    <w:rsid w:val="008464AA"/>
    <w:rsid w:val="00851C0B"/>
    <w:rsid w:val="00877BB7"/>
    <w:rsid w:val="00880D74"/>
    <w:rsid w:val="0088750C"/>
    <w:rsid w:val="00891AE6"/>
    <w:rsid w:val="00896697"/>
    <w:rsid w:val="008A4A5E"/>
    <w:rsid w:val="008C09A8"/>
    <w:rsid w:val="008D2C52"/>
    <w:rsid w:val="008E28DD"/>
    <w:rsid w:val="008E322E"/>
    <w:rsid w:val="00912B71"/>
    <w:rsid w:val="00915253"/>
    <w:rsid w:val="00917504"/>
    <w:rsid w:val="00927F53"/>
    <w:rsid w:val="0093617B"/>
    <w:rsid w:val="00936714"/>
    <w:rsid w:val="00944708"/>
    <w:rsid w:val="0095442F"/>
    <w:rsid w:val="00963171"/>
    <w:rsid w:val="009D3BC9"/>
    <w:rsid w:val="009F3559"/>
    <w:rsid w:val="009F77F0"/>
    <w:rsid w:val="00A048C5"/>
    <w:rsid w:val="00A17DBF"/>
    <w:rsid w:val="00A307F1"/>
    <w:rsid w:val="00A34DB4"/>
    <w:rsid w:val="00A37211"/>
    <w:rsid w:val="00A51903"/>
    <w:rsid w:val="00A52A5C"/>
    <w:rsid w:val="00A52C65"/>
    <w:rsid w:val="00A74BBA"/>
    <w:rsid w:val="00A74EAD"/>
    <w:rsid w:val="00A8311E"/>
    <w:rsid w:val="00A94E08"/>
    <w:rsid w:val="00A95375"/>
    <w:rsid w:val="00AA3DE5"/>
    <w:rsid w:val="00AA45FD"/>
    <w:rsid w:val="00AC7384"/>
    <w:rsid w:val="00AD18C0"/>
    <w:rsid w:val="00AE1725"/>
    <w:rsid w:val="00B16C68"/>
    <w:rsid w:val="00B33F56"/>
    <w:rsid w:val="00B83565"/>
    <w:rsid w:val="00BB5389"/>
    <w:rsid w:val="00BC3492"/>
    <w:rsid w:val="00BD347F"/>
    <w:rsid w:val="00BD4FD8"/>
    <w:rsid w:val="00BF3B61"/>
    <w:rsid w:val="00C10063"/>
    <w:rsid w:val="00C1702B"/>
    <w:rsid w:val="00C2061C"/>
    <w:rsid w:val="00C26260"/>
    <w:rsid w:val="00C401AC"/>
    <w:rsid w:val="00C42336"/>
    <w:rsid w:val="00C559F7"/>
    <w:rsid w:val="00C61884"/>
    <w:rsid w:val="00CC54C0"/>
    <w:rsid w:val="00CC5EA9"/>
    <w:rsid w:val="00CD3159"/>
    <w:rsid w:val="00CD6C21"/>
    <w:rsid w:val="00CD7CD4"/>
    <w:rsid w:val="00CE6A76"/>
    <w:rsid w:val="00D02DF7"/>
    <w:rsid w:val="00D035BE"/>
    <w:rsid w:val="00D2140F"/>
    <w:rsid w:val="00D30A58"/>
    <w:rsid w:val="00D35216"/>
    <w:rsid w:val="00D35E25"/>
    <w:rsid w:val="00D60CCF"/>
    <w:rsid w:val="00D66297"/>
    <w:rsid w:val="00DA392D"/>
    <w:rsid w:val="00DA682A"/>
    <w:rsid w:val="00DB2E87"/>
    <w:rsid w:val="00DC12CB"/>
    <w:rsid w:val="00DC32A7"/>
    <w:rsid w:val="00DD775A"/>
    <w:rsid w:val="00DF0E39"/>
    <w:rsid w:val="00DF1343"/>
    <w:rsid w:val="00DF4E5A"/>
    <w:rsid w:val="00DF6F62"/>
    <w:rsid w:val="00E4252F"/>
    <w:rsid w:val="00E75E00"/>
    <w:rsid w:val="00E763D4"/>
    <w:rsid w:val="00E846F3"/>
    <w:rsid w:val="00E87031"/>
    <w:rsid w:val="00E915FC"/>
    <w:rsid w:val="00EA60DC"/>
    <w:rsid w:val="00EB4587"/>
    <w:rsid w:val="00EB671E"/>
    <w:rsid w:val="00ED0E9A"/>
    <w:rsid w:val="00ED5349"/>
    <w:rsid w:val="00F04620"/>
    <w:rsid w:val="00F25EB8"/>
    <w:rsid w:val="00F33344"/>
    <w:rsid w:val="00F43768"/>
    <w:rsid w:val="00F81E1F"/>
    <w:rsid w:val="00F845CB"/>
    <w:rsid w:val="00FA46EA"/>
    <w:rsid w:val="00FA4D7A"/>
    <w:rsid w:val="00FD39D1"/>
    <w:rsid w:val="00FD6DFD"/>
    <w:rsid w:val="00FE6C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71927E5"/>
  <w15:chartTrackingRefBased/>
  <w15:docId w15:val="{38060A4C-344D-4E4B-A06E-3191FC877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4708"/>
    <w:pPr>
      <w:spacing w:after="200" w:line="276" w:lineRule="auto"/>
      <w:ind w:left="567"/>
      <w:jc w:val="both"/>
    </w:pPr>
  </w:style>
  <w:style w:type="paragraph" w:styleId="Heading1">
    <w:name w:val="heading 1"/>
    <w:basedOn w:val="Normal"/>
    <w:next w:val="Normal"/>
    <w:link w:val="Heading1Char"/>
    <w:uiPriority w:val="9"/>
    <w:qFormat/>
    <w:rsid w:val="00C26260"/>
    <w:pPr>
      <w:keepNext/>
      <w:keepLines/>
      <w:numPr>
        <w:numId w:val="3"/>
      </w:numPr>
      <w:spacing w:before="240"/>
      <w:ind w:left="567" w:hanging="567"/>
      <w:outlineLvl w:val="0"/>
    </w:pPr>
    <w:rPr>
      <w:rFonts w:eastAsiaTheme="majorEastAsia" w:cstheme="majorBidi"/>
      <w:b/>
      <w:color w:val="244061"/>
      <w:sz w:val="36"/>
      <w:szCs w:val="36"/>
    </w:rPr>
  </w:style>
  <w:style w:type="paragraph" w:styleId="Heading2">
    <w:name w:val="heading 2"/>
    <w:basedOn w:val="Normal"/>
    <w:next w:val="Normal"/>
    <w:link w:val="Heading2Char"/>
    <w:uiPriority w:val="9"/>
    <w:unhideWhenUsed/>
    <w:qFormat/>
    <w:rsid w:val="00C26260"/>
    <w:pPr>
      <w:keepNext/>
      <w:keepLines/>
      <w:numPr>
        <w:ilvl w:val="1"/>
        <w:numId w:val="3"/>
      </w:numPr>
      <w:spacing w:before="40"/>
      <w:ind w:left="567" w:hanging="567"/>
      <w:outlineLvl w:val="1"/>
    </w:pPr>
    <w:rPr>
      <w:rFonts w:eastAsiaTheme="majorEastAsia" w:cstheme="majorBidi"/>
      <w:color w:val="004C6F"/>
      <w:sz w:val="28"/>
      <w:szCs w:val="28"/>
    </w:rPr>
  </w:style>
  <w:style w:type="paragraph" w:styleId="Heading3">
    <w:name w:val="heading 3"/>
    <w:basedOn w:val="Normal"/>
    <w:next w:val="Normal"/>
    <w:link w:val="Heading3Char"/>
    <w:uiPriority w:val="9"/>
    <w:unhideWhenUsed/>
    <w:qFormat/>
    <w:rsid w:val="00D30A58"/>
    <w:pPr>
      <w:keepNext/>
      <w:keepLines/>
      <w:numPr>
        <w:ilvl w:val="2"/>
        <w:numId w:val="3"/>
      </w:numPr>
      <w:spacing w:before="40"/>
      <w:ind w:left="567" w:hanging="567"/>
      <w:outlineLvl w:val="2"/>
    </w:pPr>
    <w:rPr>
      <w:rFonts w:asciiTheme="majorHAnsi" w:eastAsiaTheme="majorEastAsia" w:hAnsiTheme="majorHAnsi" w:cstheme="majorBidi"/>
      <w:color w:val="244061"/>
      <w:sz w:val="24"/>
      <w:szCs w:val="36"/>
    </w:rPr>
  </w:style>
  <w:style w:type="paragraph" w:styleId="Heading4">
    <w:name w:val="heading 4"/>
    <w:basedOn w:val="Normal"/>
    <w:next w:val="Normal"/>
    <w:link w:val="Heading4Char"/>
    <w:uiPriority w:val="9"/>
    <w:semiHidden/>
    <w:unhideWhenUsed/>
    <w:qFormat/>
    <w:rsid w:val="008464AA"/>
    <w:pPr>
      <w:keepNext/>
      <w:keepLines/>
      <w:numPr>
        <w:ilvl w:val="3"/>
        <w:numId w:val="3"/>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464AA"/>
    <w:pPr>
      <w:keepNext/>
      <w:keepLines/>
      <w:numPr>
        <w:ilvl w:val="4"/>
        <w:numId w:val="3"/>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464AA"/>
    <w:pPr>
      <w:keepNext/>
      <w:keepLines/>
      <w:numPr>
        <w:ilvl w:val="5"/>
        <w:numId w:val="3"/>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464AA"/>
    <w:pPr>
      <w:keepNext/>
      <w:keepLines/>
      <w:numPr>
        <w:ilvl w:val="6"/>
        <w:numId w:val="3"/>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464A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464A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464AA"/>
    <w:pPr>
      <w:tabs>
        <w:tab w:val="center" w:pos="4680"/>
        <w:tab w:val="right" w:pos="9360"/>
      </w:tabs>
    </w:pPr>
    <w:rPr>
      <w:rFonts w:ascii="Calibri" w:eastAsia="Calibri" w:hAnsi="Calibri" w:cs="Times New Roman"/>
      <w:lang w:val="en-US"/>
    </w:rPr>
  </w:style>
  <w:style w:type="character" w:customStyle="1" w:styleId="HeaderChar">
    <w:name w:val="Header Char"/>
    <w:basedOn w:val="DefaultParagraphFont"/>
    <w:link w:val="Header"/>
    <w:rsid w:val="008464AA"/>
    <w:rPr>
      <w:rFonts w:ascii="Calibri" w:eastAsia="Calibri" w:hAnsi="Calibri" w:cs="Times New Roman"/>
      <w:lang w:val="en-US"/>
    </w:rPr>
  </w:style>
  <w:style w:type="table" w:styleId="TableGrid">
    <w:name w:val="Table Grid"/>
    <w:basedOn w:val="TableNormal"/>
    <w:uiPriority w:val="39"/>
    <w:rsid w:val="00846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rsid w:val="008464AA"/>
    <w:pPr>
      <w:pBdr>
        <w:bottom w:val="single" w:sz="8" w:space="4" w:color="auto"/>
      </w:pBdr>
      <w:spacing w:after="300" w:line="240" w:lineRule="auto"/>
      <w:contextualSpacing/>
    </w:pPr>
    <w:rPr>
      <w:rFonts w:ascii="Calibri" w:eastAsia="Times New Roman" w:hAnsi="Calibri" w:cs="Times New Roman"/>
      <w:b/>
      <w:spacing w:val="5"/>
      <w:kern w:val="28"/>
      <w:sz w:val="24"/>
      <w:szCs w:val="24"/>
    </w:rPr>
  </w:style>
  <w:style w:type="character" w:customStyle="1" w:styleId="TitleChar">
    <w:name w:val="Title Char"/>
    <w:basedOn w:val="DefaultParagraphFont"/>
    <w:link w:val="Title"/>
    <w:uiPriority w:val="10"/>
    <w:rsid w:val="008464AA"/>
    <w:rPr>
      <w:rFonts w:ascii="Calibri" w:eastAsia="Times New Roman" w:hAnsi="Calibri" w:cs="Times New Roman"/>
      <w:b/>
      <w:spacing w:val="5"/>
      <w:kern w:val="28"/>
      <w:sz w:val="24"/>
      <w:szCs w:val="24"/>
    </w:rPr>
  </w:style>
  <w:style w:type="table" w:customStyle="1" w:styleId="GridTable4-Accent51">
    <w:name w:val="Grid Table 4 - Accent 51"/>
    <w:basedOn w:val="TableNormal"/>
    <w:uiPriority w:val="49"/>
    <w:rsid w:val="008464A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CefasHeading">
    <w:name w:val="Cefas Heading"/>
    <w:basedOn w:val="Normal"/>
    <w:link w:val="CefasHeadingChar"/>
    <w:rsid w:val="008464AA"/>
    <w:pPr>
      <w:keepNext/>
      <w:spacing w:after="240"/>
      <w:contextualSpacing/>
      <w:outlineLvl w:val="0"/>
    </w:pPr>
    <w:rPr>
      <w:rFonts w:ascii="Verdana" w:eastAsia="Times New Roman" w:hAnsi="Verdana" w:cs="Arial"/>
      <w:b/>
      <w:color w:val="244061"/>
      <w:sz w:val="36"/>
      <w:szCs w:val="36"/>
    </w:rPr>
  </w:style>
  <w:style w:type="character" w:customStyle="1" w:styleId="CefasHeadingChar">
    <w:name w:val="Cefas Heading Char"/>
    <w:basedOn w:val="DefaultParagraphFont"/>
    <w:link w:val="CefasHeading"/>
    <w:rsid w:val="008464AA"/>
    <w:rPr>
      <w:rFonts w:ascii="Verdana" w:eastAsia="Times New Roman" w:hAnsi="Verdana" w:cs="Arial"/>
      <w:b/>
      <w:color w:val="244061"/>
      <w:sz w:val="36"/>
      <w:szCs w:val="36"/>
    </w:rPr>
  </w:style>
  <w:style w:type="paragraph" w:customStyle="1" w:styleId="Cefastitle">
    <w:name w:val="Cefas title"/>
    <w:basedOn w:val="Normal"/>
    <w:link w:val="CefastitleChar"/>
    <w:rsid w:val="00EA60DC"/>
    <w:pPr>
      <w:spacing w:after="640"/>
      <w:jc w:val="left"/>
    </w:pPr>
    <w:rPr>
      <w:rFonts w:cstheme="minorHAnsi"/>
      <w:b/>
      <w:color w:val="002554"/>
      <w:sz w:val="60"/>
      <w:szCs w:val="60"/>
    </w:rPr>
  </w:style>
  <w:style w:type="character" w:customStyle="1" w:styleId="CefastitleChar">
    <w:name w:val="Cefas title Char"/>
    <w:basedOn w:val="DefaultParagraphFont"/>
    <w:link w:val="Cefastitle"/>
    <w:rsid w:val="00EA60DC"/>
    <w:rPr>
      <w:rFonts w:cstheme="minorHAnsi"/>
      <w:b/>
      <w:color w:val="002554"/>
      <w:sz w:val="60"/>
      <w:szCs w:val="60"/>
    </w:rPr>
  </w:style>
  <w:style w:type="character" w:customStyle="1" w:styleId="Heading1Char">
    <w:name w:val="Heading 1 Char"/>
    <w:basedOn w:val="DefaultParagraphFont"/>
    <w:link w:val="Heading1"/>
    <w:uiPriority w:val="9"/>
    <w:rsid w:val="00C26260"/>
    <w:rPr>
      <w:rFonts w:eastAsiaTheme="majorEastAsia" w:cstheme="majorBidi"/>
      <w:b/>
      <w:color w:val="244061"/>
      <w:sz w:val="36"/>
      <w:szCs w:val="36"/>
    </w:rPr>
  </w:style>
  <w:style w:type="character" w:customStyle="1" w:styleId="Heading2Char">
    <w:name w:val="Heading 2 Char"/>
    <w:basedOn w:val="DefaultParagraphFont"/>
    <w:link w:val="Heading2"/>
    <w:uiPriority w:val="9"/>
    <w:rsid w:val="00C26260"/>
    <w:rPr>
      <w:rFonts w:eastAsiaTheme="majorEastAsia" w:cstheme="majorBidi"/>
      <w:color w:val="004C6F"/>
      <w:sz w:val="28"/>
      <w:szCs w:val="28"/>
    </w:rPr>
  </w:style>
  <w:style w:type="character" w:customStyle="1" w:styleId="Heading3Char">
    <w:name w:val="Heading 3 Char"/>
    <w:basedOn w:val="DefaultParagraphFont"/>
    <w:link w:val="Heading3"/>
    <w:uiPriority w:val="9"/>
    <w:rsid w:val="00D30A58"/>
    <w:rPr>
      <w:rFonts w:asciiTheme="majorHAnsi" w:eastAsiaTheme="majorEastAsia" w:hAnsiTheme="majorHAnsi" w:cstheme="majorBidi"/>
      <w:color w:val="244061"/>
      <w:sz w:val="24"/>
      <w:szCs w:val="36"/>
    </w:rPr>
  </w:style>
  <w:style w:type="character" w:customStyle="1" w:styleId="Heading4Char">
    <w:name w:val="Heading 4 Char"/>
    <w:basedOn w:val="DefaultParagraphFont"/>
    <w:link w:val="Heading4"/>
    <w:uiPriority w:val="9"/>
    <w:semiHidden/>
    <w:rsid w:val="008464A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464A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464A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8464A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464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464AA"/>
    <w:rPr>
      <w:rFonts w:asciiTheme="majorHAnsi" w:eastAsiaTheme="majorEastAsia" w:hAnsiTheme="majorHAnsi" w:cstheme="majorBidi"/>
      <w:i/>
      <w:iCs/>
      <w:color w:val="272727" w:themeColor="text1" w:themeTint="D8"/>
      <w:sz w:val="21"/>
      <w:szCs w:val="21"/>
    </w:rPr>
  </w:style>
  <w:style w:type="paragraph" w:styleId="Caption">
    <w:name w:val="caption"/>
    <w:aliases w:val="Figure Caption"/>
    <w:basedOn w:val="Normal"/>
    <w:next w:val="Normal"/>
    <w:link w:val="CaptionChar"/>
    <w:uiPriority w:val="35"/>
    <w:unhideWhenUsed/>
    <w:qFormat/>
    <w:rsid w:val="008464AA"/>
    <w:pPr>
      <w:spacing w:line="240" w:lineRule="auto"/>
    </w:pPr>
    <w:rPr>
      <w:iCs/>
      <w:color w:val="44546A" w:themeColor="text2"/>
      <w:sz w:val="18"/>
      <w:szCs w:val="18"/>
    </w:rPr>
  </w:style>
  <w:style w:type="paragraph" w:styleId="TOC2">
    <w:name w:val="toc 2"/>
    <w:basedOn w:val="Normal"/>
    <w:next w:val="Normal"/>
    <w:autoRedefine/>
    <w:uiPriority w:val="39"/>
    <w:unhideWhenUsed/>
    <w:rsid w:val="00A94E08"/>
    <w:pPr>
      <w:spacing w:after="40"/>
      <w:ind w:left="680"/>
    </w:pPr>
  </w:style>
  <w:style w:type="paragraph" w:styleId="TOC1">
    <w:name w:val="toc 1"/>
    <w:basedOn w:val="Normal"/>
    <w:next w:val="Normal"/>
    <w:autoRedefine/>
    <w:uiPriority w:val="39"/>
    <w:unhideWhenUsed/>
    <w:rsid w:val="00A94E08"/>
    <w:pPr>
      <w:tabs>
        <w:tab w:val="left" w:pos="440"/>
        <w:tab w:val="left" w:pos="1100"/>
        <w:tab w:val="right" w:leader="dot" w:pos="9016"/>
      </w:tabs>
      <w:spacing w:after="40"/>
    </w:pPr>
  </w:style>
  <w:style w:type="character" w:styleId="Hyperlink">
    <w:name w:val="Hyperlink"/>
    <w:basedOn w:val="DefaultParagraphFont"/>
    <w:uiPriority w:val="99"/>
    <w:unhideWhenUsed/>
    <w:rsid w:val="008464AA"/>
    <w:rPr>
      <w:color w:val="0563C1" w:themeColor="hyperlink"/>
      <w:u w:val="single"/>
    </w:rPr>
  </w:style>
  <w:style w:type="paragraph" w:customStyle="1" w:styleId="TableCaption">
    <w:name w:val="Table Caption"/>
    <w:basedOn w:val="Caption"/>
    <w:link w:val="TableCaptionChar"/>
    <w:qFormat/>
    <w:rsid w:val="006744DB"/>
  </w:style>
  <w:style w:type="paragraph" w:styleId="TableofFigures">
    <w:name w:val="table of figures"/>
    <w:basedOn w:val="Normal"/>
    <w:next w:val="Normal"/>
    <w:uiPriority w:val="99"/>
    <w:unhideWhenUsed/>
    <w:rsid w:val="008464AA"/>
  </w:style>
  <w:style w:type="paragraph" w:styleId="Footer">
    <w:name w:val="footer"/>
    <w:basedOn w:val="Normal"/>
    <w:link w:val="FooterChar"/>
    <w:uiPriority w:val="99"/>
    <w:unhideWhenUsed/>
    <w:rsid w:val="006744DB"/>
    <w:pPr>
      <w:tabs>
        <w:tab w:val="center" w:pos="4513"/>
        <w:tab w:val="right" w:pos="9026"/>
      </w:tabs>
      <w:spacing w:line="240" w:lineRule="auto"/>
    </w:pPr>
  </w:style>
  <w:style w:type="character" w:customStyle="1" w:styleId="CaptionChar">
    <w:name w:val="Caption Char"/>
    <w:aliases w:val="Figure Caption Char"/>
    <w:basedOn w:val="DefaultParagraphFont"/>
    <w:link w:val="Caption"/>
    <w:uiPriority w:val="35"/>
    <w:rsid w:val="006744DB"/>
    <w:rPr>
      <w:iCs/>
      <w:color w:val="44546A" w:themeColor="text2"/>
      <w:sz w:val="18"/>
      <w:szCs w:val="18"/>
    </w:rPr>
  </w:style>
  <w:style w:type="character" w:customStyle="1" w:styleId="TableCaptionChar">
    <w:name w:val="Table Caption Char"/>
    <w:basedOn w:val="CaptionChar"/>
    <w:link w:val="TableCaption"/>
    <w:rsid w:val="006744DB"/>
    <w:rPr>
      <w:iCs/>
      <w:color w:val="44546A" w:themeColor="text2"/>
      <w:sz w:val="18"/>
      <w:szCs w:val="18"/>
    </w:rPr>
  </w:style>
  <w:style w:type="character" w:customStyle="1" w:styleId="FooterChar">
    <w:name w:val="Footer Char"/>
    <w:basedOn w:val="DefaultParagraphFont"/>
    <w:link w:val="Footer"/>
    <w:uiPriority w:val="99"/>
    <w:rsid w:val="006744DB"/>
  </w:style>
  <w:style w:type="paragraph" w:customStyle="1" w:styleId="Appendix">
    <w:name w:val="Appendix"/>
    <w:basedOn w:val="Normal"/>
    <w:next w:val="Normal"/>
    <w:qFormat/>
    <w:rsid w:val="00FE6CF9"/>
    <w:pPr>
      <w:keepNext/>
      <w:pBdr>
        <w:top w:val="single" w:sz="18" w:space="1" w:color="1F4E79" w:themeColor="accent1" w:themeShade="80"/>
      </w:pBdr>
      <w:spacing w:after="240"/>
      <w:ind w:left="0"/>
      <w:contextualSpacing/>
      <w:outlineLvl w:val="0"/>
    </w:pPr>
    <w:rPr>
      <w:rFonts w:eastAsia="Times New Roman" w:cs="Arial"/>
      <w:b/>
      <w:color w:val="244061"/>
      <w:sz w:val="36"/>
      <w:szCs w:val="36"/>
    </w:rPr>
  </w:style>
  <w:style w:type="paragraph" w:customStyle="1" w:styleId="CefasSub-heading">
    <w:name w:val="Cefas Sub-heading"/>
    <w:basedOn w:val="Normal"/>
    <w:link w:val="CefasSub-headingChar"/>
    <w:rsid w:val="00EA60DC"/>
    <w:pPr>
      <w:jc w:val="left"/>
    </w:pPr>
    <w:rPr>
      <w:rFonts w:cstheme="minorHAnsi"/>
      <w:b/>
      <w:bCs/>
      <w:color w:val="004C6F"/>
      <w:sz w:val="36"/>
      <w:szCs w:val="28"/>
    </w:rPr>
  </w:style>
  <w:style w:type="character" w:customStyle="1" w:styleId="CefasSub-headingChar">
    <w:name w:val="Cefas Sub-heading Char"/>
    <w:basedOn w:val="DefaultParagraphFont"/>
    <w:link w:val="CefasSub-heading"/>
    <w:rsid w:val="00EA60DC"/>
    <w:rPr>
      <w:rFonts w:cstheme="minorHAnsi"/>
      <w:b/>
      <w:bCs/>
      <w:color w:val="004C6F"/>
      <w:sz w:val="36"/>
      <w:szCs w:val="28"/>
    </w:rPr>
  </w:style>
  <w:style w:type="paragraph" w:styleId="ListParagraph">
    <w:name w:val="List Paragraph"/>
    <w:aliases w:val="_Bullet"/>
    <w:basedOn w:val="Normal"/>
    <w:uiPriority w:val="34"/>
    <w:qFormat/>
    <w:rsid w:val="00BC3492"/>
    <w:pPr>
      <w:ind w:left="720"/>
      <w:contextualSpacing/>
    </w:pPr>
  </w:style>
  <w:style w:type="paragraph" w:styleId="PlainText">
    <w:name w:val="Plain Text"/>
    <w:basedOn w:val="Normal"/>
    <w:link w:val="PlainTextChar"/>
    <w:uiPriority w:val="99"/>
    <w:unhideWhenUsed/>
    <w:rsid w:val="00C42336"/>
    <w:pPr>
      <w:spacing w:line="240" w:lineRule="auto"/>
    </w:pPr>
    <w:rPr>
      <w:rFonts w:ascii="Calibri" w:hAnsi="Calibri" w:cs="Times New Roman"/>
      <w:lang w:eastAsia="en-GB"/>
    </w:rPr>
  </w:style>
  <w:style w:type="character" w:customStyle="1" w:styleId="PlainTextChar">
    <w:name w:val="Plain Text Char"/>
    <w:basedOn w:val="DefaultParagraphFont"/>
    <w:link w:val="PlainText"/>
    <w:uiPriority w:val="99"/>
    <w:rsid w:val="00C42336"/>
    <w:rPr>
      <w:rFonts w:ascii="Calibri" w:hAnsi="Calibri" w:cs="Times New Roman"/>
      <w:lang w:eastAsia="en-GB"/>
    </w:rPr>
  </w:style>
  <w:style w:type="paragraph" w:styleId="NoSpacing">
    <w:name w:val="No Spacing"/>
    <w:uiPriority w:val="1"/>
    <w:rsid w:val="009F77F0"/>
    <w:pPr>
      <w:spacing w:after="0" w:line="240" w:lineRule="auto"/>
      <w:jc w:val="both"/>
    </w:pPr>
    <w:rPr>
      <w:color w:val="000000" w:themeColor="text1"/>
    </w:rPr>
  </w:style>
  <w:style w:type="paragraph" w:styleId="TOCHeading">
    <w:name w:val="TOC Heading"/>
    <w:basedOn w:val="Heading1"/>
    <w:next w:val="Normal"/>
    <w:uiPriority w:val="39"/>
    <w:unhideWhenUsed/>
    <w:rsid w:val="007444BE"/>
    <w:pPr>
      <w:numPr>
        <w:numId w:val="0"/>
      </w:numPr>
      <w:spacing w:line="259" w:lineRule="auto"/>
      <w:jc w:val="left"/>
      <w:outlineLvl w:val="9"/>
    </w:pPr>
    <w:rPr>
      <w:rFonts w:asciiTheme="majorHAnsi" w:hAnsiTheme="majorHAnsi"/>
      <w:b w:val="0"/>
      <w:color w:val="2E74B5" w:themeColor="accent1" w:themeShade="BF"/>
      <w:sz w:val="32"/>
      <w:szCs w:val="32"/>
      <w:lang w:val="en-US"/>
    </w:rPr>
  </w:style>
  <w:style w:type="character" w:styleId="CommentReference">
    <w:name w:val="annotation reference"/>
    <w:basedOn w:val="DefaultParagraphFont"/>
    <w:uiPriority w:val="99"/>
    <w:semiHidden/>
    <w:unhideWhenUsed/>
    <w:rsid w:val="0088750C"/>
    <w:rPr>
      <w:sz w:val="16"/>
      <w:szCs w:val="16"/>
    </w:rPr>
  </w:style>
  <w:style w:type="paragraph" w:styleId="CommentText">
    <w:name w:val="annotation text"/>
    <w:basedOn w:val="Normal"/>
    <w:link w:val="CommentTextChar"/>
    <w:uiPriority w:val="99"/>
    <w:unhideWhenUsed/>
    <w:rsid w:val="0088750C"/>
    <w:pPr>
      <w:spacing w:line="240" w:lineRule="auto"/>
    </w:pPr>
    <w:rPr>
      <w:sz w:val="20"/>
      <w:szCs w:val="20"/>
    </w:rPr>
  </w:style>
  <w:style w:type="character" w:customStyle="1" w:styleId="CommentTextChar">
    <w:name w:val="Comment Text Char"/>
    <w:basedOn w:val="DefaultParagraphFont"/>
    <w:link w:val="CommentText"/>
    <w:uiPriority w:val="99"/>
    <w:rsid w:val="0088750C"/>
    <w:rPr>
      <w:sz w:val="20"/>
      <w:szCs w:val="20"/>
    </w:rPr>
  </w:style>
  <w:style w:type="paragraph" w:styleId="CommentSubject">
    <w:name w:val="annotation subject"/>
    <w:basedOn w:val="CommentText"/>
    <w:next w:val="CommentText"/>
    <w:link w:val="CommentSubjectChar"/>
    <w:uiPriority w:val="99"/>
    <w:semiHidden/>
    <w:unhideWhenUsed/>
    <w:rsid w:val="0088750C"/>
    <w:rPr>
      <w:b/>
      <w:bCs/>
    </w:rPr>
  </w:style>
  <w:style w:type="character" w:customStyle="1" w:styleId="CommentSubjectChar">
    <w:name w:val="Comment Subject Char"/>
    <w:basedOn w:val="CommentTextChar"/>
    <w:link w:val="CommentSubject"/>
    <w:uiPriority w:val="99"/>
    <w:semiHidden/>
    <w:rsid w:val="0088750C"/>
    <w:rPr>
      <w:b/>
      <w:bCs/>
      <w:sz w:val="20"/>
      <w:szCs w:val="20"/>
    </w:rPr>
  </w:style>
  <w:style w:type="paragraph" w:styleId="BalloonText">
    <w:name w:val="Balloon Text"/>
    <w:basedOn w:val="Normal"/>
    <w:link w:val="BalloonTextChar"/>
    <w:uiPriority w:val="99"/>
    <w:semiHidden/>
    <w:unhideWhenUsed/>
    <w:rsid w:val="0088750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50C"/>
    <w:rPr>
      <w:rFonts w:ascii="Segoe UI" w:hAnsi="Segoe UI" w:cs="Segoe UI"/>
      <w:sz w:val="18"/>
      <w:szCs w:val="18"/>
    </w:rPr>
  </w:style>
  <w:style w:type="paragraph" w:customStyle="1" w:styleId="Normalblue">
    <w:name w:val="Normal_blue"/>
    <w:basedOn w:val="Normal"/>
    <w:rsid w:val="00EA60DC"/>
    <w:rPr>
      <w:color w:val="004C6F"/>
    </w:rPr>
  </w:style>
  <w:style w:type="paragraph" w:styleId="TOC3">
    <w:name w:val="toc 3"/>
    <w:basedOn w:val="Normal"/>
    <w:next w:val="Normal"/>
    <w:autoRedefine/>
    <w:uiPriority w:val="39"/>
    <w:unhideWhenUsed/>
    <w:rsid w:val="00A94E08"/>
    <w:pPr>
      <w:spacing w:after="40"/>
      <w:ind w:left="794"/>
    </w:pPr>
  </w:style>
  <w:style w:type="character" w:styleId="Mention">
    <w:name w:val="Mention"/>
    <w:basedOn w:val="DefaultParagraphFont"/>
    <w:uiPriority w:val="99"/>
    <w:semiHidden/>
    <w:unhideWhenUsed/>
    <w:rsid w:val="00090A24"/>
    <w:rPr>
      <w:color w:val="2B579A"/>
      <w:shd w:val="clear" w:color="auto" w:fill="E6E6E6"/>
    </w:rPr>
  </w:style>
  <w:style w:type="paragraph" w:styleId="FootnoteText">
    <w:name w:val="footnote text"/>
    <w:basedOn w:val="Normal"/>
    <w:link w:val="FootnoteTextChar"/>
    <w:unhideWhenUsed/>
    <w:rsid w:val="00470302"/>
    <w:pPr>
      <w:spacing w:after="0" w:line="240" w:lineRule="auto"/>
    </w:pPr>
    <w:rPr>
      <w:sz w:val="20"/>
      <w:szCs w:val="20"/>
    </w:rPr>
  </w:style>
  <w:style w:type="character" w:customStyle="1" w:styleId="FootnoteTextChar">
    <w:name w:val="Footnote Text Char"/>
    <w:basedOn w:val="DefaultParagraphFont"/>
    <w:link w:val="FootnoteText"/>
    <w:qFormat/>
    <w:rsid w:val="00470302"/>
    <w:rPr>
      <w:sz w:val="20"/>
      <w:szCs w:val="20"/>
    </w:rPr>
  </w:style>
  <w:style w:type="character" w:styleId="FootnoteReference">
    <w:name w:val="footnote reference"/>
    <w:basedOn w:val="DefaultParagraphFont"/>
    <w:unhideWhenUsed/>
    <w:qFormat/>
    <w:rsid w:val="00470302"/>
    <w:rPr>
      <w:vertAlign w:val="superscript"/>
    </w:rPr>
  </w:style>
  <w:style w:type="paragraph" w:customStyle="1" w:styleId="Caption-textonly">
    <w:name w:val="Caption - text only"/>
    <w:basedOn w:val="NoSpacing"/>
    <w:rsid w:val="00DA682A"/>
    <w:pPr>
      <w:spacing w:after="200"/>
      <w:ind w:left="567"/>
    </w:pPr>
    <w:rPr>
      <w:color w:val="44546A"/>
      <w:sz w:val="18"/>
      <w:szCs w:val="18"/>
    </w:rPr>
  </w:style>
  <w:style w:type="table" w:styleId="GridTable4-Accent5">
    <w:name w:val="Grid Table 4 Accent 5"/>
    <w:basedOn w:val="TableNormal"/>
    <w:uiPriority w:val="49"/>
    <w:rsid w:val="009152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Bullet">
    <w:name w:val="List Bullet"/>
    <w:basedOn w:val="Normal"/>
    <w:uiPriority w:val="99"/>
    <w:semiHidden/>
    <w:unhideWhenUsed/>
    <w:rsid w:val="003C4EE5"/>
    <w:pPr>
      <w:spacing w:after="120" w:line="240" w:lineRule="auto"/>
      <w:ind w:left="0"/>
      <w:contextualSpacing/>
    </w:pPr>
    <w:rPr>
      <w:rFonts w:asciiTheme="majorHAnsi" w:eastAsia="Times New Roman" w:hAnsiTheme="majorHAnsi" w:cs="Times New Roman"/>
      <w:szCs w:val="24"/>
    </w:rPr>
  </w:style>
  <w:style w:type="paragraph" w:customStyle="1" w:styleId="Tableheader">
    <w:name w:val="Table header"/>
    <w:basedOn w:val="Normal"/>
    <w:qFormat/>
    <w:rsid w:val="003C4EE5"/>
    <w:pPr>
      <w:spacing w:after="120" w:line="240" w:lineRule="auto"/>
      <w:ind w:left="0"/>
    </w:pPr>
    <w:rPr>
      <w:rFonts w:asciiTheme="majorHAnsi" w:eastAsia="Times New Roman" w:hAnsiTheme="majorHAnsi" w:cs="Times New Roman"/>
      <w:b/>
      <w:sz w:val="20"/>
      <w:szCs w:val="24"/>
    </w:rPr>
  </w:style>
  <w:style w:type="paragraph" w:customStyle="1" w:styleId="Tabletext">
    <w:name w:val="Table text"/>
    <w:basedOn w:val="Normal"/>
    <w:qFormat/>
    <w:rsid w:val="003C4EE5"/>
    <w:pPr>
      <w:spacing w:after="120" w:line="240" w:lineRule="auto"/>
      <w:ind w:left="0"/>
    </w:pPr>
    <w:rPr>
      <w:rFonts w:asciiTheme="majorHAnsi" w:eastAsia="Times New Roman" w:hAnsiTheme="majorHAnsi" w:cs="Times New Roman"/>
      <w:sz w:val="20"/>
    </w:rPr>
  </w:style>
  <w:style w:type="paragraph" w:styleId="NormalWeb">
    <w:name w:val="Normal (Web)"/>
    <w:basedOn w:val="Normal"/>
    <w:uiPriority w:val="99"/>
    <w:semiHidden/>
    <w:unhideWhenUsed/>
    <w:rsid w:val="003C4EE5"/>
    <w:pPr>
      <w:spacing w:before="100" w:beforeAutospacing="1" w:after="100" w:afterAutospacing="1" w:line="240" w:lineRule="auto"/>
      <w:ind w:left="0"/>
      <w:jc w:val="left"/>
    </w:pPr>
    <w:rPr>
      <w:rFonts w:ascii="Times New Roman" w:eastAsia="Times New Roman" w:hAnsi="Times New Roman" w:cs="Times New Roman"/>
      <w:sz w:val="24"/>
      <w:szCs w:val="24"/>
      <w:lang w:eastAsia="en-GB"/>
    </w:rPr>
  </w:style>
  <w:style w:type="paragraph" w:customStyle="1" w:styleId="Default">
    <w:name w:val="Default"/>
    <w:rsid w:val="003C4EE5"/>
    <w:pPr>
      <w:autoSpaceDE w:val="0"/>
      <w:autoSpaceDN w:val="0"/>
      <w:adjustRightInd w:val="0"/>
      <w:spacing w:after="0" w:line="240" w:lineRule="auto"/>
    </w:pPr>
    <w:rPr>
      <w:rFonts w:ascii="Verdana" w:hAnsi="Verdana" w:cs="Verdana"/>
      <w:color w:val="000000"/>
      <w:sz w:val="24"/>
      <w:szCs w:val="24"/>
    </w:rPr>
  </w:style>
  <w:style w:type="table" w:customStyle="1" w:styleId="TableGrid1">
    <w:name w:val="Table Grid1"/>
    <w:basedOn w:val="TableNormal"/>
    <w:next w:val="TableGrid"/>
    <w:uiPriority w:val="39"/>
    <w:rsid w:val="003C4EE5"/>
    <w:pPr>
      <w:spacing w:before="60" w:after="80" w:line="240" w:lineRule="auto"/>
    </w:pPr>
    <w:rPr>
      <w:rFonts w:ascii="Helvetica" w:eastAsia="Calibri" w:hAnsi="Helvetica" w:cs="Times New Roman"/>
      <w:szCs w:val="20"/>
      <w:lang w:eastAsia="en-GB"/>
    </w:rPr>
    <w:tblPr>
      <w:tblInd w:w="0"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962030">
      <w:bodyDiv w:val="1"/>
      <w:marLeft w:val="0"/>
      <w:marRight w:val="0"/>
      <w:marTop w:val="0"/>
      <w:marBottom w:val="0"/>
      <w:divBdr>
        <w:top w:val="none" w:sz="0" w:space="0" w:color="auto"/>
        <w:left w:val="none" w:sz="0" w:space="0" w:color="auto"/>
        <w:bottom w:val="none" w:sz="0" w:space="0" w:color="auto"/>
        <w:right w:val="none" w:sz="0" w:space="0" w:color="auto"/>
      </w:divBdr>
    </w:div>
    <w:div w:id="1293556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fishbase.org" TargetMode="External"/><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0.jpeg"/><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9.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image" Target="media/image15.jpeg"/><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yperlink" Target="http://seafish.org/media/Publications/SeafishSpeciesGuide_Pollack_201401.pdf" TargetMode="External"/><Relationship Id="rId36"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12.jpeg"/><Relationship Id="rId30" Type="http://schemas.openxmlformats.org/officeDocument/2006/relationships/image" Target="media/image13.emf"/><Relationship Id="rId35" Type="http://schemas.openxmlformats.org/officeDocument/2006/relationships/image" Target="media/image17.png"/></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efas Document" ma:contentTypeID="0x0101003CA7FF4BF3A3194D8DD5879F0586792500F7C94735B5E39C4797AB52AF98296F27" ma:contentTypeVersion="16" ma:contentTypeDescription="Create a new document." ma:contentTypeScope="" ma:versionID="e0f7da0da5f6abda8e250d488e901d7a">
  <xsd:schema xmlns:xsd="http://www.w3.org/2001/XMLSchema" xmlns:xs="http://www.w3.org/2001/XMLSchema" xmlns:p="http://schemas.microsoft.com/office/2006/metadata/properties" xmlns:ns2="fa68e798-cebf-49d4-a86a-ac6405839a24" xmlns:ns3="6939382b-da51-4cbd-8853-32bdec5021a6" xmlns:ns4="654bc85d-5f08-46cb-b709-8da4e971f89b" xmlns:ns5="http://schemas.microsoft.com/sharepoint/v4" xmlns:ns6="1c254598-14d1-47df-bc4b-a4f37592811a" targetNamespace="http://schemas.microsoft.com/office/2006/metadata/properties" ma:root="true" ma:fieldsID="613268f9487351786644530a7aadfba7" ns2:_="" ns3:_="" ns4:_="" ns5:_="" ns6:_="">
    <xsd:import namespace="fa68e798-cebf-49d4-a86a-ac6405839a24"/>
    <xsd:import namespace="6939382b-da51-4cbd-8853-32bdec5021a6"/>
    <xsd:import namespace="654bc85d-5f08-46cb-b709-8da4e971f89b"/>
    <xsd:import namespace="http://schemas.microsoft.com/sharepoint/v4"/>
    <xsd:import namespace="1c254598-14d1-47df-bc4b-a4f37592811a"/>
    <xsd:element name="properties">
      <xsd:complexType>
        <xsd:sequence>
          <xsd:element name="documentManagement">
            <xsd:complexType>
              <xsd:all>
                <xsd:element ref="ns2:n7cc5a46288d455f83142cf2528c11ba" minOccurs="0"/>
                <xsd:element ref="ns2:n7cc5a46288d455f83142cf2528c11bb" minOccurs="0"/>
                <xsd:element ref="ns2:n7cc5a46288d455f83142cf2528c11bc" minOccurs="0"/>
                <xsd:element ref="ns3:TaxCatchAll" minOccurs="0"/>
                <xsd:element ref="ns3:TaxCatchAllLabel" minOccurs="0"/>
                <xsd:element ref="ns4:SharedWithUsers" minOccurs="0"/>
                <xsd:element ref="ns4:SharedWithDetails" minOccurs="0"/>
                <xsd:element ref="ns5:IconOverlay" minOccurs="0"/>
                <xsd:element ref="ns2:CPNumber" minOccurs="0"/>
                <xsd:element ref="ns4:LastSharedByTime" minOccurs="0"/>
                <xsd:element ref="ns4:LastSharedByUser" minOccurs="0"/>
                <xsd:element ref="ns6:MediaServiceMetadata" minOccurs="0"/>
                <xsd:element ref="ns6: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68e798-cebf-49d4-a86a-ac6405839a24" elementFormDefault="qualified">
    <xsd:import namespace="http://schemas.microsoft.com/office/2006/documentManagement/types"/>
    <xsd:import namespace="http://schemas.microsoft.com/office/infopath/2007/PartnerControls"/>
    <xsd:element name="n7cc5a46288d455f83142cf2528c11ba" ma:index="2" nillable="true" ma:taxonomy="true" ma:internalName="n7cc5a46288d455f83142cf2528c11ba" ma:taxonomyFieldName="CPDepartment" ma:displayName="Department" ma:fieldId="{77cc5a46-288d-455f-8314-2cf2528c11ba}" ma:sspId="2da48596-e6e1-413c-8f4e-2bb605fbdfb8" ma:termSetId="18cd38fe-96d6-408c-b0f9-b0168cb1288d" ma:anchorId="00000000-0000-0000-0000-000000000000" ma:open="false" ma:isKeyword="false">
      <xsd:complexType>
        <xsd:sequence>
          <xsd:element ref="pc:Terms" minOccurs="0" maxOccurs="1"/>
        </xsd:sequence>
      </xsd:complexType>
    </xsd:element>
    <xsd:element name="n7cc5a46288d455f83142cf2528c11bb" ma:index="4" nillable="true" ma:taxonomy="true" ma:internalName="n7cc5a46288d455f83142cf2528c11bb" ma:taxonomyFieldName="CPDocumentType" ma:displayName="Document Type" ma:fieldId="{77cc5a46-288d-455f-8314-2cf2528c11bb}" ma:sspId="2da48596-e6e1-413c-8f4e-2bb605fbdfb8" ma:termSetId="ab649eb3-49f8-4872-b721-47c5b740f392" ma:anchorId="00000000-0000-0000-0000-000000000000" ma:open="false" ma:isKeyword="false">
      <xsd:complexType>
        <xsd:sequence>
          <xsd:element ref="pc:Terms" minOccurs="0" maxOccurs="1"/>
        </xsd:sequence>
      </xsd:complexType>
    </xsd:element>
    <xsd:element name="n7cc5a46288d455f83142cf2528c11bc" ma:index="6" ma:taxonomy="true" ma:internalName="n7cc5a46288d455f83142cf2528c11bc" ma:taxonomyFieldName="CPDocumentSubject" ma:displayName="Category" ma:fieldId="{77cc5a46-288d-455f-8314-2cf2528c11bc}" ma:taxonomyMulti="true" ma:sspId="2da48596-e6e1-413c-8f4e-2bb605fbdfb8" ma:termSetId="1abe95fc-1384-426e-a67a-dc1adb3a0969" ma:anchorId="00000000-0000-0000-0000-000000000000" ma:open="false" ma:isKeyword="false">
      <xsd:complexType>
        <xsd:sequence>
          <xsd:element ref="pc:Terms" minOccurs="0" maxOccurs="1"/>
        </xsd:sequence>
      </xsd:complexType>
    </xsd:element>
    <xsd:element name="CPNumber" ma:index="19" nillable="true" ma:displayName="CP Number" ma:internalName="CP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39382b-da51-4cbd-8853-32bdec5021a6"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f57706b9-87ed-4cfb-9953-d4f3f08855f0}" ma:internalName="TaxCatchAll" ma:showField="CatchAllData" ma:web="6939382b-da51-4cbd-8853-32bdec5021a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7706b9-87ed-4cfb-9953-d4f3f08855f0}" ma:internalName="TaxCatchAllLabel" ma:readOnly="true" ma:showField="CatchAllDataLabel" ma:web="6939382b-da51-4cbd-8853-32bdec5021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54bc85d-5f08-46cb-b709-8da4e971f89b" elementFormDefault="qualified">
    <xsd:import namespace="http://schemas.microsoft.com/office/2006/documentManagement/types"/>
    <xsd:import namespace="http://schemas.microsoft.com/office/infopath/2007/PartnerControls"/>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description="" ma:internalName="SharedWithDetails" ma:readOnly="true">
      <xsd:simpleType>
        <xsd:restriction base="dms:Note">
          <xsd:maxLength value="255"/>
        </xsd:restriction>
      </xsd:simpleType>
    </xsd:element>
    <xsd:element name="LastSharedByTime" ma:index="21" nillable="true" ma:displayName="Last Shared By Time" ma:description="" ma:internalName="LastSharedByTime" ma:readOnly="true">
      <xsd:simpleType>
        <xsd:restriction base="dms:DateTime"/>
      </xsd:simpleType>
    </xsd:element>
    <xsd:element name="LastSharedByUser" ma:index="2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54598-14d1-47df-bc4b-a4f37592811a" elementFormDefault="qualified">
    <xsd:import namespace="http://schemas.microsoft.com/office/2006/documentManagement/types"/>
    <xsd:import namespace="http://schemas.microsoft.com/office/infopath/2007/PartnerControls"/>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PNumber xmlns="fa68e798-cebf-49d4-a86a-ac6405839a24">CP017-04-F5</CPNumber>
    <n7cc5a46288d455f83142cf2528c11bb xmlns="fa68e798-cebf-49d4-a86a-ac6405839a24">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77962996-958e-48d8-bec1-ee2325f64abe</TermId>
        </TermInfo>
      </Terms>
    </n7cc5a46288d455f83142cf2528c11bb>
    <IconOverlay xmlns="http://schemas.microsoft.com/sharepoint/v4" xsi:nil="true"/>
    <n7cc5a46288d455f83142cf2528c11ba xmlns="fa68e798-cebf-49d4-a86a-ac6405839a24">
      <Terms xmlns="http://schemas.microsoft.com/office/infopath/2007/PartnerControls"/>
    </n7cc5a46288d455f83142cf2528c11ba>
    <TaxCatchAll xmlns="6939382b-da51-4cbd-8853-32bdec5021a6">
      <Value>17</Value>
      <Value>6</Value>
    </TaxCatchAll>
    <n7cc5a46288d455f83142cf2528c11bc xmlns="fa68e798-cebf-49d4-a86a-ac6405839a24">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417a8908-a303-4a9d-a0cb-ab604f16792d</TermId>
        </TermInfo>
      </Terms>
    </n7cc5a46288d455f83142cf2528c11bc>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48056-C762-41EE-BC3B-A6C4EBC403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68e798-cebf-49d4-a86a-ac6405839a24"/>
    <ds:schemaRef ds:uri="6939382b-da51-4cbd-8853-32bdec5021a6"/>
    <ds:schemaRef ds:uri="654bc85d-5f08-46cb-b709-8da4e971f89b"/>
    <ds:schemaRef ds:uri="http://schemas.microsoft.com/sharepoint/v4"/>
    <ds:schemaRef ds:uri="1c254598-14d1-47df-bc4b-a4f3759281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2216E3-F373-4634-80D9-1C693B1C79C2}">
  <ds:schemaRefs>
    <ds:schemaRef ds:uri="http://schemas.microsoft.com/sharepoint/v3/contenttype/forms"/>
  </ds:schemaRefs>
</ds:datastoreItem>
</file>

<file path=customXml/itemProps3.xml><?xml version="1.0" encoding="utf-8"?>
<ds:datastoreItem xmlns:ds="http://schemas.openxmlformats.org/officeDocument/2006/customXml" ds:itemID="{314B6EE9-9E83-4882-9F51-CB10D9312816}">
  <ds:schemaRefs>
    <ds:schemaRef ds:uri="http://purl.org/dc/terms/"/>
    <ds:schemaRef ds:uri="654bc85d-5f08-46cb-b709-8da4e971f89b"/>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 ds:uri="http://schemas.microsoft.com/sharepoint/v4"/>
    <ds:schemaRef ds:uri="http://schemas.openxmlformats.org/package/2006/metadata/core-properties"/>
    <ds:schemaRef ds:uri="1c254598-14d1-47df-bc4b-a4f37592811a"/>
    <ds:schemaRef ds:uri="6939382b-da51-4cbd-8853-32bdec5021a6"/>
    <ds:schemaRef ds:uri="fa68e798-cebf-49d4-a86a-ac6405839a24"/>
  </ds:schemaRefs>
</ds:datastoreItem>
</file>

<file path=customXml/itemProps4.xml><?xml version="1.0" encoding="utf-8"?>
<ds:datastoreItem xmlns:ds="http://schemas.openxmlformats.org/officeDocument/2006/customXml" ds:itemID="{AD0818D1-C8F8-46D6-9FC6-F902B2F49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40</Pages>
  <Words>10793</Words>
  <Characters>61521</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CP017-04-F5 Cefas Report Template</vt:lpstr>
    </vt:vector>
  </TitlesOfParts>
  <Company/>
  <LinksUpToDate>false</LinksUpToDate>
  <CharactersWithSpaces>72170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CP017-04-F5 Cefas Report Template</dc:title>
  <dc:subject/>
  <dc:creator>Andrew Griffith (Cefas)</dc:creator>
  <cp:keywords/>
  <dc:description/>
  <cp:lastModifiedBy>Ana Ribeiro Santos (Cefas)</cp:lastModifiedBy>
  <cp:revision>4</cp:revision>
  <dcterms:created xsi:type="dcterms:W3CDTF">2018-07-05T18:25:00Z</dcterms:created>
  <dcterms:modified xsi:type="dcterms:W3CDTF">2018-07-06T15:43:00Z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reck Name">
    <vt:lpwstr>SS Balakani</vt:lpwstr>
  </property>
  <property fmtid="{D5CDD505-2E9C-101B-9397-08002B2CF9AE}" pid="3" name="ContentTypeId">
    <vt:lpwstr>0x0101003CA7FF4BF3A3194D8DD5879F0586792500F7C94735B5E39C4797AB52AF98296F27</vt:lpwstr>
  </property>
  <property fmtid="{D5CDD505-2E9C-101B-9397-08002B2CF9AE}" pid="4" name="CPDocumentType">
    <vt:lpwstr>6;#Template|77962996-958e-48d8-bec1-ee2325f64abe</vt:lpwstr>
  </property>
  <property fmtid="{D5CDD505-2E9C-101B-9397-08002B2CF9AE}" pid="5" name="CPDocumentSubject">
    <vt:lpwstr>17;#Communications|417a8908-a303-4a9d-a0cb-ab604f16792d</vt:lpwstr>
  </property>
  <property fmtid="{D5CDD505-2E9C-101B-9397-08002B2CF9AE}" pid="6" name="CPDepartment">
    <vt:lpwstr/>
  </property>
</Properties>
</file>