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20067" w14:textId="77777777" w:rsidR="00652B15" w:rsidRDefault="00A5736C" w:rsidP="00652B15">
      <w:pPr>
        <w:pStyle w:val="Heading1"/>
      </w:pPr>
      <w:r>
        <w:t>Stock-specific</w:t>
      </w:r>
      <w:r w:rsidR="00EC0C50" w:rsidRPr="007C4A81">
        <w:t xml:space="preserve"> Objectives and HCRs</w:t>
      </w:r>
      <w:r w:rsidR="00E0611C" w:rsidRPr="007C4A81">
        <w:t xml:space="preserve"> for Redfish </w:t>
      </w:r>
    </w:p>
    <w:p w14:paraId="61106F69" w14:textId="77777777" w:rsidR="00652B15" w:rsidRDefault="00652B15" w:rsidP="00E0611C">
      <w:pPr>
        <w:rPr>
          <w:b/>
          <w:bCs/>
        </w:rPr>
      </w:pPr>
    </w:p>
    <w:p w14:paraId="11CBAD10" w14:textId="54D62C82" w:rsidR="007B0685" w:rsidRDefault="00652B15" w:rsidP="00652B15">
      <w:pPr>
        <w:jc w:val="both"/>
        <w:rPr>
          <w:rFonts w:cstheme="minorHAnsi"/>
        </w:rPr>
      </w:pPr>
      <w:bookmarkStart w:id="0" w:name="_Hlk127191926"/>
      <w:r>
        <w:rPr>
          <w:rFonts w:cstheme="minorHAnsi"/>
          <w:b/>
          <w:bCs/>
        </w:rPr>
        <w:t xml:space="preserve">AGC Request: </w:t>
      </w:r>
      <w:r w:rsidRPr="00A5736C">
        <w:rPr>
          <w:rFonts w:cstheme="minorHAnsi"/>
        </w:rPr>
        <w:t>Potential ‘Straw-Man’ Stock-Specific Objectives and Harvest Control Rules</w:t>
      </w:r>
      <w:r w:rsidR="00C25C0F">
        <w:rPr>
          <w:rFonts w:cstheme="minorHAnsi"/>
        </w:rPr>
        <w:t xml:space="preserve"> (HCR)</w:t>
      </w:r>
      <w:r>
        <w:rPr>
          <w:rFonts w:cstheme="minorHAnsi"/>
          <w:b/>
          <w:bCs/>
        </w:rPr>
        <w:t xml:space="preserve"> </w:t>
      </w:r>
      <w:r>
        <w:rPr>
          <w:rFonts w:cstheme="minorHAnsi"/>
        </w:rPr>
        <w:t>for DFO to</w:t>
      </w:r>
      <w:r>
        <w:rPr>
          <w:rFonts w:cstheme="minorHAnsi"/>
          <w:b/>
          <w:bCs/>
        </w:rPr>
        <w:t xml:space="preserve"> </w:t>
      </w:r>
      <w:r w:rsidRPr="00A5736C">
        <w:rPr>
          <w:rFonts w:cstheme="minorHAnsi"/>
        </w:rPr>
        <w:t>utilize</w:t>
      </w:r>
      <w:r>
        <w:rPr>
          <w:rFonts w:cstheme="minorHAnsi"/>
        </w:rPr>
        <w:t xml:space="preserve"> or otherwise amend, </w:t>
      </w:r>
      <w:bookmarkStart w:id="1" w:name="_Hlk127192229"/>
      <w:r>
        <w:rPr>
          <w:rFonts w:cstheme="minorHAnsi"/>
        </w:rPr>
        <w:t xml:space="preserve">for tabling to respective advisory committees in accordance with a timeline to be articulated by February 28, 2023. </w:t>
      </w:r>
      <w:bookmarkEnd w:id="1"/>
    </w:p>
    <w:p w14:paraId="1AED5007" w14:textId="77777777" w:rsidR="007B0685" w:rsidRDefault="007B0685" w:rsidP="00652B15">
      <w:pPr>
        <w:jc w:val="both"/>
        <w:rPr>
          <w:rFonts w:cstheme="minorHAnsi"/>
        </w:rPr>
      </w:pPr>
    </w:p>
    <w:p w14:paraId="7BB443A6" w14:textId="3430E48E" w:rsidR="00652B15" w:rsidRDefault="00652B15" w:rsidP="00652B15">
      <w:pPr>
        <w:jc w:val="both"/>
        <w:rPr>
          <w:rFonts w:asciiTheme="minorHAnsi" w:hAnsiTheme="minorHAnsi" w:cstheme="minorHAnsi"/>
        </w:rPr>
      </w:pPr>
      <w:r>
        <w:rPr>
          <w:rFonts w:cstheme="minorHAnsi"/>
        </w:rPr>
        <w:t>These illustrations</w:t>
      </w:r>
      <w:r>
        <w:rPr>
          <w:rFonts w:cstheme="minorHAnsi"/>
          <w:b/>
          <w:bCs/>
        </w:rPr>
        <w:t xml:space="preserve"> </w:t>
      </w:r>
      <w:r>
        <w:rPr>
          <w:rFonts w:cstheme="minorHAnsi"/>
        </w:rPr>
        <w:t xml:space="preserve">are drawn from existing approaches to various domestic, transboundary and straddling redfish stocks off Eastern Canada, and are intended </w:t>
      </w:r>
      <w:r w:rsidR="00505F06">
        <w:rPr>
          <w:rFonts w:cstheme="minorHAnsi"/>
        </w:rPr>
        <w:t xml:space="preserve">exclusively </w:t>
      </w:r>
      <w:r>
        <w:rPr>
          <w:rFonts w:cstheme="minorHAnsi"/>
        </w:rPr>
        <w:t>to facilitate discussion by the respective advisory committees</w:t>
      </w:r>
      <w:r w:rsidR="00505F06">
        <w:rPr>
          <w:rFonts w:cstheme="minorHAnsi"/>
        </w:rPr>
        <w:t xml:space="preserve"> and should in no way be interpreted as</w:t>
      </w:r>
      <w:r w:rsidR="00533280">
        <w:rPr>
          <w:rFonts w:cstheme="minorHAnsi"/>
        </w:rPr>
        <w:t xml:space="preserve"> </w:t>
      </w:r>
      <w:bookmarkEnd w:id="0"/>
      <w:r w:rsidR="00533280">
        <w:rPr>
          <w:rFonts w:cstheme="minorHAnsi"/>
        </w:rPr>
        <w:t xml:space="preserve">confirmed fishery objectives and harvest decision rules. </w:t>
      </w:r>
      <w:r w:rsidR="007B0685">
        <w:rPr>
          <w:rFonts w:cstheme="minorHAnsi"/>
        </w:rPr>
        <w:t>It is important to note that departmental activities and timelines are subject to resource availability</w:t>
      </w:r>
      <w:r w:rsidR="00505F06">
        <w:rPr>
          <w:rFonts w:cstheme="minorHAnsi"/>
        </w:rPr>
        <w:t xml:space="preserve">, </w:t>
      </w:r>
      <w:r w:rsidR="007B0685">
        <w:rPr>
          <w:rFonts w:cstheme="minorHAnsi"/>
        </w:rPr>
        <w:t>other priority items</w:t>
      </w:r>
      <w:r w:rsidR="00505F06">
        <w:rPr>
          <w:rFonts w:cstheme="minorHAnsi"/>
        </w:rPr>
        <w:t xml:space="preserve"> and in some instances, other management organizations (</w:t>
      </w:r>
      <w:proofErr w:type="gramStart"/>
      <w:r w:rsidR="00533280">
        <w:rPr>
          <w:rFonts w:cstheme="minorHAnsi"/>
        </w:rPr>
        <w:t>i.e.</w:t>
      </w:r>
      <w:proofErr w:type="gramEnd"/>
      <w:r w:rsidR="00533280">
        <w:rPr>
          <w:rFonts w:cstheme="minorHAnsi"/>
        </w:rPr>
        <w:t xml:space="preserve"> North Atlantic Fisheries Organization - </w:t>
      </w:r>
      <w:r w:rsidR="00505F06">
        <w:rPr>
          <w:rFonts w:cstheme="minorHAnsi"/>
        </w:rPr>
        <w:t>NAFO)</w:t>
      </w:r>
      <w:r w:rsidR="007B0685">
        <w:rPr>
          <w:rFonts w:cstheme="minorHAnsi"/>
        </w:rPr>
        <w:t>.</w:t>
      </w:r>
    </w:p>
    <w:p w14:paraId="48817ACD" w14:textId="77777777" w:rsidR="00652B15" w:rsidRDefault="00652B15" w:rsidP="00652B15">
      <w:pPr>
        <w:pStyle w:val="Heading2"/>
      </w:pPr>
    </w:p>
    <w:p w14:paraId="77A07724" w14:textId="4D942CA4" w:rsidR="00E0611C" w:rsidRPr="007C4A81" w:rsidRDefault="00E0611C" w:rsidP="00652B15">
      <w:pPr>
        <w:pStyle w:val="Heading2"/>
      </w:pPr>
      <w:r w:rsidRPr="007C4A81">
        <w:t>Unit</w:t>
      </w:r>
      <w:r w:rsidR="00A5736C">
        <w:t>s</w:t>
      </w:r>
      <w:r w:rsidRPr="007C4A81">
        <w:t xml:space="preserve"> 1</w:t>
      </w:r>
      <w:r w:rsidR="00A5736C">
        <w:t xml:space="preserve"> and</w:t>
      </w:r>
      <w:r w:rsidRPr="007C4A81">
        <w:t xml:space="preserve"> 2</w:t>
      </w:r>
    </w:p>
    <w:p w14:paraId="79EE44B8" w14:textId="7DD896B2" w:rsidR="006C3D91" w:rsidRDefault="00652B15" w:rsidP="003718FD">
      <w:r>
        <w:t>The following high-level stock-specific and fishery objectives and HCRs are informed by the most recent available Management Strategy Evaluation (MSE) conducted in 2018</w:t>
      </w:r>
      <w:r w:rsidR="00B43863">
        <w:t>,</w:t>
      </w:r>
      <w:r>
        <w:t xml:space="preserve"> as well as by applicable elements of objectives and HCRs from other redfish stocks.  However, </w:t>
      </w:r>
      <w:r w:rsidR="003718FD">
        <w:t>it should be noted that the Redfish Unit 1 + 2 MSE (2018) was</w:t>
      </w:r>
      <w:r w:rsidR="00AF2859">
        <w:t xml:space="preserve"> completed </w:t>
      </w:r>
      <w:r w:rsidR="00E0611C">
        <w:t>in 2018</w:t>
      </w:r>
      <w:r w:rsidR="00886BC4">
        <w:t xml:space="preserve">, but </w:t>
      </w:r>
      <w:r w:rsidR="00B43863">
        <w:t xml:space="preserve">the </w:t>
      </w:r>
      <w:r w:rsidR="00115C40">
        <w:t xml:space="preserve">Objectives/HCRs </w:t>
      </w:r>
      <w:r w:rsidR="003718FD">
        <w:t xml:space="preserve">were </w:t>
      </w:r>
      <w:r w:rsidR="006C3D91">
        <w:t xml:space="preserve">not officially </w:t>
      </w:r>
      <w:r w:rsidR="00115C40">
        <w:t>adopted</w:t>
      </w:r>
      <w:r w:rsidR="006C3D91">
        <w:t xml:space="preserve"> by</w:t>
      </w:r>
      <w:r w:rsidR="00B43863">
        <w:t xml:space="preserve"> the</w:t>
      </w:r>
      <w:r w:rsidR="006C3D91">
        <w:t xml:space="preserve"> R</w:t>
      </w:r>
      <w:r w:rsidR="003718FD">
        <w:t>edfish Advisory Committee (RAC) for the following reasons:</w:t>
      </w:r>
    </w:p>
    <w:p w14:paraId="79EBCE79" w14:textId="20649005" w:rsidR="003718FD" w:rsidRDefault="003718FD" w:rsidP="0097261B">
      <w:pPr>
        <w:pStyle w:val="ListParagraph"/>
        <w:numPr>
          <w:ilvl w:val="1"/>
          <w:numId w:val="10"/>
        </w:numPr>
        <w:ind w:left="720"/>
      </w:pPr>
      <w:r>
        <w:t>MSE (2018) is based on limited fisheries data from index and experimental fisheries due to moratorium since 1995.</w:t>
      </w:r>
    </w:p>
    <w:p w14:paraId="36664E56" w14:textId="0FE267D9" w:rsidR="006C3D91" w:rsidRDefault="006C3D91" w:rsidP="0097261B">
      <w:pPr>
        <w:pStyle w:val="ListParagraph"/>
        <w:numPr>
          <w:ilvl w:val="1"/>
          <w:numId w:val="1"/>
        </w:numPr>
        <w:ind w:left="720"/>
      </w:pPr>
      <w:r>
        <w:t>Operational models were developed before the fish were recruited, so the stock dynamics may have changed</w:t>
      </w:r>
      <w:r w:rsidR="008D5969">
        <w:t xml:space="preserve"> and this MSE may not be appli</w:t>
      </w:r>
      <w:r w:rsidR="00167798">
        <w:t>c</w:t>
      </w:r>
      <w:r w:rsidR="008D5969">
        <w:t>able, new Science needed</w:t>
      </w:r>
      <w:r w:rsidR="00167798">
        <w:t>.</w:t>
      </w:r>
    </w:p>
    <w:p w14:paraId="039D8838" w14:textId="6F001118" w:rsidR="00937445" w:rsidRDefault="006C3D91" w:rsidP="0097261B">
      <w:pPr>
        <w:pStyle w:val="ListParagraph"/>
        <w:numPr>
          <w:ilvl w:val="1"/>
          <w:numId w:val="1"/>
        </w:numPr>
        <w:ind w:left="720"/>
      </w:pPr>
      <w:r>
        <w:t xml:space="preserve">S. </w:t>
      </w:r>
      <w:proofErr w:type="spellStart"/>
      <w:r>
        <w:t>mentella</w:t>
      </w:r>
      <w:proofErr w:type="spellEnd"/>
      <w:r>
        <w:t xml:space="preserve"> status changed </w:t>
      </w:r>
      <w:r w:rsidR="00167798">
        <w:t xml:space="preserve">to </w:t>
      </w:r>
      <w:r w:rsidR="008D5969">
        <w:t>Healthy Zone</w:t>
      </w:r>
      <w:r>
        <w:t xml:space="preserve"> from when the 2018 MSE was </w:t>
      </w:r>
      <w:r w:rsidR="00167798">
        <w:t>completed</w:t>
      </w:r>
      <w:r w:rsidR="003718FD">
        <w:t xml:space="preserve"> (</w:t>
      </w:r>
      <w:hyperlink r:id="rId6" w:history="1">
        <w:r w:rsidR="003718FD" w:rsidRPr="003718FD">
          <w:rPr>
            <w:rStyle w:val="Hyperlink"/>
          </w:rPr>
          <w:t>Science Advisory Report 2020/19</w:t>
        </w:r>
      </w:hyperlink>
      <w:r w:rsidR="003718FD">
        <w:t>).</w:t>
      </w:r>
    </w:p>
    <w:p w14:paraId="7DFFA9F2" w14:textId="4D0A64C9" w:rsidR="0097261B" w:rsidRDefault="0097261B" w:rsidP="00533280">
      <w:r>
        <w:t xml:space="preserve">Further, no </w:t>
      </w:r>
      <w:proofErr w:type="gramStart"/>
      <w:r>
        <w:t>empirically-derived</w:t>
      </w:r>
      <w:proofErr w:type="gramEnd"/>
      <w:r>
        <w:t xml:space="preserve"> Reference Points have been discussed at the RAC, and certain reference points remain to be established. </w:t>
      </w:r>
    </w:p>
    <w:p w14:paraId="42C26EC2" w14:textId="54279CFA" w:rsidR="00115C40" w:rsidRDefault="00115C40" w:rsidP="00115C40"/>
    <w:p w14:paraId="5E1C88D5" w14:textId="66708A4A" w:rsidR="009B6B16" w:rsidRDefault="003E3A74" w:rsidP="00836972">
      <w:pPr>
        <w:rPr>
          <w:b/>
          <w:bCs/>
        </w:rPr>
      </w:pPr>
      <w:r>
        <w:rPr>
          <w:b/>
          <w:bCs/>
        </w:rPr>
        <w:t>Illustrative</w:t>
      </w:r>
      <w:r w:rsidR="00B43863">
        <w:rPr>
          <w:b/>
          <w:bCs/>
        </w:rPr>
        <w:t xml:space="preserve"> </w:t>
      </w:r>
      <w:r w:rsidR="00836972" w:rsidRPr="007C4A81">
        <w:rPr>
          <w:b/>
          <w:bCs/>
        </w:rPr>
        <w:t>Stock and Fishery Objectives</w:t>
      </w:r>
    </w:p>
    <w:p w14:paraId="573671B4" w14:textId="5EB4E194" w:rsidR="00533280" w:rsidRDefault="00533280" w:rsidP="00836972">
      <w:pPr>
        <w:rPr>
          <w:b/>
          <w:bCs/>
        </w:rPr>
      </w:pPr>
    </w:p>
    <w:p w14:paraId="5C3EC6C7" w14:textId="287D34E3" w:rsidR="00533280" w:rsidRPr="00533280" w:rsidRDefault="00533280" w:rsidP="00836972">
      <w:r w:rsidRPr="00533280">
        <w:t>Stock Objectives:</w:t>
      </w:r>
    </w:p>
    <w:p w14:paraId="6662A7A1" w14:textId="7626613B" w:rsidR="00533280" w:rsidRPr="00533280" w:rsidRDefault="00533280" w:rsidP="00533280">
      <w:pPr>
        <w:pStyle w:val="ListParagraph"/>
        <w:numPr>
          <w:ilvl w:val="0"/>
          <w:numId w:val="14"/>
        </w:numPr>
        <w:rPr>
          <w:rFonts w:eastAsia="Times New Roman"/>
          <w:bCs/>
          <w:color w:val="000000"/>
          <w:lang w:val="en-CA"/>
        </w:rPr>
      </w:pPr>
      <w:r w:rsidRPr="00533280">
        <w:rPr>
          <w:rFonts w:eastAsia="Times New Roman"/>
          <w:bCs/>
          <w:color w:val="000000"/>
        </w:rPr>
        <w:t xml:space="preserve">Increase the spawning stock biomass (SSB) of </w:t>
      </w:r>
      <w:r w:rsidRPr="00533280">
        <w:rPr>
          <w:i/>
          <w:iCs/>
        </w:rPr>
        <w:t xml:space="preserve">S. </w:t>
      </w:r>
      <w:proofErr w:type="spellStart"/>
      <w:r w:rsidRPr="00533280">
        <w:rPr>
          <w:i/>
          <w:iCs/>
        </w:rPr>
        <w:t>mentella</w:t>
      </w:r>
      <w:proofErr w:type="spellEnd"/>
      <w:r w:rsidRPr="002A1653">
        <w:t xml:space="preserve"> and </w:t>
      </w:r>
      <w:r w:rsidRPr="00533280">
        <w:rPr>
          <w:i/>
          <w:iCs/>
        </w:rPr>
        <w:t>S. fasciatus</w:t>
      </w:r>
      <w:r w:rsidRPr="00533280">
        <w:rPr>
          <w:rFonts w:eastAsia="Times New Roman"/>
          <w:bCs/>
          <w:color w:val="000000"/>
        </w:rPr>
        <w:t xml:space="preserve"> above the Limit Reference Point (LRP) and into the Healthy Zone (i.e</w:t>
      </w:r>
      <w:r w:rsidRPr="00533280">
        <w:rPr>
          <w:color w:val="000000" w:themeColor="text1"/>
        </w:rPr>
        <w:t xml:space="preserve">., above </w:t>
      </w:r>
      <w:r w:rsidR="00F276FB">
        <w:rPr>
          <w:color w:val="000000" w:themeColor="text1"/>
        </w:rPr>
        <w:t xml:space="preserve">the </w:t>
      </w:r>
      <w:r w:rsidRPr="00533280">
        <w:rPr>
          <w:color w:val="000000" w:themeColor="text1"/>
        </w:rPr>
        <w:t>U</w:t>
      </w:r>
      <w:r w:rsidR="00F276FB">
        <w:rPr>
          <w:color w:val="000000" w:themeColor="text1"/>
        </w:rPr>
        <w:t xml:space="preserve">pper </w:t>
      </w:r>
      <w:r w:rsidRPr="00533280">
        <w:rPr>
          <w:color w:val="000000" w:themeColor="text1"/>
        </w:rPr>
        <w:t>S</w:t>
      </w:r>
      <w:r w:rsidR="00F276FB">
        <w:rPr>
          <w:color w:val="000000" w:themeColor="text1"/>
        </w:rPr>
        <w:t xml:space="preserve">tock </w:t>
      </w:r>
      <w:r w:rsidRPr="00533280">
        <w:rPr>
          <w:color w:val="000000" w:themeColor="text1"/>
        </w:rPr>
        <w:t>R</w:t>
      </w:r>
      <w:r w:rsidR="00F276FB">
        <w:rPr>
          <w:color w:val="000000" w:themeColor="text1"/>
        </w:rPr>
        <w:t>eference (USR)</w:t>
      </w:r>
      <w:r w:rsidR="00814C71">
        <w:rPr>
          <w:color w:val="000000" w:themeColor="text1"/>
        </w:rPr>
        <w:t xml:space="preserve"> point</w:t>
      </w:r>
      <w:r w:rsidRPr="00533280">
        <w:rPr>
          <w:rFonts w:eastAsia="Times New Roman"/>
          <w:bCs/>
          <w:color w:val="000000"/>
          <w:lang w:val="en-CA"/>
        </w:rPr>
        <w:t>).</w:t>
      </w:r>
    </w:p>
    <w:p w14:paraId="5EE8E661" w14:textId="5DEB0864" w:rsidR="00533280" w:rsidRPr="00533280" w:rsidRDefault="00533280" w:rsidP="00533280">
      <w:pPr>
        <w:pStyle w:val="ListParagraph"/>
        <w:numPr>
          <w:ilvl w:val="0"/>
          <w:numId w:val="14"/>
        </w:numPr>
        <w:rPr>
          <w:rFonts w:eastAsia="Times New Roman"/>
          <w:bCs/>
          <w:color w:val="000000"/>
          <w:lang w:val="en-CA"/>
        </w:rPr>
      </w:pPr>
      <w:r>
        <w:t>M</w:t>
      </w:r>
      <w:r w:rsidRPr="002A1653">
        <w:t xml:space="preserve">aintain SSB of </w:t>
      </w:r>
      <w:r w:rsidRPr="00533280">
        <w:rPr>
          <w:i/>
          <w:iCs/>
        </w:rPr>
        <w:t xml:space="preserve">S. </w:t>
      </w:r>
      <w:proofErr w:type="spellStart"/>
      <w:r w:rsidRPr="00533280">
        <w:rPr>
          <w:i/>
          <w:iCs/>
        </w:rPr>
        <w:t>mentella</w:t>
      </w:r>
      <w:proofErr w:type="spellEnd"/>
      <w:r w:rsidRPr="002A1653">
        <w:t xml:space="preserve"> and </w:t>
      </w:r>
      <w:r w:rsidRPr="00533280">
        <w:rPr>
          <w:i/>
          <w:iCs/>
        </w:rPr>
        <w:t>S. fasciatus</w:t>
      </w:r>
      <w:r w:rsidRPr="002A1653">
        <w:t xml:space="preserve"> above the Critical Zone, </w:t>
      </w:r>
      <w:r w:rsidRPr="00533280">
        <w:rPr>
          <w:color w:val="000000" w:themeColor="text1"/>
        </w:rPr>
        <w:t>and in the Healthy Zone (i.e., above USR).</w:t>
      </w:r>
    </w:p>
    <w:p w14:paraId="5D9259BF" w14:textId="47A00395" w:rsidR="00533280" w:rsidRDefault="00533280" w:rsidP="001F72BE">
      <w:pPr>
        <w:pStyle w:val="ListParagraph"/>
        <w:numPr>
          <w:ilvl w:val="0"/>
          <w:numId w:val="14"/>
        </w:numPr>
      </w:pPr>
      <w:r>
        <w:t>Avoid a decline in biomass below an established reference point.</w:t>
      </w:r>
    </w:p>
    <w:p w14:paraId="0C79F015" w14:textId="77777777" w:rsidR="00533280" w:rsidRDefault="00533280" w:rsidP="00836972"/>
    <w:p w14:paraId="18397D17" w14:textId="31FC4003" w:rsidR="00533280" w:rsidRDefault="00533280" w:rsidP="00836972">
      <w:r>
        <w:t>Fishery Objectives:</w:t>
      </w:r>
    </w:p>
    <w:p w14:paraId="60A37BB5" w14:textId="2040F0BA" w:rsidR="00533280" w:rsidRPr="00533280" w:rsidRDefault="00533280" w:rsidP="00533280">
      <w:pPr>
        <w:pStyle w:val="ListParagraph"/>
        <w:numPr>
          <w:ilvl w:val="0"/>
          <w:numId w:val="13"/>
        </w:numPr>
        <w:jc w:val="both"/>
        <w:rPr>
          <w:rFonts w:asciiTheme="minorHAnsi" w:hAnsiTheme="minorHAnsi" w:cstheme="minorHAnsi"/>
          <w:b/>
          <w:bCs/>
          <w:u w:val="single"/>
        </w:rPr>
      </w:pPr>
      <w:r w:rsidRPr="00533280">
        <w:rPr>
          <w:rFonts w:cstheme="minorHAnsi"/>
        </w:rPr>
        <w:t>Mitigate steep declines in biomass.</w:t>
      </w:r>
    </w:p>
    <w:p w14:paraId="35308B5B" w14:textId="4F399B72" w:rsidR="00533280" w:rsidRPr="00533280" w:rsidRDefault="00814C71" w:rsidP="00533280">
      <w:pPr>
        <w:pStyle w:val="ListParagraph"/>
        <w:numPr>
          <w:ilvl w:val="0"/>
          <w:numId w:val="13"/>
        </w:numPr>
        <w:rPr>
          <w:b/>
          <w:bCs/>
        </w:rPr>
      </w:pPr>
      <w:r w:rsidRPr="00814C71">
        <w:rPr>
          <w:lang w:val="en-CA"/>
        </w:rPr>
        <w:t xml:space="preserve"> </w:t>
      </w:r>
      <w:r w:rsidRPr="00C50DD4">
        <w:rPr>
          <w:lang w:val="en-CA"/>
        </w:rPr>
        <w:t>Avoid large inter-annual fluctuation in TACs</w:t>
      </w:r>
      <w:r>
        <w:rPr>
          <w:lang w:val="en-CA"/>
        </w:rPr>
        <w:t>.</w:t>
      </w:r>
    </w:p>
    <w:p w14:paraId="30CA3A0A" w14:textId="6101BAF2" w:rsidR="00533280" w:rsidRPr="00533280" w:rsidRDefault="00533280" w:rsidP="00533280">
      <w:pPr>
        <w:pStyle w:val="ListParagraph"/>
        <w:numPr>
          <w:ilvl w:val="0"/>
          <w:numId w:val="13"/>
        </w:numPr>
        <w:rPr>
          <w:b/>
          <w:bCs/>
        </w:rPr>
      </w:pPr>
      <w:r w:rsidRPr="00A100F3">
        <w:t>Maximize the duration of high annual catch</w:t>
      </w:r>
      <w:r>
        <w:t>.</w:t>
      </w:r>
    </w:p>
    <w:p w14:paraId="6F397440" w14:textId="77777777" w:rsidR="00533280" w:rsidRPr="007C4A81" w:rsidRDefault="00533280" w:rsidP="00836972">
      <w:pPr>
        <w:rPr>
          <w:b/>
          <w:bCs/>
        </w:rPr>
      </w:pPr>
    </w:p>
    <w:p w14:paraId="72242BDC" w14:textId="7EAE1A6E" w:rsidR="00836972" w:rsidRPr="008B7944" w:rsidRDefault="003E3A74" w:rsidP="00937445">
      <w:pPr>
        <w:rPr>
          <w:b/>
          <w:bCs/>
        </w:rPr>
      </w:pPr>
      <w:r>
        <w:rPr>
          <w:b/>
          <w:bCs/>
        </w:rPr>
        <w:t>Illustrative</w:t>
      </w:r>
      <w:r w:rsidR="00B43863">
        <w:rPr>
          <w:b/>
          <w:bCs/>
        </w:rPr>
        <w:t xml:space="preserve"> </w:t>
      </w:r>
      <w:r w:rsidR="00836972" w:rsidRPr="008B7944">
        <w:rPr>
          <w:b/>
          <w:bCs/>
        </w:rPr>
        <w:t>Harvest Control Rules</w:t>
      </w:r>
    </w:p>
    <w:p w14:paraId="29E365FE" w14:textId="5F839217" w:rsidR="008D789D" w:rsidRPr="000420F4" w:rsidRDefault="008D789D" w:rsidP="00533280">
      <w:r>
        <w:lastRenderedPageBreak/>
        <w:t xml:space="preserve">The following Harvest Control Rules are based on </w:t>
      </w:r>
      <w:r>
        <w:rPr>
          <w:color w:val="000000" w:themeColor="text1"/>
        </w:rPr>
        <w:t>the best available guidance from the Precautionary Approach (PA) decision-making framework for implementing harvest strategies where one does not currently exist (</w:t>
      </w:r>
      <w:hyperlink r:id="rId7" w:history="1">
        <w:r w:rsidRPr="008D789D">
          <w:rPr>
            <w:rStyle w:val="Hyperlink"/>
          </w:rPr>
          <w:t>Annex 1b</w:t>
        </w:r>
      </w:hyperlink>
      <w:r>
        <w:rPr>
          <w:color w:val="000000" w:themeColor="text1"/>
        </w:rPr>
        <w:t xml:space="preserve">). It should be noted that </w:t>
      </w:r>
      <w:proofErr w:type="gramStart"/>
      <w:r>
        <w:t>empirically-based</w:t>
      </w:r>
      <w:proofErr w:type="gramEnd"/>
      <w:r>
        <w:t xml:space="preserve"> models and stock-specific HCRs have not been developed for Unit 1 + 2, and therefore the empirical values symbolized in the variables below cannot be defined at this time.</w:t>
      </w:r>
    </w:p>
    <w:p w14:paraId="1FF07328" w14:textId="667E8871" w:rsidR="00836972" w:rsidRDefault="00836972" w:rsidP="00937445"/>
    <w:p w14:paraId="44E724E6" w14:textId="7F829F7D" w:rsidR="008D789D" w:rsidRDefault="008D789D" w:rsidP="00373671">
      <w:pPr>
        <w:rPr>
          <w:color w:val="000000" w:themeColor="text1"/>
        </w:rPr>
      </w:pPr>
      <w:r>
        <w:rPr>
          <w:color w:val="000000" w:themeColor="text1"/>
        </w:rPr>
        <w:t>A placeholder HCR for Unit I + 2 Redfish could resemble:</w:t>
      </w:r>
    </w:p>
    <w:p w14:paraId="056F0D66" w14:textId="5F6AF073" w:rsidR="00373671" w:rsidRDefault="00373671" w:rsidP="00373671">
      <w:pPr>
        <w:pStyle w:val="ListParagraph"/>
        <w:numPr>
          <w:ilvl w:val="0"/>
          <w:numId w:val="2"/>
        </w:numPr>
      </w:pPr>
      <w:r>
        <w:t>When</w:t>
      </w:r>
      <w:r w:rsidR="00C61BBE">
        <w:t xml:space="preserve"> the</w:t>
      </w:r>
      <w:r>
        <w:t xml:space="preserve"> </w:t>
      </w:r>
      <w:r w:rsidR="00C61BBE">
        <w:t xml:space="preserve">stock </w:t>
      </w:r>
      <w:r>
        <w:t xml:space="preserve">biomass is in the Healthy zone (i.e., above USR), TAC would be set to a maximum exploitation rate </w:t>
      </w:r>
      <w:r w:rsidR="00361394">
        <w:t>[x]%, which is</w:t>
      </w:r>
      <w:r>
        <w:t xml:space="preserve"> less than </w:t>
      </w:r>
      <w:proofErr w:type="spellStart"/>
      <w:r>
        <w:t>Fmsy</w:t>
      </w:r>
      <w:proofErr w:type="spellEnd"/>
      <w:r>
        <w:t>.</w:t>
      </w:r>
    </w:p>
    <w:p w14:paraId="0DAC4908" w14:textId="700D49F0" w:rsidR="00373671" w:rsidRDefault="00373671" w:rsidP="00373671">
      <w:pPr>
        <w:pStyle w:val="ListParagraph"/>
        <w:numPr>
          <w:ilvl w:val="0"/>
          <w:numId w:val="2"/>
        </w:numPr>
      </w:pPr>
      <w:r>
        <w:t xml:space="preserve">When the </w:t>
      </w:r>
      <w:r w:rsidR="00C61BBE">
        <w:t>stock biomass</w:t>
      </w:r>
      <w:r>
        <w:t xml:space="preserve"> is in the Healthy Zone (</w:t>
      </w:r>
      <w:r w:rsidR="00DD2260">
        <w:t xml:space="preserve">i.e., </w:t>
      </w:r>
      <w:r>
        <w:t xml:space="preserve">above USR) and the stock biomass exceeds </w:t>
      </w:r>
      <w:r w:rsidR="00901BC6">
        <w:t>an established reference point</w:t>
      </w:r>
      <w:r>
        <w:t xml:space="preserve">, TAC can increase above the Healthy Zone maximum exploitation rate </w:t>
      </w:r>
      <w:r w:rsidR="00361394">
        <w:t>[</w:t>
      </w:r>
      <w:r>
        <w:t>x</w:t>
      </w:r>
      <w:r w:rsidR="00361394">
        <w:t>]</w:t>
      </w:r>
      <w:r>
        <w:t xml:space="preserve">% to an increased maximum upper limit </w:t>
      </w:r>
      <w:r w:rsidR="00361394">
        <w:t>of [</w:t>
      </w:r>
      <w:r>
        <w:t>y</w:t>
      </w:r>
      <w:r w:rsidR="00361394">
        <w:t>]</w:t>
      </w:r>
      <w:r>
        <w:t>%.</w:t>
      </w:r>
    </w:p>
    <w:p w14:paraId="31540FCF" w14:textId="77777777" w:rsidR="00DD2260" w:rsidRDefault="00373671" w:rsidP="00373671">
      <w:pPr>
        <w:pStyle w:val="ListParagraph"/>
        <w:numPr>
          <w:ilvl w:val="0"/>
          <w:numId w:val="2"/>
        </w:numPr>
        <w:spacing w:after="160" w:line="259" w:lineRule="auto"/>
      </w:pPr>
      <w:r>
        <w:t xml:space="preserve">When biomass is in the Cautious Zone (i.e., </w:t>
      </w:r>
      <w:r w:rsidR="00DD2260">
        <w:t>&lt;</w:t>
      </w:r>
      <w:r>
        <w:t xml:space="preserve"> USR</w:t>
      </w:r>
      <w:r w:rsidR="00DD2260">
        <w:t xml:space="preserve"> but &gt; LRP</w:t>
      </w:r>
      <w:r>
        <w:t>) the TAC would be set to a lower maximum exploitation rate than when in the Healthy Zone.</w:t>
      </w:r>
    </w:p>
    <w:p w14:paraId="47023738" w14:textId="1F4B6DE3" w:rsidR="00373671" w:rsidRDefault="00373671" w:rsidP="00DD2260">
      <w:pPr>
        <w:pStyle w:val="ListParagraph"/>
        <w:numPr>
          <w:ilvl w:val="1"/>
          <w:numId w:val="2"/>
        </w:numPr>
        <w:spacing w:after="160" w:line="259" w:lineRule="auto"/>
      </w:pPr>
      <w:r>
        <w:t>Furthermore, the exploitation rate would be progressively lowered as the stock trend declines within the</w:t>
      </w:r>
      <w:r w:rsidR="00C25C0F">
        <w:t xml:space="preserve"> </w:t>
      </w:r>
      <w:r w:rsidR="00805798">
        <w:t>H</w:t>
      </w:r>
      <w:r w:rsidR="00C25C0F">
        <w:t xml:space="preserve">ealthy </w:t>
      </w:r>
      <w:r w:rsidR="00805798">
        <w:t>Z</w:t>
      </w:r>
      <w:r>
        <w:t>one.</w:t>
      </w:r>
    </w:p>
    <w:p w14:paraId="3B0D3C08" w14:textId="469861EC" w:rsidR="00373671" w:rsidRDefault="00373671" w:rsidP="00DD2260">
      <w:pPr>
        <w:pStyle w:val="ListParagraph"/>
        <w:numPr>
          <w:ilvl w:val="1"/>
          <w:numId w:val="2"/>
        </w:numPr>
        <w:spacing w:after="160" w:line="259" w:lineRule="auto"/>
      </w:pPr>
      <w:r>
        <w:t xml:space="preserve">e.g., TAC is set to a maximum exploitation rate of </w:t>
      </w:r>
      <w:r w:rsidR="00361394">
        <w:t>[</w:t>
      </w:r>
      <w:r w:rsidR="00DD2260">
        <w:t>x</w:t>
      </w:r>
      <w:r w:rsidR="00361394">
        <w:t>]</w:t>
      </w:r>
      <w:r>
        <w:t xml:space="preserve">% when </w:t>
      </w:r>
      <w:r w:rsidR="00DD2260">
        <w:t>biomass</w:t>
      </w:r>
      <w:r>
        <w:t xml:space="preserve"> is near the upper portion of the USR threshold</w:t>
      </w:r>
      <w:r w:rsidR="00FE297B">
        <w:t>.</w:t>
      </w:r>
    </w:p>
    <w:p w14:paraId="1B73F0DD" w14:textId="5EF16224" w:rsidR="00373671" w:rsidRDefault="00373671" w:rsidP="00DD2260">
      <w:pPr>
        <w:pStyle w:val="ListParagraph"/>
        <w:numPr>
          <w:ilvl w:val="1"/>
          <w:numId w:val="2"/>
        </w:numPr>
        <w:spacing w:after="160" w:line="259" w:lineRule="auto"/>
      </w:pPr>
      <w:r>
        <w:t xml:space="preserve">If </w:t>
      </w:r>
      <w:r w:rsidR="00DD2260">
        <w:t>biomass</w:t>
      </w:r>
      <w:r>
        <w:t xml:space="preserve"> declines (or is on a declining trajectory)</w:t>
      </w:r>
      <w:r w:rsidR="00DD2260">
        <w:t>,</w:t>
      </w:r>
      <w:r>
        <w:t xml:space="preserve"> TAC could be lowered to </w:t>
      </w:r>
      <w:r w:rsidR="00361394">
        <w:t>[</w:t>
      </w:r>
      <w:r w:rsidR="00DD2260">
        <w:t>y</w:t>
      </w:r>
      <w:r w:rsidR="00361394">
        <w:t>]</w:t>
      </w:r>
      <w:r>
        <w:t xml:space="preserve">% as </w:t>
      </w:r>
      <w:r w:rsidR="00FE297B">
        <w:t>biomass</w:t>
      </w:r>
      <w:r>
        <w:t xml:space="preserve"> declines towards the middle range of USR</w:t>
      </w:r>
      <w:r w:rsidR="00DD2260">
        <w:t>,</w:t>
      </w:r>
      <w:r>
        <w:t xml:space="preserve"> and further</w:t>
      </w:r>
      <w:r w:rsidR="00DD2260">
        <w:t xml:space="preserve"> reduced</w:t>
      </w:r>
      <w:r>
        <w:t xml:space="preserve"> to </w:t>
      </w:r>
      <w:r w:rsidR="00361394">
        <w:t>[</w:t>
      </w:r>
      <w:r w:rsidR="00DD2260">
        <w:t>z</w:t>
      </w:r>
      <w:r w:rsidR="00361394">
        <w:t>]</w:t>
      </w:r>
      <w:r>
        <w:t>% when at the lower range within USR</w:t>
      </w:r>
      <w:r w:rsidR="00FE297B">
        <w:t>.</w:t>
      </w:r>
    </w:p>
    <w:p w14:paraId="66182AD4" w14:textId="512D6895" w:rsidR="00FE297B" w:rsidRDefault="00373671" w:rsidP="00FE297B">
      <w:pPr>
        <w:pStyle w:val="ListParagraph"/>
        <w:numPr>
          <w:ilvl w:val="0"/>
          <w:numId w:val="2"/>
        </w:numPr>
        <w:spacing w:after="160" w:line="259" w:lineRule="auto"/>
      </w:pPr>
      <w:r>
        <w:t>When biomass is in the Critical zone (i.e., below LRP), exploitation rate would be kept to an absolute minimum</w:t>
      </w:r>
      <w:r w:rsidR="00EE0C2D">
        <w:t xml:space="preserve"> (or no directed fishing)</w:t>
      </w:r>
      <w:r>
        <w:t xml:space="preserve">, with TAC set to a low maximum exploitation rate that is consistent with the rebuilding </w:t>
      </w:r>
      <w:r w:rsidR="004A0CEC">
        <w:t xml:space="preserve">of the stock </w:t>
      </w:r>
      <w:r>
        <w:t>and permits growth of the stock (conservation considerations prevail).</w:t>
      </w:r>
    </w:p>
    <w:p w14:paraId="650D9C04" w14:textId="61334E26" w:rsidR="00373671" w:rsidRDefault="00373671" w:rsidP="00FE297B">
      <w:pPr>
        <w:pStyle w:val="ListParagraph"/>
        <w:numPr>
          <w:ilvl w:val="1"/>
          <w:numId w:val="2"/>
        </w:numPr>
        <w:spacing w:after="160" w:line="259" w:lineRule="auto"/>
      </w:pPr>
      <w:r>
        <w:t xml:space="preserve">e.g., TAC is set to a maximum exploitation rate of </w:t>
      </w:r>
      <w:r w:rsidR="00FE297B">
        <w:t>[x]</w:t>
      </w:r>
      <w:r>
        <w:t>% when biomass is below LRP</w:t>
      </w:r>
    </w:p>
    <w:p w14:paraId="0849FB46" w14:textId="0C4F232A" w:rsidR="00EE0C2D" w:rsidRDefault="00EE0C2D" w:rsidP="00EE0C2D">
      <w:pPr>
        <w:pStyle w:val="ListParagraph"/>
        <w:numPr>
          <w:ilvl w:val="0"/>
          <w:numId w:val="2"/>
        </w:numPr>
        <w:spacing w:after="160" w:line="259" w:lineRule="auto"/>
      </w:pPr>
      <w:r>
        <w:t xml:space="preserve">When biomass is in the Critical zone, bycatch </w:t>
      </w:r>
      <w:r w:rsidR="004A0CEC">
        <w:t xml:space="preserve">of Unit 1 and 2 redfish </w:t>
      </w:r>
      <w:r>
        <w:t>should be restricted to unavoidable by-catch in fisheries directing for other species.</w:t>
      </w:r>
    </w:p>
    <w:p w14:paraId="614810E4" w14:textId="6D0ACAF8" w:rsidR="009C7D3E" w:rsidRDefault="003E3A74" w:rsidP="009C7D3E">
      <w:pPr>
        <w:rPr>
          <w:b/>
          <w:bCs/>
        </w:rPr>
      </w:pPr>
      <w:r>
        <w:rPr>
          <w:b/>
          <w:bCs/>
        </w:rPr>
        <w:t xml:space="preserve">Potential </w:t>
      </w:r>
      <w:r w:rsidR="008D789D" w:rsidRPr="00EF27D7">
        <w:rPr>
          <w:b/>
          <w:bCs/>
        </w:rPr>
        <w:t>Stakeholder Consultation Timelines:</w:t>
      </w:r>
    </w:p>
    <w:p w14:paraId="365B6F17" w14:textId="6DFEFFD7" w:rsidR="00E26AE3" w:rsidRDefault="00E26AE3" w:rsidP="00E26AE3">
      <w:pPr>
        <w:rPr>
          <w:b/>
          <w:bCs/>
        </w:rPr>
      </w:pPr>
      <w:r w:rsidRPr="00C55D81">
        <w:t xml:space="preserve">Stakeholders will be consulted </w:t>
      </w:r>
      <w:r>
        <w:t>on the proposed hypothetical HCRs and fishery objectives through</w:t>
      </w:r>
      <w:r w:rsidRPr="00C55D81">
        <w:t xml:space="preserve"> the </w:t>
      </w:r>
      <w:r>
        <w:t>Redfish Advisory Committee</w:t>
      </w:r>
      <w:r w:rsidRPr="00C55D81">
        <w:t xml:space="preserve"> (</w:t>
      </w:r>
      <w:r>
        <w:t>R</w:t>
      </w:r>
      <w:r w:rsidRPr="00C55D81">
        <w:t>AC)</w:t>
      </w:r>
      <w:r>
        <w:t xml:space="preserve">. Timelines for when a RAC meeting to discuss management measures, including HCRs and fishery objectives, are subject to the timing of an access and allocation decision and further consultations to finalize RAC membership. It is anticipated this discussion will take place in late 2024. </w:t>
      </w:r>
      <w:r w:rsidR="008044DF" w:rsidRPr="008044DF">
        <w:t>For Unit 2 specifically, these HCRs will need to be brought to the Canada France Advisory Committee following domestic consultations, given the shared management of this stock.</w:t>
      </w:r>
    </w:p>
    <w:sectPr w:rsidR="00E26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71C7"/>
    <w:multiLevelType w:val="hybridMultilevel"/>
    <w:tmpl w:val="3BA2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F0213"/>
    <w:multiLevelType w:val="hybridMultilevel"/>
    <w:tmpl w:val="5DA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707F"/>
    <w:multiLevelType w:val="hybridMultilevel"/>
    <w:tmpl w:val="1BD63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2D3D26"/>
    <w:multiLevelType w:val="hybridMultilevel"/>
    <w:tmpl w:val="3154F1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A141D"/>
    <w:multiLevelType w:val="multilevel"/>
    <w:tmpl w:val="7F0A3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85639"/>
    <w:multiLevelType w:val="hybridMultilevel"/>
    <w:tmpl w:val="415A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1BD4"/>
    <w:multiLevelType w:val="hybridMultilevel"/>
    <w:tmpl w:val="7820C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DF27A6"/>
    <w:multiLevelType w:val="hybridMultilevel"/>
    <w:tmpl w:val="751C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37BE0"/>
    <w:multiLevelType w:val="hybridMultilevel"/>
    <w:tmpl w:val="487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02DFD"/>
    <w:multiLevelType w:val="hybridMultilevel"/>
    <w:tmpl w:val="3FD42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953BB"/>
    <w:multiLevelType w:val="hybridMultilevel"/>
    <w:tmpl w:val="ED78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A6A94"/>
    <w:multiLevelType w:val="hybridMultilevel"/>
    <w:tmpl w:val="1DB8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A1BC9"/>
    <w:multiLevelType w:val="hybridMultilevel"/>
    <w:tmpl w:val="54A0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B45C1"/>
    <w:multiLevelType w:val="hybridMultilevel"/>
    <w:tmpl w:val="774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8"/>
  </w:num>
  <w:num w:numId="5">
    <w:abstractNumId w:val="11"/>
  </w:num>
  <w:num w:numId="6">
    <w:abstractNumId w:val="9"/>
  </w:num>
  <w:num w:numId="7">
    <w:abstractNumId w:val="6"/>
  </w:num>
  <w:num w:numId="8">
    <w:abstractNumId w:val="7"/>
  </w:num>
  <w:num w:numId="9">
    <w:abstractNumId w:val="4"/>
  </w:num>
  <w:num w:numId="10">
    <w:abstractNumId w:val="3"/>
  </w:num>
  <w:num w:numId="11">
    <w:abstractNumId w:val="2"/>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0"/>
    <w:rsid w:val="00012421"/>
    <w:rsid w:val="000420F4"/>
    <w:rsid w:val="0009784D"/>
    <w:rsid w:val="00115C40"/>
    <w:rsid w:val="00167798"/>
    <w:rsid w:val="001A072C"/>
    <w:rsid w:val="001F698C"/>
    <w:rsid w:val="001F72BE"/>
    <w:rsid w:val="002215CD"/>
    <w:rsid w:val="00241288"/>
    <w:rsid w:val="002562AE"/>
    <w:rsid w:val="00361394"/>
    <w:rsid w:val="003718FD"/>
    <w:rsid w:val="00373671"/>
    <w:rsid w:val="003D0373"/>
    <w:rsid w:val="003E3A74"/>
    <w:rsid w:val="00483A36"/>
    <w:rsid w:val="004A0CEC"/>
    <w:rsid w:val="00505F06"/>
    <w:rsid w:val="00531446"/>
    <w:rsid w:val="00533280"/>
    <w:rsid w:val="00543F58"/>
    <w:rsid w:val="005F778D"/>
    <w:rsid w:val="00633F63"/>
    <w:rsid w:val="00652B15"/>
    <w:rsid w:val="006627A5"/>
    <w:rsid w:val="006C3D91"/>
    <w:rsid w:val="006D7EC5"/>
    <w:rsid w:val="007369DF"/>
    <w:rsid w:val="00740F29"/>
    <w:rsid w:val="00771520"/>
    <w:rsid w:val="00787C07"/>
    <w:rsid w:val="007B0685"/>
    <w:rsid w:val="007B15DE"/>
    <w:rsid w:val="007C4A81"/>
    <w:rsid w:val="008044DF"/>
    <w:rsid w:val="00805798"/>
    <w:rsid w:val="00814C71"/>
    <w:rsid w:val="00823066"/>
    <w:rsid w:val="00836972"/>
    <w:rsid w:val="008646FF"/>
    <w:rsid w:val="00886BC4"/>
    <w:rsid w:val="008A1CE3"/>
    <w:rsid w:val="008B0E24"/>
    <w:rsid w:val="008B7944"/>
    <w:rsid w:val="008C1C99"/>
    <w:rsid w:val="008D5083"/>
    <w:rsid w:val="008D5969"/>
    <w:rsid w:val="008D789D"/>
    <w:rsid w:val="00901BC6"/>
    <w:rsid w:val="00937445"/>
    <w:rsid w:val="009379A9"/>
    <w:rsid w:val="0097261B"/>
    <w:rsid w:val="009B6B16"/>
    <w:rsid w:val="009B7FAE"/>
    <w:rsid w:val="009C7D3E"/>
    <w:rsid w:val="00A100F3"/>
    <w:rsid w:val="00A5736C"/>
    <w:rsid w:val="00A6038D"/>
    <w:rsid w:val="00A77C5D"/>
    <w:rsid w:val="00AB3A57"/>
    <w:rsid w:val="00AF18E9"/>
    <w:rsid w:val="00AF2859"/>
    <w:rsid w:val="00B43863"/>
    <w:rsid w:val="00B91F34"/>
    <w:rsid w:val="00C036A9"/>
    <w:rsid w:val="00C109BC"/>
    <w:rsid w:val="00C110DE"/>
    <w:rsid w:val="00C11F8F"/>
    <w:rsid w:val="00C25C0F"/>
    <w:rsid w:val="00C50DD4"/>
    <w:rsid w:val="00C55D81"/>
    <w:rsid w:val="00C61BBE"/>
    <w:rsid w:val="00CB67CB"/>
    <w:rsid w:val="00CC0036"/>
    <w:rsid w:val="00D7132F"/>
    <w:rsid w:val="00D91C9B"/>
    <w:rsid w:val="00D93696"/>
    <w:rsid w:val="00DD2260"/>
    <w:rsid w:val="00E0611C"/>
    <w:rsid w:val="00E26AE3"/>
    <w:rsid w:val="00E808D1"/>
    <w:rsid w:val="00EA496E"/>
    <w:rsid w:val="00EC0C50"/>
    <w:rsid w:val="00EE0C2D"/>
    <w:rsid w:val="00EF27D7"/>
    <w:rsid w:val="00F276FB"/>
    <w:rsid w:val="00F5441E"/>
    <w:rsid w:val="00F7511D"/>
    <w:rsid w:val="00F8336B"/>
    <w:rsid w:val="00F916AE"/>
    <w:rsid w:val="00F97E12"/>
    <w:rsid w:val="00FC5A4A"/>
    <w:rsid w:val="00FE297B"/>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709C"/>
  <w15:chartTrackingRefBased/>
  <w15:docId w15:val="{97B7A273-9F18-411D-9BA7-17D0935A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C07"/>
    <w:pPr>
      <w:spacing w:after="0" w:line="240" w:lineRule="auto"/>
    </w:pPr>
    <w:rPr>
      <w:rFonts w:ascii="Calibri" w:hAnsi="Calibri" w:cs="Calibri"/>
    </w:rPr>
  </w:style>
  <w:style w:type="paragraph" w:styleId="Heading1">
    <w:name w:val="heading 1"/>
    <w:basedOn w:val="Normal"/>
    <w:next w:val="Normal"/>
    <w:link w:val="Heading1Char"/>
    <w:uiPriority w:val="9"/>
    <w:qFormat/>
    <w:rsid w:val="00652B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2B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50"/>
    <w:pPr>
      <w:ind w:left="720"/>
      <w:contextualSpacing/>
    </w:pPr>
  </w:style>
  <w:style w:type="table" w:styleId="TableGrid">
    <w:name w:val="Table Grid"/>
    <w:basedOn w:val="TableNormal"/>
    <w:uiPriority w:val="39"/>
    <w:rsid w:val="00D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78D"/>
    <w:rPr>
      <w:sz w:val="16"/>
      <w:szCs w:val="16"/>
    </w:rPr>
  </w:style>
  <w:style w:type="paragraph" w:styleId="CommentText">
    <w:name w:val="annotation text"/>
    <w:basedOn w:val="Normal"/>
    <w:link w:val="CommentTextChar"/>
    <w:uiPriority w:val="99"/>
    <w:semiHidden/>
    <w:unhideWhenUsed/>
    <w:rsid w:val="005F778D"/>
    <w:rPr>
      <w:sz w:val="20"/>
      <w:szCs w:val="20"/>
    </w:rPr>
  </w:style>
  <w:style w:type="character" w:customStyle="1" w:styleId="CommentTextChar">
    <w:name w:val="Comment Text Char"/>
    <w:basedOn w:val="DefaultParagraphFont"/>
    <w:link w:val="CommentText"/>
    <w:uiPriority w:val="99"/>
    <w:semiHidden/>
    <w:rsid w:val="005F778D"/>
    <w:rPr>
      <w:sz w:val="20"/>
      <w:szCs w:val="20"/>
    </w:rPr>
  </w:style>
  <w:style w:type="paragraph" w:styleId="CommentSubject">
    <w:name w:val="annotation subject"/>
    <w:basedOn w:val="CommentText"/>
    <w:next w:val="CommentText"/>
    <w:link w:val="CommentSubjectChar"/>
    <w:uiPriority w:val="99"/>
    <w:semiHidden/>
    <w:unhideWhenUsed/>
    <w:rsid w:val="005F778D"/>
    <w:rPr>
      <w:b/>
      <w:bCs/>
    </w:rPr>
  </w:style>
  <w:style w:type="character" w:customStyle="1" w:styleId="CommentSubjectChar">
    <w:name w:val="Comment Subject Char"/>
    <w:basedOn w:val="CommentTextChar"/>
    <w:link w:val="CommentSubject"/>
    <w:uiPriority w:val="99"/>
    <w:semiHidden/>
    <w:rsid w:val="005F778D"/>
    <w:rPr>
      <w:b/>
      <w:bCs/>
      <w:sz w:val="20"/>
      <w:szCs w:val="20"/>
    </w:rPr>
  </w:style>
  <w:style w:type="character" w:styleId="Hyperlink">
    <w:name w:val="Hyperlink"/>
    <w:basedOn w:val="DefaultParagraphFont"/>
    <w:uiPriority w:val="99"/>
    <w:unhideWhenUsed/>
    <w:rsid w:val="00652B15"/>
    <w:rPr>
      <w:color w:val="0563C1"/>
      <w:u w:val="single"/>
    </w:rPr>
  </w:style>
  <w:style w:type="character" w:customStyle="1" w:styleId="Heading1Char">
    <w:name w:val="Heading 1 Char"/>
    <w:basedOn w:val="DefaultParagraphFont"/>
    <w:link w:val="Heading1"/>
    <w:uiPriority w:val="9"/>
    <w:rsid w:val="00652B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2B1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718FD"/>
    <w:rPr>
      <w:color w:val="605E5C"/>
      <w:shd w:val="clear" w:color="auto" w:fill="E1DFDD"/>
    </w:rPr>
  </w:style>
  <w:style w:type="character" w:customStyle="1" w:styleId="apple-converted-space">
    <w:name w:val="apple-converted-space"/>
    <w:basedOn w:val="DefaultParagraphFont"/>
    <w:rsid w:val="0097261B"/>
  </w:style>
  <w:style w:type="paragraph" w:styleId="BalloonText">
    <w:name w:val="Balloon Text"/>
    <w:basedOn w:val="Normal"/>
    <w:link w:val="BalloonTextChar"/>
    <w:uiPriority w:val="99"/>
    <w:semiHidden/>
    <w:unhideWhenUsed/>
    <w:rsid w:val="007B0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85"/>
    <w:rPr>
      <w:rFonts w:ascii="Segoe UI" w:hAnsi="Segoe UI" w:cs="Segoe UI"/>
      <w:sz w:val="18"/>
      <w:szCs w:val="18"/>
    </w:rPr>
  </w:style>
  <w:style w:type="character" w:customStyle="1" w:styleId="ui-provider">
    <w:name w:val="ui-provider"/>
    <w:basedOn w:val="DefaultParagraphFont"/>
    <w:rsid w:val="009379A9"/>
  </w:style>
  <w:style w:type="paragraph" w:styleId="Revision">
    <w:name w:val="Revision"/>
    <w:hidden/>
    <w:uiPriority w:val="99"/>
    <w:semiHidden/>
    <w:rsid w:val="00F276F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4936">
      <w:bodyDiv w:val="1"/>
      <w:marLeft w:val="0"/>
      <w:marRight w:val="0"/>
      <w:marTop w:val="0"/>
      <w:marBottom w:val="0"/>
      <w:divBdr>
        <w:top w:val="none" w:sz="0" w:space="0" w:color="auto"/>
        <w:left w:val="none" w:sz="0" w:space="0" w:color="auto"/>
        <w:bottom w:val="none" w:sz="0" w:space="0" w:color="auto"/>
        <w:right w:val="none" w:sz="0" w:space="0" w:color="auto"/>
      </w:divBdr>
    </w:div>
    <w:div w:id="100999305">
      <w:bodyDiv w:val="1"/>
      <w:marLeft w:val="0"/>
      <w:marRight w:val="0"/>
      <w:marTop w:val="0"/>
      <w:marBottom w:val="0"/>
      <w:divBdr>
        <w:top w:val="none" w:sz="0" w:space="0" w:color="auto"/>
        <w:left w:val="none" w:sz="0" w:space="0" w:color="auto"/>
        <w:bottom w:val="none" w:sz="0" w:space="0" w:color="auto"/>
        <w:right w:val="none" w:sz="0" w:space="0" w:color="auto"/>
      </w:divBdr>
    </w:div>
    <w:div w:id="335499687">
      <w:bodyDiv w:val="1"/>
      <w:marLeft w:val="0"/>
      <w:marRight w:val="0"/>
      <w:marTop w:val="0"/>
      <w:marBottom w:val="0"/>
      <w:divBdr>
        <w:top w:val="none" w:sz="0" w:space="0" w:color="auto"/>
        <w:left w:val="none" w:sz="0" w:space="0" w:color="auto"/>
        <w:bottom w:val="none" w:sz="0" w:space="0" w:color="auto"/>
        <w:right w:val="none" w:sz="0" w:space="0" w:color="auto"/>
      </w:divBdr>
    </w:div>
    <w:div w:id="409078933">
      <w:bodyDiv w:val="1"/>
      <w:marLeft w:val="0"/>
      <w:marRight w:val="0"/>
      <w:marTop w:val="0"/>
      <w:marBottom w:val="0"/>
      <w:divBdr>
        <w:top w:val="none" w:sz="0" w:space="0" w:color="auto"/>
        <w:left w:val="none" w:sz="0" w:space="0" w:color="auto"/>
        <w:bottom w:val="none" w:sz="0" w:space="0" w:color="auto"/>
        <w:right w:val="none" w:sz="0" w:space="0" w:color="auto"/>
      </w:divBdr>
    </w:div>
    <w:div w:id="609972075">
      <w:bodyDiv w:val="1"/>
      <w:marLeft w:val="0"/>
      <w:marRight w:val="0"/>
      <w:marTop w:val="0"/>
      <w:marBottom w:val="0"/>
      <w:divBdr>
        <w:top w:val="none" w:sz="0" w:space="0" w:color="auto"/>
        <w:left w:val="none" w:sz="0" w:space="0" w:color="auto"/>
        <w:bottom w:val="none" w:sz="0" w:space="0" w:color="auto"/>
        <w:right w:val="none" w:sz="0" w:space="0" w:color="auto"/>
      </w:divBdr>
    </w:div>
    <w:div w:id="720593235">
      <w:bodyDiv w:val="1"/>
      <w:marLeft w:val="0"/>
      <w:marRight w:val="0"/>
      <w:marTop w:val="0"/>
      <w:marBottom w:val="0"/>
      <w:divBdr>
        <w:top w:val="none" w:sz="0" w:space="0" w:color="auto"/>
        <w:left w:val="none" w:sz="0" w:space="0" w:color="auto"/>
        <w:bottom w:val="none" w:sz="0" w:space="0" w:color="auto"/>
        <w:right w:val="none" w:sz="0" w:space="0" w:color="auto"/>
      </w:divBdr>
    </w:div>
    <w:div w:id="1222980374">
      <w:bodyDiv w:val="1"/>
      <w:marLeft w:val="0"/>
      <w:marRight w:val="0"/>
      <w:marTop w:val="0"/>
      <w:marBottom w:val="0"/>
      <w:divBdr>
        <w:top w:val="none" w:sz="0" w:space="0" w:color="auto"/>
        <w:left w:val="none" w:sz="0" w:space="0" w:color="auto"/>
        <w:bottom w:val="none" w:sz="0" w:space="0" w:color="auto"/>
        <w:right w:val="none" w:sz="0" w:space="0" w:color="auto"/>
      </w:divBdr>
    </w:div>
    <w:div w:id="1291783708">
      <w:bodyDiv w:val="1"/>
      <w:marLeft w:val="0"/>
      <w:marRight w:val="0"/>
      <w:marTop w:val="0"/>
      <w:marBottom w:val="0"/>
      <w:divBdr>
        <w:top w:val="none" w:sz="0" w:space="0" w:color="auto"/>
        <w:left w:val="none" w:sz="0" w:space="0" w:color="auto"/>
        <w:bottom w:val="none" w:sz="0" w:space="0" w:color="auto"/>
        <w:right w:val="none" w:sz="0" w:space="0" w:color="auto"/>
      </w:divBdr>
    </w:div>
    <w:div w:id="1387950671">
      <w:bodyDiv w:val="1"/>
      <w:marLeft w:val="0"/>
      <w:marRight w:val="0"/>
      <w:marTop w:val="0"/>
      <w:marBottom w:val="0"/>
      <w:divBdr>
        <w:top w:val="none" w:sz="0" w:space="0" w:color="auto"/>
        <w:left w:val="none" w:sz="0" w:space="0" w:color="auto"/>
        <w:bottom w:val="none" w:sz="0" w:space="0" w:color="auto"/>
        <w:right w:val="none" w:sz="0" w:space="0" w:color="auto"/>
      </w:divBdr>
    </w:div>
    <w:div w:id="1429276427">
      <w:bodyDiv w:val="1"/>
      <w:marLeft w:val="0"/>
      <w:marRight w:val="0"/>
      <w:marTop w:val="0"/>
      <w:marBottom w:val="0"/>
      <w:divBdr>
        <w:top w:val="none" w:sz="0" w:space="0" w:color="auto"/>
        <w:left w:val="none" w:sz="0" w:space="0" w:color="auto"/>
        <w:bottom w:val="none" w:sz="0" w:space="0" w:color="auto"/>
        <w:right w:val="none" w:sz="0" w:space="0" w:color="auto"/>
      </w:divBdr>
    </w:div>
    <w:div w:id="1788425165">
      <w:bodyDiv w:val="1"/>
      <w:marLeft w:val="0"/>
      <w:marRight w:val="0"/>
      <w:marTop w:val="0"/>
      <w:marBottom w:val="0"/>
      <w:divBdr>
        <w:top w:val="none" w:sz="0" w:space="0" w:color="auto"/>
        <w:left w:val="none" w:sz="0" w:space="0" w:color="auto"/>
        <w:bottom w:val="none" w:sz="0" w:space="0" w:color="auto"/>
        <w:right w:val="none" w:sz="0" w:space="0" w:color="auto"/>
      </w:divBdr>
    </w:div>
    <w:div w:id="1923417343">
      <w:bodyDiv w:val="1"/>
      <w:marLeft w:val="0"/>
      <w:marRight w:val="0"/>
      <w:marTop w:val="0"/>
      <w:marBottom w:val="0"/>
      <w:divBdr>
        <w:top w:val="none" w:sz="0" w:space="0" w:color="auto"/>
        <w:left w:val="none" w:sz="0" w:space="0" w:color="auto"/>
        <w:bottom w:val="none" w:sz="0" w:space="0" w:color="auto"/>
        <w:right w:val="none" w:sz="0" w:space="0" w:color="auto"/>
      </w:divBdr>
    </w:div>
    <w:div w:id="21104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fo-mpo.gc.ca/reports-rapports/regs/sff-cpd/precaution-en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s.teams.cdn.office.net/evergreen-assets/safelinks/1/atp-safelink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6C3D-56B7-42E9-88E7-19CE7A96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DFO MPO</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Algera, Dirk</dc:creator>
  <cp:keywords/>
  <dc:description/>
  <cp:lastModifiedBy>Steven Devitt</cp:lastModifiedBy>
  <cp:revision>5</cp:revision>
  <dcterms:created xsi:type="dcterms:W3CDTF">2023-04-27T17:42:00Z</dcterms:created>
  <dcterms:modified xsi:type="dcterms:W3CDTF">2023-05-16T15:47:00Z</dcterms:modified>
</cp:coreProperties>
</file>