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CAA89" w14:textId="07B20E6A" w:rsidR="00EC1079" w:rsidRDefault="006A7639" w:rsidP="006A7639">
      <w:pPr>
        <w:pStyle w:val="Title"/>
      </w:pPr>
      <w:bookmarkStart w:id="0" w:name="_GoBack"/>
      <w:bookmarkEnd w:id="0"/>
      <w:r>
        <w:t>Minutes</w:t>
      </w:r>
      <w:r w:rsidR="007905D5">
        <w:t xml:space="preserve">: </w:t>
      </w:r>
      <w:r w:rsidR="00FD78D1">
        <w:t>UK</w:t>
      </w:r>
      <w:r w:rsidR="007905D5">
        <w:t xml:space="preserve"> Scallop P</w:t>
      </w:r>
      <w:r w:rsidR="00707269">
        <w:t xml:space="preserve">rinciple </w:t>
      </w:r>
      <w:r w:rsidR="007905D5">
        <w:t xml:space="preserve">1 &amp; 2 </w:t>
      </w:r>
      <w:r>
        <w:t xml:space="preserve"> </w:t>
      </w:r>
      <w:r w:rsidR="0082653D">
        <w:rPr>
          <w:noProof/>
        </w:rPr>
        <w:drawing>
          <wp:anchor distT="0" distB="0" distL="114300" distR="114300" simplePos="0" relativeHeight="251658240" behindDoc="0" locked="0" layoutInCell="1" allowOverlap="1" wp14:anchorId="77E13895" wp14:editId="28A1A8EB">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5A81CF" w14:textId="118710A7" w:rsidR="005171E1" w:rsidRPr="0082653D" w:rsidRDefault="005171E1" w:rsidP="0082653D">
      <w:pPr>
        <w:pStyle w:val="DateandLocation"/>
      </w:pPr>
      <w:r w:rsidRPr="0082653D">
        <w:t>Meeting Date:</w:t>
      </w:r>
      <w:r w:rsidR="00F528F6">
        <w:t xml:space="preserve"> </w:t>
      </w:r>
      <w:r w:rsidR="00707269">
        <w:t>13 October 2020</w:t>
      </w:r>
    </w:p>
    <w:p w14:paraId="7961ABF2" w14:textId="01A4275F" w:rsidR="005171E1" w:rsidRPr="0082653D" w:rsidRDefault="005171E1" w:rsidP="0082653D">
      <w:pPr>
        <w:pStyle w:val="DateandLocation"/>
      </w:pPr>
      <w:r w:rsidRPr="0082653D">
        <w:t>Location:</w:t>
      </w:r>
      <w:r w:rsidR="00F528F6">
        <w:t xml:space="preserve"> </w:t>
      </w:r>
      <w:r w:rsidR="00707269">
        <w:t xml:space="preserve">Teams </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3103"/>
        <w:gridCol w:w="5140"/>
      </w:tblGrid>
      <w:tr w:rsidR="00734455" w:rsidRPr="00CD6CEF" w14:paraId="3D67F5E6" w14:textId="77777777" w:rsidTr="009A0137">
        <w:trPr>
          <w:trHeight w:val="484"/>
        </w:trPr>
        <w:tc>
          <w:tcPr>
            <w:tcW w:w="3103" w:type="dxa"/>
            <w:shd w:val="clear" w:color="auto" w:fill="1B98C7"/>
          </w:tcPr>
          <w:p w14:paraId="6E287BBD" w14:textId="77777777" w:rsidR="00734455" w:rsidRPr="00CD6CEF" w:rsidRDefault="00734455" w:rsidP="009A0137">
            <w:pPr>
              <w:pStyle w:val="TableHeading"/>
              <w:spacing w:before="120" w:after="120"/>
              <w:ind w:left="720" w:hanging="720"/>
            </w:pPr>
            <w:r w:rsidRPr="00CD6CEF">
              <w:t>Attendees</w:t>
            </w:r>
          </w:p>
        </w:tc>
        <w:tc>
          <w:tcPr>
            <w:tcW w:w="5140" w:type="dxa"/>
            <w:shd w:val="clear" w:color="auto" w:fill="1B98C7"/>
          </w:tcPr>
          <w:p w14:paraId="221FEA30" w14:textId="27FA150C" w:rsidR="00734455" w:rsidRPr="00CD6CEF" w:rsidRDefault="00F528F6" w:rsidP="009A0137">
            <w:pPr>
              <w:pStyle w:val="TableHeading"/>
              <w:spacing w:before="120" w:after="120"/>
              <w:ind w:left="720" w:hanging="720"/>
            </w:pPr>
            <w:r>
              <w:t>Organisation</w:t>
            </w:r>
          </w:p>
        </w:tc>
      </w:tr>
      <w:tr w:rsidR="00734455" w:rsidRPr="00CD6CEF" w14:paraId="141836BA" w14:textId="77777777" w:rsidTr="009A0137">
        <w:trPr>
          <w:trHeight w:val="242"/>
        </w:trPr>
        <w:tc>
          <w:tcPr>
            <w:tcW w:w="3103" w:type="dxa"/>
          </w:tcPr>
          <w:p w14:paraId="585156D0" w14:textId="77777777" w:rsidR="00734455" w:rsidRPr="00CD6CEF" w:rsidRDefault="00734455" w:rsidP="009A0137">
            <w:pPr>
              <w:pStyle w:val="TableText"/>
              <w:ind w:left="720" w:hanging="720"/>
            </w:pPr>
            <w:r>
              <w:t>AT: Adam Townley</w:t>
            </w:r>
          </w:p>
        </w:tc>
        <w:tc>
          <w:tcPr>
            <w:tcW w:w="5140" w:type="dxa"/>
          </w:tcPr>
          <w:p w14:paraId="437C56BC" w14:textId="77777777" w:rsidR="00734455" w:rsidRPr="00CD6CEF" w:rsidRDefault="00734455" w:rsidP="009A0137">
            <w:pPr>
              <w:pStyle w:val="TableText"/>
              <w:ind w:left="720" w:hanging="720"/>
            </w:pPr>
            <w:r>
              <w:t>New England Seafood International</w:t>
            </w:r>
          </w:p>
        </w:tc>
      </w:tr>
      <w:tr w:rsidR="00734455" w:rsidRPr="00CD6CEF" w14:paraId="2E5ED424" w14:textId="77777777" w:rsidTr="009A0137">
        <w:trPr>
          <w:trHeight w:val="242"/>
        </w:trPr>
        <w:tc>
          <w:tcPr>
            <w:tcW w:w="3103" w:type="dxa"/>
          </w:tcPr>
          <w:p w14:paraId="7FF83B88" w14:textId="77777777" w:rsidR="00734455" w:rsidRPr="00CD6CEF" w:rsidRDefault="00734455" w:rsidP="009A0137">
            <w:pPr>
              <w:pStyle w:val="TableText"/>
              <w:ind w:left="720" w:hanging="720"/>
            </w:pPr>
            <w:r>
              <w:t>BC: Ben Collier</w:t>
            </w:r>
          </w:p>
        </w:tc>
        <w:tc>
          <w:tcPr>
            <w:tcW w:w="5140" w:type="dxa"/>
          </w:tcPr>
          <w:p w14:paraId="7110D8EC" w14:textId="77777777" w:rsidR="00734455" w:rsidRPr="00CD6CEF" w:rsidRDefault="00734455" w:rsidP="009A0137">
            <w:pPr>
              <w:pStyle w:val="TableText"/>
              <w:ind w:left="720" w:hanging="720"/>
            </w:pPr>
            <w:r>
              <w:t>Northern Ireland Gear Trials</w:t>
            </w:r>
          </w:p>
        </w:tc>
      </w:tr>
      <w:tr w:rsidR="00734455" w:rsidRPr="00CD6CEF" w14:paraId="0919CE51" w14:textId="77777777" w:rsidTr="009A0137">
        <w:trPr>
          <w:trHeight w:val="242"/>
        </w:trPr>
        <w:tc>
          <w:tcPr>
            <w:tcW w:w="3103" w:type="dxa"/>
          </w:tcPr>
          <w:p w14:paraId="06FD2D0B" w14:textId="77777777" w:rsidR="00734455" w:rsidRDefault="00734455" w:rsidP="009A0137">
            <w:pPr>
              <w:pStyle w:val="TableText"/>
              <w:ind w:left="720" w:hanging="720"/>
            </w:pPr>
            <w:r>
              <w:t>BL: Bill Lart</w:t>
            </w:r>
          </w:p>
        </w:tc>
        <w:tc>
          <w:tcPr>
            <w:tcW w:w="5140" w:type="dxa"/>
          </w:tcPr>
          <w:p w14:paraId="39B5A8CF" w14:textId="77777777" w:rsidR="00734455" w:rsidRPr="00CD6CEF" w:rsidRDefault="00734455" w:rsidP="009A0137">
            <w:pPr>
              <w:pStyle w:val="TableText"/>
              <w:ind w:left="720" w:hanging="720"/>
            </w:pPr>
            <w:proofErr w:type="spellStart"/>
            <w:r>
              <w:t>Seafish</w:t>
            </w:r>
            <w:proofErr w:type="spellEnd"/>
          </w:p>
        </w:tc>
      </w:tr>
      <w:tr w:rsidR="008B22D7" w:rsidRPr="00CD6CEF" w14:paraId="673C5C70" w14:textId="77777777" w:rsidTr="009A0137">
        <w:trPr>
          <w:trHeight w:val="242"/>
        </w:trPr>
        <w:tc>
          <w:tcPr>
            <w:tcW w:w="3103" w:type="dxa"/>
          </w:tcPr>
          <w:p w14:paraId="2E32890C" w14:textId="6E218794" w:rsidR="008B22D7" w:rsidRDefault="00F528F6" w:rsidP="009A0137">
            <w:pPr>
              <w:pStyle w:val="TableText"/>
              <w:ind w:left="720" w:hanging="720"/>
            </w:pPr>
            <w:r>
              <w:t xml:space="preserve">BS: </w:t>
            </w:r>
            <w:r w:rsidR="008B22D7">
              <w:t xml:space="preserve">Bryce Stewart </w:t>
            </w:r>
          </w:p>
        </w:tc>
        <w:tc>
          <w:tcPr>
            <w:tcW w:w="5140" w:type="dxa"/>
          </w:tcPr>
          <w:p w14:paraId="63C06700" w14:textId="0A792E1E" w:rsidR="008B22D7" w:rsidRDefault="008B22D7" w:rsidP="009A0137">
            <w:pPr>
              <w:pStyle w:val="TableText"/>
              <w:ind w:left="720" w:hanging="720"/>
            </w:pPr>
            <w:r>
              <w:t>University of York</w:t>
            </w:r>
          </w:p>
        </w:tc>
      </w:tr>
      <w:tr w:rsidR="00734455" w:rsidRPr="00CD6CEF" w14:paraId="1FCF86B4" w14:textId="77777777" w:rsidTr="009A0137">
        <w:trPr>
          <w:trHeight w:val="242"/>
        </w:trPr>
        <w:tc>
          <w:tcPr>
            <w:tcW w:w="3103" w:type="dxa"/>
          </w:tcPr>
          <w:p w14:paraId="1FE94F5B" w14:textId="1B0A3A01" w:rsidR="00734455" w:rsidRDefault="00734455" w:rsidP="009A0137">
            <w:pPr>
              <w:pStyle w:val="TableText"/>
              <w:ind w:left="720" w:hanging="720"/>
            </w:pPr>
            <w:r>
              <w:t>CD: Calum Duncan</w:t>
            </w:r>
          </w:p>
        </w:tc>
        <w:tc>
          <w:tcPr>
            <w:tcW w:w="5140" w:type="dxa"/>
          </w:tcPr>
          <w:p w14:paraId="549629D4" w14:textId="5E7984A9" w:rsidR="00734455" w:rsidRDefault="00734455" w:rsidP="009A0137">
            <w:pPr>
              <w:pStyle w:val="TableText"/>
              <w:ind w:left="720" w:hanging="720"/>
            </w:pPr>
            <w:r>
              <w:t>Scot LINK</w:t>
            </w:r>
          </w:p>
        </w:tc>
      </w:tr>
      <w:tr w:rsidR="00734455" w:rsidRPr="00CD6CEF" w14:paraId="650D2BE1" w14:textId="77777777" w:rsidTr="009A0137">
        <w:trPr>
          <w:trHeight w:val="242"/>
        </w:trPr>
        <w:tc>
          <w:tcPr>
            <w:tcW w:w="3103" w:type="dxa"/>
          </w:tcPr>
          <w:p w14:paraId="3E0CA6FC" w14:textId="044010A9" w:rsidR="00734455" w:rsidRPr="00CD6CEF" w:rsidRDefault="00734455" w:rsidP="009A0137">
            <w:pPr>
              <w:pStyle w:val="TableText"/>
              <w:ind w:left="720" w:hanging="720"/>
            </w:pPr>
            <w:r>
              <w:t>CM: Carrie McMinn</w:t>
            </w:r>
          </w:p>
        </w:tc>
        <w:tc>
          <w:tcPr>
            <w:tcW w:w="5140" w:type="dxa"/>
          </w:tcPr>
          <w:p w14:paraId="066ED5CF" w14:textId="4442789B" w:rsidR="00734455" w:rsidRPr="00CD6CEF" w:rsidRDefault="00734455" w:rsidP="00734455">
            <w:pPr>
              <w:pStyle w:val="TableText"/>
            </w:pPr>
            <w:r>
              <w:t>Agri-Food and Biosciences Institute</w:t>
            </w:r>
          </w:p>
        </w:tc>
      </w:tr>
      <w:tr w:rsidR="00734455" w:rsidRPr="00CD6CEF" w14:paraId="77485E73" w14:textId="77777777" w:rsidTr="009A0137">
        <w:trPr>
          <w:trHeight w:val="242"/>
        </w:trPr>
        <w:tc>
          <w:tcPr>
            <w:tcW w:w="3103" w:type="dxa"/>
          </w:tcPr>
          <w:p w14:paraId="6D11FA4B" w14:textId="184A32D5" w:rsidR="00734455" w:rsidRDefault="00734455" w:rsidP="009A0137">
            <w:pPr>
              <w:pStyle w:val="TableText"/>
              <w:ind w:left="720" w:hanging="720"/>
            </w:pPr>
            <w:proofErr w:type="spellStart"/>
            <w:r>
              <w:t>CMo</w:t>
            </w:r>
            <w:proofErr w:type="spellEnd"/>
            <w:r>
              <w:t>: Cameron Moffat</w:t>
            </w:r>
          </w:p>
        </w:tc>
        <w:tc>
          <w:tcPr>
            <w:tcW w:w="5140" w:type="dxa"/>
          </w:tcPr>
          <w:p w14:paraId="65BBF8E5" w14:textId="6D54F01C" w:rsidR="00734455" w:rsidRDefault="00734455" w:rsidP="00734455">
            <w:pPr>
              <w:pStyle w:val="TableText"/>
            </w:pPr>
            <w:r>
              <w:t>Young’s</w:t>
            </w:r>
            <w:r w:rsidR="00F528F6">
              <w:t xml:space="preserve"> Seafood </w:t>
            </w:r>
          </w:p>
        </w:tc>
      </w:tr>
      <w:tr w:rsidR="00734455" w:rsidRPr="00CD6CEF" w14:paraId="72850540" w14:textId="77777777" w:rsidTr="009A0137">
        <w:trPr>
          <w:trHeight w:val="242"/>
        </w:trPr>
        <w:tc>
          <w:tcPr>
            <w:tcW w:w="3103" w:type="dxa"/>
          </w:tcPr>
          <w:p w14:paraId="45595418" w14:textId="77777777" w:rsidR="00734455" w:rsidRPr="00CD6CEF" w:rsidRDefault="00734455" w:rsidP="009A0137">
            <w:pPr>
              <w:pStyle w:val="TableText"/>
              <w:ind w:left="720" w:hanging="720"/>
            </w:pPr>
            <w:r>
              <w:t>CP: Claire Pescod</w:t>
            </w:r>
          </w:p>
        </w:tc>
        <w:tc>
          <w:tcPr>
            <w:tcW w:w="5140" w:type="dxa"/>
          </w:tcPr>
          <w:p w14:paraId="0EFBF224" w14:textId="77777777" w:rsidR="00734455" w:rsidRPr="00CD6CEF" w:rsidRDefault="00734455" w:rsidP="009A0137">
            <w:pPr>
              <w:pStyle w:val="TableText"/>
              <w:ind w:left="720" w:hanging="720"/>
            </w:pPr>
            <w:r>
              <w:t xml:space="preserve">Macduff Shellfish </w:t>
            </w:r>
          </w:p>
        </w:tc>
      </w:tr>
      <w:tr w:rsidR="00DB4AC5" w:rsidRPr="00CD6CEF" w14:paraId="5F79A519" w14:textId="77777777" w:rsidTr="009A0137">
        <w:trPr>
          <w:trHeight w:val="242"/>
        </w:trPr>
        <w:tc>
          <w:tcPr>
            <w:tcW w:w="3103" w:type="dxa"/>
          </w:tcPr>
          <w:p w14:paraId="72C2D2C4" w14:textId="2598DFDE" w:rsidR="00DB4AC5" w:rsidRDefault="00DB4AC5" w:rsidP="009A0137">
            <w:pPr>
              <w:pStyle w:val="TableText"/>
              <w:ind w:left="720" w:hanging="720"/>
            </w:pPr>
            <w:r>
              <w:t xml:space="preserve">DD: David </w:t>
            </w:r>
            <w:proofErr w:type="spellStart"/>
            <w:r>
              <w:t>Donnan</w:t>
            </w:r>
            <w:proofErr w:type="spellEnd"/>
          </w:p>
        </w:tc>
        <w:tc>
          <w:tcPr>
            <w:tcW w:w="5140" w:type="dxa"/>
          </w:tcPr>
          <w:p w14:paraId="371C9B2C" w14:textId="7DF7FE59" w:rsidR="00DB4AC5" w:rsidRDefault="00DB4AC5" w:rsidP="009A0137">
            <w:pPr>
              <w:pStyle w:val="TableText"/>
              <w:ind w:left="720" w:hanging="720"/>
            </w:pPr>
            <w:proofErr w:type="spellStart"/>
            <w:r>
              <w:t>NatureScot</w:t>
            </w:r>
            <w:proofErr w:type="spellEnd"/>
          </w:p>
        </w:tc>
      </w:tr>
      <w:tr w:rsidR="00734455" w:rsidRPr="00CD6CEF" w14:paraId="36903F7E" w14:textId="77777777" w:rsidTr="009A0137">
        <w:trPr>
          <w:trHeight w:val="242"/>
        </w:trPr>
        <w:tc>
          <w:tcPr>
            <w:tcW w:w="3103" w:type="dxa"/>
          </w:tcPr>
          <w:p w14:paraId="74274E99" w14:textId="77777777" w:rsidR="00734455" w:rsidRPr="00CD6CEF" w:rsidRDefault="00734455" w:rsidP="009A0137">
            <w:pPr>
              <w:pStyle w:val="TableText"/>
              <w:ind w:left="720" w:hanging="720"/>
            </w:pPr>
            <w:r>
              <w:t>EB: Ewen Bell</w:t>
            </w:r>
          </w:p>
        </w:tc>
        <w:tc>
          <w:tcPr>
            <w:tcW w:w="5140" w:type="dxa"/>
          </w:tcPr>
          <w:p w14:paraId="22FF4895" w14:textId="77777777" w:rsidR="00734455" w:rsidRPr="00CD6CEF" w:rsidRDefault="00734455" w:rsidP="009A0137">
            <w:pPr>
              <w:pStyle w:val="TableText"/>
              <w:ind w:left="720" w:hanging="720"/>
            </w:pPr>
            <w:r w:rsidRPr="002E23B6">
              <w:t>Centre for Environment, Fisheries and Aquaculture Science</w:t>
            </w:r>
          </w:p>
        </w:tc>
      </w:tr>
      <w:tr w:rsidR="00734455" w:rsidRPr="00CD6CEF" w14:paraId="4822AC9D" w14:textId="77777777" w:rsidTr="009A0137">
        <w:trPr>
          <w:trHeight w:val="242"/>
        </w:trPr>
        <w:tc>
          <w:tcPr>
            <w:tcW w:w="3103" w:type="dxa"/>
          </w:tcPr>
          <w:p w14:paraId="56E08390" w14:textId="77777777" w:rsidR="00734455" w:rsidRDefault="00734455" w:rsidP="009A0137">
            <w:pPr>
              <w:pStyle w:val="TableText"/>
              <w:ind w:left="720" w:hanging="720"/>
            </w:pPr>
            <w:r>
              <w:t>EW: Elaine Whyte</w:t>
            </w:r>
          </w:p>
        </w:tc>
        <w:tc>
          <w:tcPr>
            <w:tcW w:w="5140" w:type="dxa"/>
          </w:tcPr>
          <w:p w14:paraId="7E240D64" w14:textId="77777777" w:rsidR="00734455" w:rsidRPr="002E23B6" w:rsidRDefault="00734455" w:rsidP="009A0137">
            <w:pPr>
              <w:pStyle w:val="TableText"/>
              <w:ind w:left="720" w:hanging="720"/>
            </w:pPr>
            <w:r w:rsidRPr="00ED3176">
              <w:t>Communities Inshore Fisheries Alliance</w:t>
            </w:r>
          </w:p>
        </w:tc>
      </w:tr>
      <w:tr w:rsidR="00734455" w:rsidRPr="00CD6CEF" w14:paraId="534BBF47" w14:textId="77777777" w:rsidTr="009A0137">
        <w:trPr>
          <w:trHeight w:val="227"/>
        </w:trPr>
        <w:tc>
          <w:tcPr>
            <w:tcW w:w="3103" w:type="dxa"/>
          </w:tcPr>
          <w:p w14:paraId="7544E377" w14:textId="77777777" w:rsidR="00734455" w:rsidRPr="00CD6CEF" w:rsidRDefault="00734455" w:rsidP="009A0137">
            <w:pPr>
              <w:pStyle w:val="TableText"/>
            </w:pPr>
            <w:r>
              <w:t>FB: Femke de Boer</w:t>
            </w:r>
          </w:p>
        </w:tc>
        <w:tc>
          <w:tcPr>
            <w:tcW w:w="5140" w:type="dxa"/>
          </w:tcPr>
          <w:p w14:paraId="6ED743AA" w14:textId="77777777" w:rsidR="00734455" w:rsidRPr="00CD6CEF" w:rsidRDefault="00734455" w:rsidP="009A0137">
            <w:pPr>
              <w:pStyle w:val="TableText"/>
              <w:ind w:left="720" w:hanging="720"/>
            </w:pPr>
            <w:r w:rsidRPr="002E23B6">
              <w:t>Scottish White Fish Producers Association</w:t>
            </w:r>
          </w:p>
        </w:tc>
      </w:tr>
      <w:tr w:rsidR="00734455" w:rsidRPr="00CD6CEF" w14:paraId="5896FA71" w14:textId="77777777" w:rsidTr="009A0137">
        <w:trPr>
          <w:trHeight w:val="242"/>
        </w:trPr>
        <w:tc>
          <w:tcPr>
            <w:tcW w:w="3103" w:type="dxa"/>
          </w:tcPr>
          <w:p w14:paraId="1BF5DDA3" w14:textId="77777777" w:rsidR="00734455" w:rsidRPr="00CD6CEF" w:rsidRDefault="00734455" w:rsidP="009A0137">
            <w:pPr>
              <w:pStyle w:val="TableText"/>
              <w:ind w:left="720" w:hanging="720"/>
            </w:pPr>
            <w:r>
              <w:t>FN: Fiona Nimmo</w:t>
            </w:r>
          </w:p>
        </w:tc>
        <w:tc>
          <w:tcPr>
            <w:tcW w:w="5140" w:type="dxa"/>
          </w:tcPr>
          <w:p w14:paraId="42447DB2" w14:textId="77777777" w:rsidR="00734455" w:rsidRPr="00CD6CEF" w:rsidRDefault="00734455" w:rsidP="009A0137">
            <w:pPr>
              <w:pStyle w:val="TableText"/>
              <w:ind w:left="720" w:hanging="720"/>
            </w:pPr>
            <w:r>
              <w:t xml:space="preserve">Poseidon </w:t>
            </w:r>
          </w:p>
        </w:tc>
      </w:tr>
      <w:tr w:rsidR="00D15FB0" w:rsidRPr="00CD6CEF" w14:paraId="70E63A8D" w14:textId="77777777" w:rsidTr="009A0137">
        <w:trPr>
          <w:trHeight w:val="242"/>
        </w:trPr>
        <w:tc>
          <w:tcPr>
            <w:tcW w:w="3103" w:type="dxa"/>
          </w:tcPr>
          <w:p w14:paraId="6B4F3EE2" w14:textId="07E9460C" w:rsidR="00D15FB0" w:rsidRDefault="00D15FB0" w:rsidP="009A0137">
            <w:pPr>
              <w:pStyle w:val="TableText"/>
              <w:ind w:left="720" w:hanging="720"/>
            </w:pPr>
            <w:r>
              <w:t>HS: Hayley Swanlund</w:t>
            </w:r>
          </w:p>
        </w:tc>
        <w:tc>
          <w:tcPr>
            <w:tcW w:w="5140" w:type="dxa"/>
          </w:tcPr>
          <w:p w14:paraId="5A2C4F2C" w14:textId="605836C5" w:rsidR="00D15FB0" w:rsidRDefault="00D15FB0" w:rsidP="009A0137">
            <w:pPr>
              <w:pStyle w:val="TableText"/>
              <w:ind w:left="720" w:hanging="720"/>
            </w:pPr>
            <w:r>
              <w:t>WWF-UK</w:t>
            </w:r>
          </w:p>
        </w:tc>
      </w:tr>
      <w:tr w:rsidR="00734455" w:rsidRPr="00CD6CEF" w14:paraId="51156EB9" w14:textId="77777777" w:rsidTr="009A0137">
        <w:trPr>
          <w:trHeight w:val="242"/>
        </w:trPr>
        <w:tc>
          <w:tcPr>
            <w:tcW w:w="3103" w:type="dxa"/>
          </w:tcPr>
          <w:p w14:paraId="3312A6A8" w14:textId="77777777" w:rsidR="00734455" w:rsidRPr="00CD6CEF" w:rsidRDefault="00734455" w:rsidP="009A0137">
            <w:pPr>
              <w:pStyle w:val="TableText"/>
              <w:ind w:left="720" w:hanging="720"/>
            </w:pPr>
            <w:r>
              <w:t>JP: Jo Pollett</w:t>
            </w:r>
          </w:p>
        </w:tc>
        <w:tc>
          <w:tcPr>
            <w:tcW w:w="5140" w:type="dxa"/>
          </w:tcPr>
          <w:p w14:paraId="6D903A31" w14:textId="77777777" w:rsidR="00734455" w:rsidRPr="00CD6CEF" w:rsidRDefault="00734455" w:rsidP="009A0137">
            <w:pPr>
              <w:pStyle w:val="TableText"/>
              <w:ind w:left="720" w:hanging="720"/>
            </w:pPr>
            <w:r>
              <w:t xml:space="preserve">Marine Stewardship Council </w:t>
            </w:r>
          </w:p>
        </w:tc>
      </w:tr>
      <w:tr w:rsidR="00734455" w:rsidRPr="00CD6CEF" w14:paraId="3D90A62D" w14:textId="77777777" w:rsidTr="009A0137">
        <w:trPr>
          <w:trHeight w:val="242"/>
        </w:trPr>
        <w:tc>
          <w:tcPr>
            <w:tcW w:w="3103" w:type="dxa"/>
          </w:tcPr>
          <w:p w14:paraId="3E45920A" w14:textId="77777777" w:rsidR="00734455" w:rsidRDefault="00734455" w:rsidP="009A0137">
            <w:pPr>
              <w:pStyle w:val="TableText"/>
              <w:ind w:left="720" w:hanging="720"/>
            </w:pPr>
            <w:proofErr w:type="spellStart"/>
            <w:r>
              <w:t>JPo</w:t>
            </w:r>
            <w:proofErr w:type="spellEnd"/>
            <w:r>
              <w:t>: Jim Portus</w:t>
            </w:r>
          </w:p>
        </w:tc>
        <w:tc>
          <w:tcPr>
            <w:tcW w:w="5140" w:type="dxa"/>
          </w:tcPr>
          <w:p w14:paraId="0E005384" w14:textId="54DFA696" w:rsidR="00734455" w:rsidRDefault="00734455" w:rsidP="009A0137">
            <w:pPr>
              <w:pStyle w:val="TableText"/>
              <w:ind w:left="720" w:hanging="720"/>
            </w:pPr>
            <w:r>
              <w:t>South Western Fish Producers</w:t>
            </w:r>
            <w:r w:rsidR="00DB4AC5">
              <w:t xml:space="preserve"> Organisation</w:t>
            </w:r>
            <w:r>
              <w:t xml:space="preserve"> </w:t>
            </w:r>
          </w:p>
        </w:tc>
      </w:tr>
      <w:tr w:rsidR="00734455" w:rsidRPr="00CD6CEF" w14:paraId="367801F6" w14:textId="77777777" w:rsidTr="009A0137">
        <w:trPr>
          <w:trHeight w:val="242"/>
        </w:trPr>
        <w:tc>
          <w:tcPr>
            <w:tcW w:w="3103" w:type="dxa"/>
          </w:tcPr>
          <w:p w14:paraId="7143E12A" w14:textId="77777777" w:rsidR="00734455" w:rsidRPr="00CD6CEF" w:rsidRDefault="00734455" w:rsidP="009A0137">
            <w:pPr>
              <w:pStyle w:val="TableText"/>
              <w:ind w:left="720" w:hanging="720"/>
            </w:pPr>
            <w:r>
              <w:t xml:space="preserve">KC: Kenny Coull </w:t>
            </w:r>
          </w:p>
        </w:tc>
        <w:tc>
          <w:tcPr>
            <w:tcW w:w="5140" w:type="dxa"/>
          </w:tcPr>
          <w:p w14:paraId="5421F9C6" w14:textId="77777777" w:rsidR="00734455" w:rsidRPr="00CD6CEF" w:rsidRDefault="00734455" w:rsidP="009A0137">
            <w:pPr>
              <w:pStyle w:val="TableText"/>
              <w:ind w:left="720" w:hanging="720"/>
            </w:pPr>
            <w:r w:rsidRPr="002E23B6">
              <w:t>Scottish White Fish Producers Association</w:t>
            </w:r>
          </w:p>
        </w:tc>
      </w:tr>
      <w:tr w:rsidR="00734455" w:rsidRPr="00CD6CEF" w14:paraId="4B6C1CEA" w14:textId="77777777" w:rsidTr="009A0137">
        <w:trPr>
          <w:trHeight w:val="242"/>
        </w:trPr>
        <w:tc>
          <w:tcPr>
            <w:tcW w:w="3103" w:type="dxa"/>
          </w:tcPr>
          <w:p w14:paraId="34F01CD3" w14:textId="77777777" w:rsidR="00734455" w:rsidRDefault="00734455" w:rsidP="009A0137">
            <w:pPr>
              <w:pStyle w:val="TableText"/>
              <w:ind w:left="720" w:hanging="720"/>
            </w:pPr>
            <w:r>
              <w:t>KK: Katie Keay</w:t>
            </w:r>
          </w:p>
        </w:tc>
        <w:tc>
          <w:tcPr>
            <w:tcW w:w="5140" w:type="dxa"/>
          </w:tcPr>
          <w:p w14:paraId="7A8E980D" w14:textId="77777777" w:rsidR="00734455" w:rsidRPr="00CD6CEF" w:rsidRDefault="00734455" w:rsidP="009A0137">
            <w:pPr>
              <w:pStyle w:val="TableText"/>
              <w:ind w:left="720" w:hanging="720"/>
            </w:pPr>
            <w:r>
              <w:t xml:space="preserve">Marine Stewardship Council </w:t>
            </w:r>
          </w:p>
        </w:tc>
      </w:tr>
      <w:tr w:rsidR="00734455" w:rsidRPr="00CD6CEF" w14:paraId="2D3C6C95" w14:textId="77777777" w:rsidTr="009A0137">
        <w:trPr>
          <w:trHeight w:val="242"/>
        </w:trPr>
        <w:tc>
          <w:tcPr>
            <w:tcW w:w="3103" w:type="dxa"/>
          </w:tcPr>
          <w:p w14:paraId="6D8B632E" w14:textId="77777777" w:rsidR="00734455" w:rsidRDefault="00734455" w:rsidP="009A0137">
            <w:pPr>
              <w:pStyle w:val="TableText"/>
              <w:ind w:left="720" w:hanging="720"/>
            </w:pPr>
            <w:r>
              <w:t>MF: Mairi Fenton</w:t>
            </w:r>
          </w:p>
        </w:tc>
        <w:tc>
          <w:tcPr>
            <w:tcW w:w="5140" w:type="dxa"/>
          </w:tcPr>
          <w:p w14:paraId="1768DEEA" w14:textId="77777777" w:rsidR="00734455" w:rsidRPr="00CD6CEF" w:rsidRDefault="00734455" w:rsidP="009A0137">
            <w:pPr>
              <w:pStyle w:val="TableText"/>
              <w:ind w:left="720" w:hanging="720"/>
            </w:pPr>
            <w:r>
              <w:t xml:space="preserve">Heriot-Watt University </w:t>
            </w:r>
          </w:p>
        </w:tc>
      </w:tr>
      <w:tr w:rsidR="00734455" w:rsidRPr="00CD6CEF" w14:paraId="5C18F5B3" w14:textId="77777777" w:rsidTr="009A0137">
        <w:trPr>
          <w:trHeight w:val="242"/>
        </w:trPr>
        <w:tc>
          <w:tcPr>
            <w:tcW w:w="3103" w:type="dxa"/>
          </w:tcPr>
          <w:p w14:paraId="021E651A" w14:textId="77777777" w:rsidR="00734455" w:rsidRDefault="00734455" w:rsidP="009A0137">
            <w:pPr>
              <w:pStyle w:val="TableText"/>
              <w:ind w:left="720" w:hanging="720"/>
            </w:pPr>
            <w:r>
              <w:t xml:space="preserve">MK: Mike Kaiser </w:t>
            </w:r>
          </w:p>
        </w:tc>
        <w:tc>
          <w:tcPr>
            <w:tcW w:w="5140" w:type="dxa"/>
          </w:tcPr>
          <w:p w14:paraId="6319492C" w14:textId="77777777" w:rsidR="00734455" w:rsidRPr="00CD6CEF" w:rsidRDefault="00734455" w:rsidP="009A0137">
            <w:pPr>
              <w:pStyle w:val="TableText"/>
              <w:ind w:left="720" w:hanging="720"/>
            </w:pPr>
            <w:r>
              <w:t xml:space="preserve">Heriot-Watt University </w:t>
            </w:r>
          </w:p>
        </w:tc>
      </w:tr>
      <w:tr w:rsidR="00734455" w:rsidRPr="00CD6CEF" w14:paraId="04602F1E" w14:textId="77777777" w:rsidTr="009A0137">
        <w:trPr>
          <w:trHeight w:val="242"/>
        </w:trPr>
        <w:tc>
          <w:tcPr>
            <w:tcW w:w="3103" w:type="dxa"/>
          </w:tcPr>
          <w:p w14:paraId="4496C744" w14:textId="77777777" w:rsidR="00734455" w:rsidRDefault="00734455" w:rsidP="009A0137">
            <w:pPr>
              <w:pStyle w:val="TableText"/>
              <w:ind w:left="720" w:hanging="720"/>
            </w:pPr>
            <w:r>
              <w:t>MP: Mike Park</w:t>
            </w:r>
          </w:p>
        </w:tc>
        <w:tc>
          <w:tcPr>
            <w:tcW w:w="5140" w:type="dxa"/>
          </w:tcPr>
          <w:p w14:paraId="6767637A" w14:textId="77777777" w:rsidR="00734455" w:rsidRPr="00CD6CEF" w:rsidRDefault="00734455" w:rsidP="009A0137">
            <w:pPr>
              <w:pStyle w:val="TableText"/>
              <w:ind w:left="720" w:hanging="720"/>
            </w:pPr>
            <w:r w:rsidRPr="002E23B6">
              <w:t>Scottish White Fish Producers Association</w:t>
            </w:r>
          </w:p>
        </w:tc>
      </w:tr>
      <w:tr w:rsidR="00734455" w:rsidRPr="00CD6CEF" w14:paraId="6ED88CF5" w14:textId="77777777" w:rsidTr="009A0137">
        <w:trPr>
          <w:trHeight w:val="242"/>
        </w:trPr>
        <w:tc>
          <w:tcPr>
            <w:tcW w:w="3103" w:type="dxa"/>
          </w:tcPr>
          <w:p w14:paraId="78FC45AC" w14:textId="77777777" w:rsidR="00734455" w:rsidRDefault="00734455" w:rsidP="009A0137">
            <w:pPr>
              <w:pStyle w:val="TableText"/>
              <w:ind w:left="720" w:hanging="720"/>
            </w:pPr>
            <w:r>
              <w:t>MS: Matt Spencer</w:t>
            </w:r>
          </w:p>
        </w:tc>
        <w:tc>
          <w:tcPr>
            <w:tcW w:w="5140" w:type="dxa"/>
          </w:tcPr>
          <w:p w14:paraId="0109C509" w14:textId="77777777" w:rsidR="00734455" w:rsidRPr="00CD6CEF" w:rsidRDefault="00734455" w:rsidP="009A0137">
            <w:pPr>
              <w:pStyle w:val="TableText"/>
              <w:ind w:left="720" w:hanging="720"/>
            </w:pPr>
            <w:r>
              <w:t xml:space="preserve">Marine Stewardship Council </w:t>
            </w:r>
          </w:p>
        </w:tc>
      </w:tr>
      <w:tr w:rsidR="00734455" w:rsidRPr="00CD6CEF" w14:paraId="530706FE" w14:textId="77777777" w:rsidTr="009A0137">
        <w:trPr>
          <w:trHeight w:val="242"/>
        </w:trPr>
        <w:tc>
          <w:tcPr>
            <w:tcW w:w="3103" w:type="dxa"/>
          </w:tcPr>
          <w:p w14:paraId="04A49708" w14:textId="77777777" w:rsidR="00734455" w:rsidRPr="00CD6CEF" w:rsidRDefault="00734455" w:rsidP="009A0137">
            <w:pPr>
              <w:pStyle w:val="TableText"/>
              <w:ind w:left="720" w:hanging="720"/>
            </w:pPr>
            <w:r>
              <w:t xml:space="preserve">RG: Roy Griffin </w:t>
            </w:r>
          </w:p>
        </w:tc>
        <w:tc>
          <w:tcPr>
            <w:tcW w:w="5140" w:type="dxa"/>
          </w:tcPr>
          <w:p w14:paraId="3942CEDF" w14:textId="77777777" w:rsidR="00734455" w:rsidRPr="00CD6CEF" w:rsidRDefault="00734455" w:rsidP="009A0137">
            <w:pPr>
              <w:pStyle w:val="TableText"/>
              <w:ind w:left="720" w:hanging="720"/>
            </w:pPr>
            <w:r w:rsidRPr="002E23B6">
              <w:t>Department of Agriculture, Environment and Rural Affairs</w:t>
            </w:r>
          </w:p>
        </w:tc>
      </w:tr>
    </w:tbl>
    <w:p w14:paraId="233D8C26" w14:textId="58C25CA2" w:rsidR="00083AC4" w:rsidRDefault="00083AC4" w:rsidP="00F42911"/>
    <w:p w14:paraId="3368A485" w14:textId="6F4E070C" w:rsidR="00330FCA" w:rsidRDefault="00330FCA" w:rsidP="00A628C4">
      <w:pPr>
        <w:pStyle w:val="TItleofAgendaItem"/>
      </w:pPr>
      <w:r>
        <w:t>Purpose of the meeting</w:t>
      </w:r>
    </w:p>
    <w:p w14:paraId="4C1F8E3B" w14:textId="2A9B8A71" w:rsidR="00C21C10" w:rsidRPr="00C21C10" w:rsidRDefault="004B082A" w:rsidP="008224A9">
      <w:r>
        <w:t xml:space="preserve">This call was an opportunity for the Steering Group to review </w:t>
      </w:r>
      <w:r w:rsidR="00BC2A24">
        <w:t xml:space="preserve">progress made against each of the actions under </w:t>
      </w:r>
      <w:r w:rsidR="00D541D8">
        <w:t>Principle 1 and 2</w:t>
      </w:r>
      <w:r w:rsidR="00BC2A24">
        <w:t xml:space="preserve"> in the UK scallop </w:t>
      </w:r>
      <w:r w:rsidR="00B65B5D">
        <w:t>Fishery Improvement Project (FIP)</w:t>
      </w:r>
      <w:r w:rsidR="00BC2A24">
        <w:t xml:space="preserve"> </w:t>
      </w:r>
      <w:r w:rsidR="005F1B97">
        <w:t>A</w:t>
      </w:r>
      <w:r w:rsidR="00BC2A24">
        <w:t xml:space="preserve">ction </w:t>
      </w:r>
      <w:r w:rsidR="005F1B97">
        <w:t>P</w:t>
      </w:r>
      <w:r w:rsidR="00BC2A24">
        <w:t>lan</w:t>
      </w:r>
      <w:r w:rsidR="00C9591F">
        <w:t xml:space="preserve"> and agree on next steps</w:t>
      </w:r>
      <w:r w:rsidR="00AD3714">
        <w:t>.</w:t>
      </w:r>
    </w:p>
    <w:p w14:paraId="2BDD592D" w14:textId="0328A0D4" w:rsidR="00B52F8E" w:rsidRDefault="00A85A75" w:rsidP="006511A2">
      <w:pPr>
        <w:pStyle w:val="AgendaItemNumber"/>
      </w:pPr>
      <w:r w:rsidRPr="00FC1241">
        <w:t>Agenda Item 1</w:t>
      </w:r>
      <w:r w:rsidR="00B52F8E">
        <w:t xml:space="preserve"> (</w:t>
      </w:r>
      <w:r w:rsidR="009A0137">
        <w:t xml:space="preserve">Principle 1 </w:t>
      </w:r>
      <w:r w:rsidR="00707269">
        <w:t>– Stock sustainability</w:t>
      </w:r>
      <w:r w:rsidR="00B52F8E">
        <w:t>)</w:t>
      </w:r>
      <w:r w:rsidR="00707269">
        <w:t xml:space="preserve"> </w:t>
      </w:r>
    </w:p>
    <w:p w14:paraId="134F7955" w14:textId="586167F0" w:rsidR="00537E3E" w:rsidRDefault="00537E3E" w:rsidP="00537E3E">
      <w:pPr>
        <w:rPr>
          <w:b/>
          <w:bCs/>
        </w:rPr>
      </w:pPr>
      <w:r w:rsidRPr="00537E3E">
        <w:rPr>
          <w:b/>
          <w:bCs/>
        </w:rPr>
        <w:t>Action 1: Stock status</w:t>
      </w:r>
    </w:p>
    <w:p w14:paraId="1A89B00B" w14:textId="3F0911F3" w:rsidR="005D6466" w:rsidRDefault="00421454" w:rsidP="00707269">
      <w:pPr>
        <w:rPr>
          <w:rStyle w:val="CommentReference"/>
        </w:rPr>
      </w:pPr>
      <w:r w:rsidRPr="00421454">
        <w:rPr>
          <w:color w:val="404040" w:themeColor="text1" w:themeTint="BF"/>
        </w:rPr>
        <w:t>This action addresses stock boundaries and appropriate reference points for the U</w:t>
      </w:r>
      <w:r w:rsidR="00AC3BEE">
        <w:rPr>
          <w:color w:val="404040" w:themeColor="text1" w:themeTint="BF"/>
        </w:rPr>
        <w:t xml:space="preserve">nit </w:t>
      </w:r>
      <w:r w:rsidRPr="00421454">
        <w:rPr>
          <w:color w:val="404040" w:themeColor="text1" w:themeTint="BF"/>
        </w:rPr>
        <w:t>o</w:t>
      </w:r>
      <w:r w:rsidR="00AC3BEE">
        <w:rPr>
          <w:color w:val="404040" w:themeColor="text1" w:themeTint="BF"/>
        </w:rPr>
        <w:t xml:space="preserve">f </w:t>
      </w:r>
      <w:r>
        <w:rPr>
          <w:color w:val="404040" w:themeColor="text1" w:themeTint="BF"/>
        </w:rPr>
        <w:t>A</w:t>
      </w:r>
      <w:r w:rsidR="00AC3BEE">
        <w:rPr>
          <w:color w:val="404040" w:themeColor="text1" w:themeTint="BF"/>
        </w:rPr>
        <w:t>ssessment (</w:t>
      </w:r>
      <w:proofErr w:type="spellStart"/>
      <w:r w:rsidR="00AC3BEE">
        <w:rPr>
          <w:color w:val="404040" w:themeColor="text1" w:themeTint="BF"/>
        </w:rPr>
        <w:t>UoA</w:t>
      </w:r>
      <w:proofErr w:type="spellEnd"/>
      <w:r w:rsidR="00AC3BEE">
        <w:rPr>
          <w:color w:val="404040" w:themeColor="text1" w:themeTint="BF"/>
        </w:rPr>
        <w:t>)</w:t>
      </w:r>
      <w:r w:rsidR="006E04E2">
        <w:rPr>
          <w:color w:val="404040" w:themeColor="text1" w:themeTint="BF"/>
        </w:rPr>
        <w:t xml:space="preserve"> with a requirement in the Action Plan </w:t>
      </w:r>
      <w:r w:rsidR="00C37837" w:rsidRPr="00C37837">
        <w:rPr>
          <w:color w:val="404040" w:themeColor="text1" w:themeTint="BF"/>
        </w:rPr>
        <w:t>for further data</w:t>
      </w:r>
      <w:r w:rsidR="00C37837">
        <w:rPr>
          <w:color w:val="404040" w:themeColor="text1" w:themeTint="BF"/>
        </w:rPr>
        <w:t xml:space="preserve"> </w:t>
      </w:r>
      <w:r w:rsidR="00C37837" w:rsidRPr="00C37837">
        <w:rPr>
          <w:color w:val="404040" w:themeColor="text1" w:themeTint="BF"/>
        </w:rPr>
        <w:t>to support stock definition.</w:t>
      </w:r>
      <w:r>
        <w:rPr>
          <w:color w:val="404040" w:themeColor="text1" w:themeTint="BF"/>
        </w:rPr>
        <w:t xml:space="preserve"> </w:t>
      </w:r>
      <w:r w:rsidR="00C37837">
        <w:rPr>
          <w:color w:val="404040" w:themeColor="text1" w:themeTint="BF"/>
        </w:rPr>
        <w:t xml:space="preserve">Lynda Blackadder (LB) of </w:t>
      </w:r>
      <w:r w:rsidR="005D6466" w:rsidRPr="005D6466">
        <w:rPr>
          <w:color w:val="404040" w:themeColor="text1" w:themeTint="BF"/>
        </w:rPr>
        <w:t xml:space="preserve">Marine Scotland Science </w:t>
      </w:r>
      <w:r w:rsidR="00444D2A">
        <w:rPr>
          <w:color w:val="404040" w:themeColor="text1" w:themeTint="BF"/>
        </w:rPr>
        <w:t xml:space="preserve">was unable to attend the meeting and </w:t>
      </w:r>
      <w:r w:rsidR="005D6466" w:rsidRPr="005D6466">
        <w:rPr>
          <w:color w:val="404040" w:themeColor="text1" w:themeTint="BF"/>
        </w:rPr>
        <w:t>provided a</w:t>
      </w:r>
      <w:r w:rsidR="00CB49D5">
        <w:rPr>
          <w:color w:val="404040" w:themeColor="text1" w:themeTint="BF"/>
        </w:rPr>
        <w:t xml:space="preserve"> written</w:t>
      </w:r>
      <w:r w:rsidR="005D6466" w:rsidRPr="005D6466">
        <w:rPr>
          <w:color w:val="404040" w:themeColor="text1" w:themeTint="BF"/>
        </w:rPr>
        <w:t xml:space="preserve"> update to the group </w:t>
      </w:r>
      <w:r w:rsidR="00967A84">
        <w:rPr>
          <w:color w:val="404040" w:themeColor="text1" w:themeTint="BF"/>
        </w:rPr>
        <w:t xml:space="preserve">confirming </w:t>
      </w:r>
      <w:r w:rsidR="005D6466" w:rsidRPr="005D6466">
        <w:rPr>
          <w:color w:val="404040" w:themeColor="text1" w:themeTint="BF"/>
        </w:rPr>
        <w:t xml:space="preserve">that that </w:t>
      </w:r>
      <w:r w:rsidR="00603489">
        <w:rPr>
          <w:color w:val="404040" w:themeColor="text1" w:themeTint="BF"/>
        </w:rPr>
        <w:t>Marine Scotland Science</w:t>
      </w:r>
      <w:r w:rsidR="00603489" w:rsidRPr="005D6466">
        <w:rPr>
          <w:color w:val="404040" w:themeColor="text1" w:themeTint="BF"/>
        </w:rPr>
        <w:t xml:space="preserve"> </w:t>
      </w:r>
      <w:r w:rsidR="00444D2A">
        <w:rPr>
          <w:color w:val="404040" w:themeColor="text1" w:themeTint="BF"/>
        </w:rPr>
        <w:t>is</w:t>
      </w:r>
      <w:r w:rsidR="00444D2A" w:rsidRPr="005D6466">
        <w:rPr>
          <w:color w:val="404040" w:themeColor="text1" w:themeTint="BF"/>
        </w:rPr>
        <w:t xml:space="preserve"> </w:t>
      </w:r>
      <w:r w:rsidR="005D6466" w:rsidRPr="005D6466">
        <w:rPr>
          <w:color w:val="404040" w:themeColor="text1" w:themeTint="BF"/>
        </w:rPr>
        <w:t xml:space="preserve">close to appointing a shellfish population modeller. </w:t>
      </w:r>
      <w:r w:rsidR="00603489">
        <w:rPr>
          <w:color w:val="404040" w:themeColor="text1" w:themeTint="BF"/>
        </w:rPr>
        <w:t>T</w:t>
      </w:r>
      <w:r w:rsidR="005D6466" w:rsidRPr="005D6466">
        <w:rPr>
          <w:color w:val="404040" w:themeColor="text1" w:themeTint="BF"/>
        </w:rPr>
        <w:t xml:space="preserve">his new member of staff will be </w:t>
      </w:r>
      <w:r w:rsidR="00603489">
        <w:rPr>
          <w:color w:val="404040" w:themeColor="text1" w:themeTint="BF"/>
        </w:rPr>
        <w:t>responsible for</w:t>
      </w:r>
      <w:r w:rsidR="005D6466" w:rsidRPr="005D6466">
        <w:rPr>
          <w:color w:val="404040" w:themeColor="text1" w:themeTint="BF"/>
        </w:rPr>
        <w:t xml:space="preserve"> scallop stock assessments and appropriate reference points</w:t>
      </w:r>
      <w:r w:rsidR="00073E07">
        <w:rPr>
          <w:color w:val="404040" w:themeColor="text1" w:themeTint="BF"/>
        </w:rPr>
        <w:t xml:space="preserve"> in Scottish waters</w:t>
      </w:r>
      <w:r w:rsidR="005D6466" w:rsidRPr="005D6466">
        <w:rPr>
          <w:color w:val="404040" w:themeColor="text1" w:themeTint="BF"/>
        </w:rPr>
        <w:t>.</w:t>
      </w:r>
      <w:r w:rsidR="005D6466">
        <w:rPr>
          <w:color w:val="404040" w:themeColor="text1" w:themeTint="BF"/>
        </w:rPr>
        <w:t xml:space="preserve"> This update address</w:t>
      </w:r>
      <w:r w:rsidR="00073E07">
        <w:rPr>
          <w:color w:val="404040" w:themeColor="text1" w:themeTint="BF"/>
        </w:rPr>
        <w:t>es</w:t>
      </w:r>
      <w:r w:rsidR="005D6466">
        <w:rPr>
          <w:color w:val="404040" w:themeColor="text1" w:themeTint="BF"/>
        </w:rPr>
        <w:t xml:space="preserve"> </w:t>
      </w:r>
      <w:r w:rsidR="00627856">
        <w:rPr>
          <w:color w:val="404040" w:themeColor="text1" w:themeTint="BF"/>
        </w:rPr>
        <w:t xml:space="preserve">part of </w:t>
      </w:r>
      <w:r w:rsidR="005D6466">
        <w:rPr>
          <w:color w:val="404040" w:themeColor="text1" w:themeTint="BF"/>
        </w:rPr>
        <w:t xml:space="preserve">a year 2-3 </w:t>
      </w:r>
      <w:r w:rsidR="008106FA">
        <w:rPr>
          <w:color w:val="404040" w:themeColor="text1" w:themeTint="BF"/>
        </w:rPr>
        <w:t xml:space="preserve">action, that analytical stock assessments </w:t>
      </w:r>
      <w:r w:rsidR="00C14BA1">
        <w:rPr>
          <w:color w:val="404040" w:themeColor="text1" w:themeTint="BF"/>
        </w:rPr>
        <w:t>are available from Scotland</w:t>
      </w:r>
      <w:r w:rsidR="004C4D7E">
        <w:rPr>
          <w:color w:val="404040" w:themeColor="text1" w:themeTint="BF"/>
        </w:rPr>
        <w:t xml:space="preserve"> </w:t>
      </w:r>
      <w:r w:rsidR="00CD7BDA">
        <w:rPr>
          <w:color w:val="404040" w:themeColor="text1" w:themeTint="BF"/>
        </w:rPr>
        <w:t>waters</w:t>
      </w:r>
      <w:r w:rsidR="00C14BA1">
        <w:rPr>
          <w:color w:val="404040" w:themeColor="text1" w:themeTint="BF"/>
        </w:rPr>
        <w:t>.</w:t>
      </w:r>
      <w:r w:rsidR="008106FA">
        <w:rPr>
          <w:rStyle w:val="CommentReference"/>
        </w:rPr>
        <w:t xml:space="preserve"> </w:t>
      </w:r>
    </w:p>
    <w:p w14:paraId="1A8D79BC" w14:textId="77777777" w:rsidR="008224A9" w:rsidRDefault="008224A9" w:rsidP="00707269">
      <w:pPr>
        <w:rPr>
          <w:rStyle w:val="CommentReference"/>
          <w:b/>
          <w:bCs/>
          <w:i/>
          <w:iCs/>
          <w:sz w:val="20"/>
          <w:szCs w:val="20"/>
        </w:rPr>
      </w:pPr>
    </w:p>
    <w:p w14:paraId="2E7C021B" w14:textId="2C1AC893" w:rsidR="00A35660" w:rsidRPr="006E71A7" w:rsidRDefault="00A35660" w:rsidP="00707269">
      <w:pPr>
        <w:rPr>
          <w:b/>
          <w:bCs/>
          <w:i/>
          <w:iCs/>
          <w:color w:val="404040" w:themeColor="text1" w:themeTint="BF"/>
          <w:sz w:val="20"/>
          <w:szCs w:val="20"/>
        </w:rPr>
      </w:pPr>
      <w:r w:rsidRPr="006E71A7">
        <w:rPr>
          <w:rStyle w:val="CommentReference"/>
          <w:b/>
          <w:bCs/>
          <w:i/>
          <w:iCs/>
          <w:sz w:val="20"/>
          <w:szCs w:val="20"/>
        </w:rPr>
        <w:lastRenderedPageBreak/>
        <w:t>Dogger Bank</w:t>
      </w:r>
    </w:p>
    <w:p w14:paraId="605F588E" w14:textId="29000C2D" w:rsidR="005D6466" w:rsidRDefault="00F24CFD" w:rsidP="005D6466">
      <w:r>
        <w:t xml:space="preserve">The Steering Group discussed </w:t>
      </w:r>
      <w:r w:rsidR="00D32F96">
        <w:t xml:space="preserve">the </w:t>
      </w:r>
      <w:r>
        <w:t xml:space="preserve">newly discovered </w:t>
      </w:r>
      <w:r w:rsidR="00D32F96">
        <w:t>Dogger Bank fishery</w:t>
      </w:r>
      <w:r w:rsidR="000D58AC">
        <w:t xml:space="preserve">. So </w:t>
      </w:r>
      <w:proofErr w:type="gramStart"/>
      <w:r w:rsidR="000D58AC">
        <w:t>far</w:t>
      </w:r>
      <w:proofErr w:type="gramEnd"/>
      <w:r w:rsidR="000D58AC">
        <w:t xml:space="preserve"> the </w:t>
      </w:r>
      <w:r w:rsidR="00DA1C9E">
        <w:t xml:space="preserve">Dogger Bank </w:t>
      </w:r>
      <w:r w:rsidR="000D58AC">
        <w:t xml:space="preserve">stock has not been included in the FIP </w:t>
      </w:r>
      <w:proofErr w:type="spellStart"/>
      <w:r w:rsidR="000D58AC">
        <w:t>UoA</w:t>
      </w:r>
      <w:proofErr w:type="spellEnd"/>
      <w:r w:rsidR="000D58AC">
        <w:t>, but need</w:t>
      </w:r>
      <w:r w:rsidR="00074C72">
        <w:t>s</w:t>
      </w:r>
      <w:r w:rsidR="000D58AC">
        <w:t xml:space="preserve"> to be considered </w:t>
      </w:r>
      <w:r w:rsidR="00661F78">
        <w:t xml:space="preserve">as there may be impacts on </w:t>
      </w:r>
      <w:r w:rsidR="000D58AC">
        <w:t>traceability</w:t>
      </w:r>
      <w:r w:rsidR="00661F78">
        <w:t xml:space="preserve"> if not included</w:t>
      </w:r>
      <w:r w:rsidR="000D58AC">
        <w:t xml:space="preserve">. </w:t>
      </w:r>
      <w:r w:rsidR="00D32F96">
        <w:t xml:space="preserve">Cefas </w:t>
      </w:r>
      <w:r w:rsidR="00661F78">
        <w:t xml:space="preserve">has </w:t>
      </w:r>
      <w:r w:rsidR="002025FD">
        <w:t xml:space="preserve">already </w:t>
      </w:r>
      <w:r w:rsidR="00F528F6">
        <w:t>conduct</w:t>
      </w:r>
      <w:r w:rsidR="002025FD">
        <w:t>ed</w:t>
      </w:r>
      <w:r w:rsidR="00D32F96">
        <w:t xml:space="preserve"> survey work</w:t>
      </w:r>
      <w:r w:rsidR="00E5213E">
        <w:t xml:space="preserve"> in the area,</w:t>
      </w:r>
      <w:r w:rsidR="00F528F6">
        <w:t xml:space="preserve"> focussing on understanding </w:t>
      </w:r>
      <w:r w:rsidR="00D32F96">
        <w:t xml:space="preserve">the population densities of scallops, and </w:t>
      </w:r>
      <w:r w:rsidR="005148E8">
        <w:t>larval distribution</w:t>
      </w:r>
      <w:r w:rsidR="00D32F96">
        <w:t xml:space="preserve"> within the North Sea region. </w:t>
      </w:r>
      <w:r w:rsidR="00A81FBD">
        <w:t>T</w:t>
      </w:r>
      <w:r w:rsidR="005947D6">
        <w:t>he scallop fishery in the Dogger Bank is closed</w:t>
      </w:r>
      <w:r w:rsidR="00793562">
        <w:t>,</w:t>
      </w:r>
      <w:r w:rsidR="005947D6">
        <w:t xml:space="preserve"> at the request of industry</w:t>
      </w:r>
      <w:r w:rsidR="00793562">
        <w:t>,</w:t>
      </w:r>
      <w:r w:rsidR="005947D6">
        <w:t xml:space="preserve"> until 1</w:t>
      </w:r>
      <w:r w:rsidR="005947D6" w:rsidRPr="005947D6">
        <w:rPr>
          <w:vertAlign w:val="superscript"/>
        </w:rPr>
        <w:t>st</w:t>
      </w:r>
      <w:r w:rsidR="005947D6">
        <w:t xml:space="preserve"> March 2021. </w:t>
      </w:r>
    </w:p>
    <w:p w14:paraId="6B504CE3" w14:textId="79748684" w:rsidR="00C4197E" w:rsidRDefault="005947D6" w:rsidP="005D6466">
      <w:r>
        <w:t xml:space="preserve">CD </w:t>
      </w:r>
      <w:r w:rsidR="00B3002A">
        <w:t xml:space="preserve">highlighted </w:t>
      </w:r>
      <w:r>
        <w:t>that the Dogger Bank is a Special Area of Conservation (SAC) and will need habitats research as we</w:t>
      </w:r>
      <w:r w:rsidR="00DC57E1">
        <w:t>ll</w:t>
      </w:r>
      <w:r w:rsidR="0077229E">
        <w:t>,</w:t>
      </w:r>
      <w:r w:rsidR="00DC57E1">
        <w:t xml:space="preserve"> something </w:t>
      </w:r>
      <w:proofErr w:type="spellStart"/>
      <w:r w:rsidR="00C4197E">
        <w:t>JPo</w:t>
      </w:r>
      <w:proofErr w:type="spellEnd"/>
      <w:r w:rsidR="00C4197E">
        <w:t xml:space="preserve"> </w:t>
      </w:r>
      <w:r w:rsidR="009538BC">
        <w:t>agree</w:t>
      </w:r>
      <w:r w:rsidR="00CE437E">
        <w:t>d</w:t>
      </w:r>
      <w:r w:rsidR="00511545">
        <w:t xml:space="preserve"> with and said would </w:t>
      </w:r>
      <w:r w:rsidR="000E553B">
        <w:t xml:space="preserve">help understand where </w:t>
      </w:r>
      <w:r w:rsidR="0046057A">
        <w:t>sensitive habitats</w:t>
      </w:r>
      <w:r w:rsidR="000E553B">
        <w:t xml:space="preserve"> might overlap with fishing activity</w:t>
      </w:r>
      <w:r w:rsidR="009720C0">
        <w:t xml:space="preserve">. </w:t>
      </w:r>
      <w:r w:rsidR="0002640C">
        <w:t xml:space="preserve">Whilst </w:t>
      </w:r>
      <w:r w:rsidR="00C4197E">
        <w:t>CD</w:t>
      </w:r>
      <w:r w:rsidR="0002640C">
        <w:t xml:space="preserve"> was on the call to represent LINK, he did note</w:t>
      </w:r>
      <w:r w:rsidR="00C4197E">
        <w:t xml:space="preserve"> that Marine Conservation Society’s</w:t>
      </w:r>
      <w:r w:rsidR="00824D7A">
        <w:t xml:space="preserve"> (MCS)</w:t>
      </w:r>
      <w:r w:rsidR="00C4197E">
        <w:t xml:space="preserve"> position is to seek a whole site approach to SACs and Marine Protected Areas (MPAs) </w:t>
      </w:r>
      <w:proofErr w:type="gramStart"/>
      <w:r w:rsidR="00C4197E">
        <w:t>in regard to</w:t>
      </w:r>
      <w:proofErr w:type="gramEnd"/>
      <w:r w:rsidR="00C4197E">
        <w:t xml:space="preserve"> bottom contact gears and benthic habitats. </w:t>
      </w:r>
    </w:p>
    <w:p w14:paraId="7B339CFE" w14:textId="33111C1B" w:rsidR="005D6466" w:rsidRDefault="005947D6" w:rsidP="005D6466">
      <w:r>
        <w:t xml:space="preserve">CP believed </w:t>
      </w:r>
      <w:r w:rsidR="003F1853">
        <w:t xml:space="preserve">the Dogger </w:t>
      </w:r>
      <w:r w:rsidR="00707269">
        <w:t>B</w:t>
      </w:r>
      <w:r w:rsidR="003F1853">
        <w:t xml:space="preserve">ank should be included in the FIP and recommend </w:t>
      </w:r>
      <w:r w:rsidR="00584A3D">
        <w:t xml:space="preserve">we form </w:t>
      </w:r>
      <w:r w:rsidR="003F1853">
        <w:t xml:space="preserve">a sub-group </w:t>
      </w:r>
      <w:r w:rsidR="001B27AD">
        <w:t xml:space="preserve">to </w:t>
      </w:r>
      <w:r w:rsidR="00023D7D">
        <w:t xml:space="preserve">understand how the </w:t>
      </w:r>
      <w:r w:rsidR="005F1B97">
        <w:t>A</w:t>
      </w:r>
      <w:r w:rsidR="00023D7D">
        <w:t xml:space="preserve">ction </w:t>
      </w:r>
      <w:r w:rsidR="005F1B97">
        <w:t>P</w:t>
      </w:r>
      <w:r w:rsidR="00023D7D">
        <w:t>lan might need to be updated</w:t>
      </w:r>
      <w:r w:rsidR="00C4197E">
        <w:t xml:space="preserve">. </w:t>
      </w:r>
      <w:r w:rsidR="000630C8">
        <w:t xml:space="preserve">The SICG </w:t>
      </w:r>
      <w:r w:rsidR="003E200B">
        <w:t xml:space="preserve">has already undertaken a lot of work on Dogger Bank, and </w:t>
      </w:r>
      <w:r w:rsidR="00C4197E">
        <w:t>CP reminded the group that the FIP ha</w:t>
      </w:r>
      <w:r w:rsidR="003E200B">
        <w:t>s</w:t>
      </w:r>
      <w:r w:rsidR="00C4197E">
        <w:t xml:space="preserve"> an observer position in the SICG </w:t>
      </w:r>
      <w:r w:rsidR="006A7732">
        <w:t>to ensure good communication between the two groups</w:t>
      </w:r>
      <w:r w:rsidR="00C4197E">
        <w:t>. FN</w:t>
      </w:r>
      <w:r w:rsidR="00294741">
        <w:t xml:space="preserve"> said she would welcome joining an SICG meeting as an observer and recommended FB, </w:t>
      </w:r>
      <w:proofErr w:type="spellStart"/>
      <w:r w:rsidR="00294741">
        <w:t>JPo</w:t>
      </w:r>
      <w:proofErr w:type="spellEnd"/>
      <w:r w:rsidR="00294741">
        <w:t xml:space="preserve"> and CP </w:t>
      </w:r>
      <w:r w:rsidR="006A7732">
        <w:t>for</w:t>
      </w:r>
      <w:r w:rsidR="00C9389D">
        <w:t xml:space="preserve"> </w:t>
      </w:r>
      <w:r w:rsidR="00294741">
        <w:t>the Dogger Bank sub-group.</w:t>
      </w:r>
    </w:p>
    <w:p w14:paraId="3876F1B2" w14:textId="1AC9CAA2" w:rsidR="002819A3" w:rsidRPr="002819A3" w:rsidRDefault="002819A3" w:rsidP="002819A3">
      <w:pPr>
        <w:rPr>
          <w:b/>
          <w:bCs/>
          <w:i/>
          <w:iCs/>
          <w:sz w:val="24"/>
          <w:szCs w:val="24"/>
        </w:rPr>
      </w:pPr>
      <w:r w:rsidRPr="002819A3">
        <w:rPr>
          <w:b/>
          <w:bCs/>
          <w:i/>
          <w:iCs/>
          <w:sz w:val="24"/>
          <w:szCs w:val="24"/>
        </w:rPr>
        <w:t>Actions</w:t>
      </w:r>
      <w:r w:rsidR="008224A9">
        <w:rPr>
          <w:b/>
          <w:bCs/>
          <w:i/>
          <w:iCs/>
          <w:sz w:val="24"/>
          <w:szCs w:val="24"/>
        </w:rPr>
        <w:t>:</w:t>
      </w:r>
      <w:r w:rsidRPr="002819A3">
        <w:rPr>
          <w:b/>
          <w:bCs/>
          <w:i/>
          <w:iCs/>
          <w:sz w:val="24"/>
          <w:szCs w:val="24"/>
        </w:rPr>
        <w:t xml:space="preserve"> </w:t>
      </w:r>
    </w:p>
    <w:p w14:paraId="03C193CE" w14:textId="2AF5BF53" w:rsidR="00613698" w:rsidRDefault="00613698" w:rsidP="00613698">
      <w:pPr>
        <w:pStyle w:val="ListParagraph"/>
        <w:numPr>
          <w:ilvl w:val="0"/>
          <w:numId w:val="1"/>
        </w:numPr>
      </w:pPr>
      <w:r>
        <w:t xml:space="preserve">FN </w:t>
      </w:r>
      <w:r w:rsidRPr="007F7E04">
        <w:t>to update Action Plan to show Marine Scotland Science has new position due to start</w:t>
      </w:r>
    </w:p>
    <w:p w14:paraId="5E707AF8" w14:textId="77777777" w:rsidR="002D35CF" w:rsidRDefault="002D35CF" w:rsidP="002D35CF">
      <w:pPr>
        <w:pStyle w:val="ListParagraph"/>
        <w:numPr>
          <w:ilvl w:val="0"/>
          <w:numId w:val="1"/>
        </w:numPr>
      </w:pPr>
      <w:proofErr w:type="spellStart"/>
      <w:r>
        <w:t>JPo</w:t>
      </w:r>
      <w:proofErr w:type="spellEnd"/>
      <w:r>
        <w:t>, FB and CP to join Dogger bank sub-group of the FIP</w:t>
      </w:r>
    </w:p>
    <w:p w14:paraId="4BC577A7" w14:textId="77777777" w:rsidR="007F21A4" w:rsidRDefault="007F21A4" w:rsidP="007F21A4">
      <w:pPr>
        <w:pStyle w:val="ListParagraph"/>
        <w:numPr>
          <w:ilvl w:val="0"/>
          <w:numId w:val="1"/>
        </w:numPr>
      </w:pPr>
      <w:r>
        <w:t xml:space="preserve">Secretariat to: </w:t>
      </w:r>
    </w:p>
    <w:p w14:paraId="718C2A7D" w14:textId="77777777" w:rsidR="007F21A4" w:rsidRDefault="007F21A4" w:rsidP="007F21A4">
      <w:pPr>
        <w:pStyle w:val="ListParagraph"/>
        <w:numPr>
          <w:ilvl w:val="1"/>
          <w:numId w:val="1"/>
        </w:numPr>
      </w:pPr>
      <w:r>
        <w:t xml:space="preserve">ask Cefas for scallop survey update for English North Sea </w:t>
      </w:r>
    </w:p>
    <w:p w14:paraId="7A092017" w14:textId="03FD0B69" w:rsidR="003F53EA" w:rsidRPr="00540E66" w:rsidRDefault="007F21A4" w:rsidP="00540E66">
      <w:pPr>
        <w:pStyle w:val="ListParagraph"/>
        <w:numPr>
          <w:ilvl w:val="1"/>
          <w:numId w:val="1"/>
        </w:numPr>
      </w:pPr>
      <w:r w:rsidRPr="004467BD">
        <w:t xml:space="preserve">set up call with FN and other interested members to discuss how </w:t>
      </w:r>
      <w:r>
        <w:t>D</w:t>
      </w:r>
      <w:r w:rsidRPr="004467BD">
        <w:t>ogger</w:t>
      </w:r>
      <w:r>
        <w:t xml:space="preserve"> Bank developments</w:t>
      </w:r>
      <w:r w:rsidRPr="004467BD">
        <w:t xml:space="preserve"> should be addressed by the FIP</w:t>
      </w:r>
      <w:r>
        <w:t xml:space="preserve"> and set up the Dogger Bank sub-group</w:t>
      </w:r>
    </w:p>
    <w:p w14:paraId="59A163FA" w14:textId="0BD55754" w:rsidR="00537E3E" w:rsidRDefault="00537E3E" w:rsidP="00537E3E">
      <w:pPr>
        <w:rPr>
          <w:b/>
          <w:bCs/>
        </w:rPr>
      </w:pPr>
      <w:r w:rsidRPr="00537E3E">
        <w:rPr>
          <w:b/>
          <w:bCs/>
        </w:rPr>
        <w:t>Action</w:t>
      </w:r>
      <w:r w:rsidR="00FC5820">
        <w:rPr>
          <w:b/>
          <w:bCs/>
        </w:rPr>
        <w:t>s</w:t>
      </w:r>
      <w:r w:rsidRPr="00537E3E">
        <w:rPr>
          <w:b/>
          <w:bCs/>
        </w:rPr>
        <w:t xml:space="preserve"> 2</w:t>
      </w:r>
      <w:r w:rsidR="00E71A97">
        <w:rPr>
          <w:b/>
          <w:bCs/>
        </w:rPr>
        <w:t xml:space="preserve"> &amp; 3</w:t>
      </w:r>
      <w:r w:rsidRPr="00537E3E">
        <w:rPr>
          <w:b/>
          <w:bCs/>
        </w:rPr>
        <w:t>: Harvest strategy</w:t>
      </w:r>
      <w:r w:rsidR="00E71A97">
        <w:rPr>
          <w:b/>
          <w:bCs/>
        </w:rPr>
        <w:t xml:space="preserve"> and </w:t>
      </w:r>
      <w:r w:rsidR="005D25C7">
        <w:rPr>
          <w:b/>
          <w:bCs/>
        </w:rPr>
        <w:t>h</w:t>
      </w:r>
      <w:r w:rsidR="00E71A97">
        <w:rPr>
          <w:b/>
          <w:bCs/>
        </w:rPr>
        <w:t xml:space="preserve">arvest </w:t>
      </w:r>
      <w:r w:rsidR="005D25C7">
        <w:rPr>
          <w:b/>
          <w:bCs/>
        </w:rPr>
        <w:t>c</w:t>
      </w:r>
      <w:r w:rsidR="00E71A97">
        <w:rPr>
          <w:b/>
          <w:bCs/>
        </w:rPr>
        <w:t xml:space="preserve">ontrol </w:t>
      </w:r>
      <w:r w:rsidR="005D25C7">
        <w:rPr>
          <w:b/>
          <w:bCs/>
        </w:rPr>
        <w:t>r</w:t>
      </w:r>
      <w:r w:rsidR="00E71A97">
        <w:rPr>
          <w:b/>
          <w:bCs/>
        </w:rPr>
        <w:t xml:space="preserve">ules </w:t>
      </w:r>
    </w:p>
    <w:p w14:paraId="588B7D3C" w14:textId="0A6A0F95" w:rsidR="0032117A" w:rsidRDefault="00485C9A" w:rsidP="00537E3E">
      <w:r>
        <w:t xml:space="preserve">The Year </w:t>
      </w:r>
      <w:r w:rsidR="003A3372">
        <w:t>2 action require</w:t>
      </w:r>
      <w:r w:rsidR="00B22658">
        <w:t>s</w:t>
      </w:r>
      <w:r w:rsidR="003A3372">
        <w:t xml:space="preserve"> the development of an alternative measures report. </w:t>
      </w:r>
      <w:r w:rsidR="0094596B">
        <w:t xml:space="preserve">FB </w:t>
      </w:r>
      <w:r w:rsidR="003A3372">
        <w:t xml:space="preserve">conducted some of this work for the </w:t>
      </w:r>
      <w:r w:rsidR="0094596B">
        <w:t>Channel scallop</w:t>
      </w:r>
      <w:r w:rsidR="001F2A56">
        <w:t xml:space="preserve"> </w:t>
      </w:r>
      <w:r w:rsidR="00044EB3">
        <w:t>FIP and</w:t>
      </w:r>
      <w:r w:rsidR="008529D6">
        <w:t xml:space="preserve"> presented it to the group. This includes a template </w:t>
      </w:r>
      <w:r w:rsidR="00705803">
        <w:t>of what measures have been tried or could be implement</w:t>
      </w:r>
      <w:r w:rsidR="00466088">
        <w:t>ed</w:t>
      </w:r>
      <w:r w:rsidR="00705803">
        <w:t xml:space="preserve">, along with recommendations that could be useful for this FIP. </w:t>
      </w:r>
      <w:r w:rsidR="0032117A">
        <w:t xml:space="preserve">FB </w:t>
      </w:r>
      <w:r w:rsidR="00705803">
        <w:t xml:space="preserve">agreed </w:t>
      </w:r>
      <w:r w:rsidR="00F3118D">
        <w:t xml:space="preserve">to </w:t>
      </w:r>
      <w:r w:rsidR="00705803">
        <w:t xml:space="preserve">update the </w:t>
      </w:r>
      <w:proofErr w:type="gramStart"/>
      <w:r w:rsidR="00705803">
        <w:t>document</w:t>
      </w:r>
      <w:proofErr w:type="gramEnd"/>
      <w:r w:rsidR="00705803">
        <w:t xml:space="preserve"> so it </w:t>
      </w:r>
      <w:r w:rsidR="00044EB3">
        <w:t>is applicable</w:t>
      </w:r>
      <w:r w:rsidR="0032117A">
        <w:t xml:space="preserve"> to the Round 2 scallops FIP</w:t>
      </w:r>
      <w:r w:rsidR="00705803">
        <w:t>.</w:t>
      </w:r>
    </w:p>
    <w:p w14:paraId="6F5B35B1" w14:textId="13F29748" w:rsidR="0032117A" w:rsidRDefault="0032117A" w:rsidP="00537E3E">
      <w:r>
        <w:t xml:space="preserve">BL </w:t>
      </w:r>
      <w:r w:rsidR="003578B6">
        <w:t>has been drafting an</w:t>
      </w:r>
      <w:r>
        <w:t xml:space="preserve"> alternative measures </w:t>
      </w:r>
      <w:r w:rsidR="003578B6">
        <w:t>report</w:t>
      </w:r>
      <w:r>
        <w:t xml:space="preserve">, </w:t>
      </w:r>
      <w:r w:rsidR="009F771D">
        <w:t>which</w:t>
      </w:r>
      <w:r w:rsidR="0045771C">
        <w:t xml:space="preserve"> still has gaps to address</w:t>
      </w:r>
      <w:r>
        <w:t>.</w:t>
      </w:r>
      <w:r w:rsidR="00824D7A">
        <w:t xml:space="preserve"> The</w:t>
      </w:r>
      <w:r w:rsidR="00223489">
        <w:t xml:space="preserve"> selectivity of scallop gear is an important component of th</w:t>
      </w:r>
      <w:r w:rsidR="00824D7A">
        <w:t>e</w:t>
      </w:r>
      <w:r w:rsidR="00223489">
        <w:t xml:space="preserve"> work and BL </w:t>
      </w:r>
      <w:r w:rsidR="001F2637">
        <w:t xml:space="preserve">has documented </w:t>
      </w:r>
      <w:r w:rsidR="00223489">
        <w:t xml:space="preserve">the regulations </w:t>
      </w:r>
      <w:r w:rsidR="00BE390E">
        <w:t xml:space="preserve">currently </w:t>
      </w:r>
      <w:r w:rsidR="00223489">
        <w:t xml:space="preserve">in </w:t>
      </w:r>
      <w:r w:rsidR="00BE390E">
        <w:t xml:space="preserve">place for each of </w:t>
      </w:r>
      <w:r w:rsidR="00223489">
        <w:t xml:space="preserve">the </w:t>
      </w:r>
      <w:r w:rsidR="001F2637">
        <w:t xml:space="preserve">UK </w:t>
      </w:r>
      <w:r w:rsidR="00223489">
        <w:t xml:space="preserve">Fisheries Administrations. </w:t>
      </w:r>
      <w:r w:rsidR="00191669">
        <w:t>T</w:t>
      </w:r>
      <w:r w:rsidR="00223489">
        <w:t xml:space="preserve">he </w:t>
      </w:r>
      <w:r w:rsidR="00413A09">
        <w:t>a</w:t>
      </w:r>
      <w:r w:rsidR="00223489">
        <w:t xml:space="preserve">lternative measures report </w:t>
      </w:r>
      <w:r w:rsidR="002B5B1A">
        <w:t xml:space="preserve">was </w:t>
      </w:r>
      <w:r w:rsidR="00223489">
        <w:t>already shared with the Steering Group</w:t>
      </w:r>
      <w:r w:rsidR="002B5B1A">
        <w:t xml:space="preserve">, </w:t>
      </w:r>
      <w:r w:rsidR="00F81E3A">
        <w:t xml:space="preserve">with the group encouraged by the Secretariat </w:t>
      </w:r>
      <w:r w:rsidR="00051FFC">
        <w:t>to share any</w:t>
      </w:r>
      <w:r w:rsidR="00F81E3A">
        <w:t xml:space="preserve"> additional papers of research with BL</w:t>
      </w:r>
      <w:r w:rsidR="00B0647E">
        <w:t>.</w:t>
      </w:r>
    </w:p>
    <w:p w14:paraId="75F6081A" w14:textId="07BAD801" w:rsidR="00413A09" w:rsidRDefault="00413A09" w:rsidP="00537E3E">
      <w:r>
        <w:t xml:space="preserve">FN said the work was a good start and covered useful information on observed mortality and survival rates. FN </w:t>
      </w:r>
      <w:r w:rsidR="001D7FD5">
        <w:t>highlighted that the</w:t>
      </w:r>
      <w:r w:rsidR="00BD1962">
        <w:t xml:space="preserve"> </w:t>
      </w:r>
      <w:r w:rsidR="001D7FD5">
        <w:t>k</w:t>
      </w:r>
      <w:r>
        <w:t>ey points to an alternative measures document are:</w:t>
      </w:r>
    </w:p>
    <w:p w14:paraId="4858A451" w14:textId="21E48C37" w:rsidR="00413A09" w:rsidRDefault="0064068F" w:rsidP="00413A09">
      <w:pPr>
        <w:pStyle w:val="ListParagraph"/>
        <w:numPr>
          <w:ilvl w:val="0"/>
          <w:numId w:val="3"/>
        </w:numPr>
      </w:pPr>
      <w:r>
        <w:t>i</w:t>
      </w:r>
      <w:r w:rsidR="00413A09">
        <w:t>dentifying if there are better ways to catch the target stock</w:t>
      </w:r>
    </w:p>
    <w:p w14:paraId="007F477A" w14:textId="57E3DF96" w:rsidR="00413A09" w:rsidRDefault="00413A09" w:rsidP="00413A09">
      <w:pPr>
        <w:pStyle w:val="ListParagraph"/>
        <w:numPr>
          <w:ilvl w:val="0"/>
          <w:numId w:val="3"/>
        </w:numPr>
      </w:pPr>
      <w:r>
        <w:t>whether th</w:t>
      </w:r>
      <w:r w:rsidR="00783E74">
        <w:t>e alternative measure will</w:t>
      </w:r>
      <w:r>
        <w:t xml:space="preserve"> negatively impact other species</w:t>
      </w:r>
      <w:r w:rsidR="00824D7A">
        <w:t>,</w:t>
      </w:r>
      <w:r>
        <w:t xml:space="preserve"> or the safety of the crew</w:t>
      </w:r>
    </w:p>
    <w:p w14:paraId="156C1900" w14:textId="72138CAD" w:rsidR="00413A09" w:rsidRDefault="00413A09" w:rsidP="00413A09">
      <w:pPr>
        <w:pStyle w:val="ListParagraph"/>
        <w:numPr>
          <w:ilvl w:val="0"/>
          <w:numId w:val="3"/>
        </w:numPr>
      </w:pPr>
      <w:r>
        <w:t xml:space="preserve">whether the alternative measure </w:t>
      </w:r>
      <w:proofErr w:type="gramStart"/>
      <w:r>
        <w:t>are</w:t>
      </w:r>
      <w:proofErr w:type="gramEnd"/>
      <w:r>
        <w:t xml:space="preserve"> cost-prohibitive to fishers; and,</w:t>
      </w:r>
    </w:p>
    <w:p w14:paraId="4BF50A4C" w14:textId="1725E1D1" w:rsidR="00413A09" w:rsidRDefault="00413A09" w:rsidP="00AB3539">
      <w:pPr>
        <w:pStyle w:val="ListParagraph"/>
        <w:numPr>
          <w:ilvl w:val="0"/>
          <w:numId w:val="3"/>
        </w:numPr>
      </w:pPr>
      <w:r>
        <w:t xml:space="preserve">whether it is feasible and legal to </w:t>
      </w:r>
      <w:r w:rsidR="00EF0F60">
        <w:t xml:space="preserve">implement </w:t>
      </w:r>
      <w:r>
        <w:t xml:space="preserve">these changes </w:t>
      </w:r>
    </w:p>
    <w:p w14:paraId="513A68B3" w14:textId="02446DC8" w:rsidR="00A7440E" w:rsidRDefault="00413A09" w:rsidP="00537E3E">
      <w:r>
        <w:lastRenderedPageBreak/>
        <w:t xml:space="preserve">A report by </w:t>
      </w:r>
      <w:proofErr w:type="spellStart"/>
      <w:r>
        <w:t>Catherall</w:t>
      </w:r>
      <w:proofErr w:type="spellEnd"/>
      <w:r>
        <w:t xml:space="preserve"> and Kaiser 2014 compared the </w:t>
      </w:r>
      <w:r w:rsidR="007014FD">
        <w:t xml:space="preserve">environmental </w:t>
      </w:r>
      <w:r>
        <w:t>impacts of differing dredge gear – n-</w:t>
      </w:r>
      <w:proofErr w:type="spellStart"/>
      <w:r>
        <w:t>v</w:t>
      </w:r>
      <w:r w:rsidR="00767A65">
        <w:t>i</w:t>
      </w:r>
      <w:r>
        <w:t>rodredge</w:t>
      </w:r>
      <w:proofErr w:type="spellEnd"/>
      <w:r>
        <w:t xml:space="preserve">, Oban dredge, </w:t>
      </w:r>
      <w:proofErr w:type="spellStart"/>
      <w:r>
        <w:t>Hydrodredge</w:t>
      </w:r>
      <w:proofErr w:type="spellEnd"/>
      <w:r>
        <w:t xml:space="preserve"> and Skid dredge.</w:t>
      </w:r>
      <w:r w:rsidR="00A7440E">
        <w:t xml:space="preserve"> The report did not go into the commercial viability of each </w:t>
      </w:r>
      <w:r w:rsidR="00824D7A">
        <w:t>dredge,</w:t>
      </w:r>
      <w:r w:rsidR="00A7440E">
        <w:t xml:space="preserve"> but </w:t>
      </w:r>
      <w:r w:rsidR="0051788E">
        <w:t>findings from the report</w:t>
      </w:r>
      <w:r>
        <w:t xml:space="preserve"> showed that the skid dredge is the best alternative gear</w:t>
      </w:r>
      <w:r w:rsidR="00044EB3">
        <w:t xml:space="preserve"> for reducing habitat interaction</w:t>
      </w:r>
      <w:r w:rsidR="00A7440E">
        <w:t xml:space="preserve">; </w:t>
      </w:r>
      <w:r w:rsidR="00824D7A">
        <w:t>but</w:t>
      </w:r>
      <w:r w:rsidR="00A7440E">
        <w:t xml:space="preserve"> is</w:t>
      </w:r>
      <w:r>
        <w:t xml:space="preserve"> </w:t>
      </w:r>
      <w:r w:rsidR="00416E09">
        <w:t xml:space="preserve">currently </w:t>
      </w:r>
      <w:r>
        <w:t>prohibited from</w:t>
      </w:r>
      <w:r w:rsidR="007757FE">
        <w:t xml:space="preserve"> use </w:t>
      </w:r>
      <w:r w:rsidR="00F75CC0">
        <w:t>due to</w:t>
      </w:r>
      <w:r w:rsidR="00416E09">
        <w:t xml:space="preserve"> a</w:t>
      </w:r>
      <w:r>
        <w:t xml:space="preserve"> ban on attachments to dredge gears</w:t>
      </w:r>
      <w:r w:rsidR="00044EB3">
        <w:t xml:space="preserve"> by Defra</w:t>
      </w:r>
      <w:r>
        <w:t xml:space="preserve">. </w:t>
      </w:r>
      <w:r w:rsidR="00A7440E">
        <w:t xml:space="preserve"> </w:t>
      </w:r>
    </w:p>
    <w:p w14:paraId="0EFB1673" w14:textId="076B45FF" w:rsidR="00E97EFF" w:rsidRDefault="00C155AD" w:rsidP="00C155AD">
      <w:proofErr w:type="spellStart"/>
      <w:r>
        <w:t>JPo</w:t>
      </w:r>
      <w:proofErr w:type="spellEnd"/>
      <w:r>
        <w:t xml:space="preserve"> mentioned that the </w:t>
      </w:r>
      <w:r w:rsidR="00060AB5" w:rsidRPr="00060AB5">
        <w:t>Scientific, Technical and Economic Committee for Fisheries</w:t>
      </w:r>
      <w:r w:rsidR="00060AB5">
        <w:t xml:space="preserve"> (</w:t>
      </w:r>
      <w:r>
        <w:t>STECF</w:t>
      </w:r>
      <w:r w:rsidR="00060AB5">
        <w:t>)</w:t>
      </w:r>
      <w:r>
        <w:t xml:space="preserve"> did an </w:t>
      </w:r>
      <w:r w:rsidR="00824D7A">
        <w:t>analysis</w:t>
      </w:r>
      <w:r>
        <w:t xml:space="preserve"> on French dredge gear with 92mm meshes that </w:t>
      </w:r>
      <w:r w:rsidR="00454BE5">
        <w:t>should be</w:t>
      </w:r>
      <w:r>
        <w:t xml:space="preserve"> </w:t>
      </w:r>
      <w:r w:rsidR="00454BE5">
        <w:t xml:space="preserve">incorporated </w:t>
      </w:r>
      <w:r>
        <w:t>into the</w:t>
      </w:r>
      <w:r w:rsidR="00454BE5">
        <w:t xml:space="preserve"> alternative measures report</w:t>
      </w:r>
      <w:r>
        <w:t>.</w:t>
      </w:r>
      <w:r w:rsidR="00541CA1">
        <w:t xml:space="preserve"> CM didn’t know whether </w:t>
      </w:r>
      <w:r w:rsidR="007760D9">
        <w:t>this was discussed in the recent ICES meeting</w:t>
      </w:r>
      <w:r w:rsidR="00613182">
        <w:t xml:space="preserve"> but would be in the report if it had been and</w:t>
      </w:r>
      <w:r>
        <w:t xml:space="preserve"> </w:t>
      </w:r>
      <w:proofErr w:type="spellStart"/>
      <w:r w:rsidR="00353437">
        <w:t>JPo</w:t>
      </w:r>
      <w:proofErr w:type="spellEnd"/>
      <w:r w:rsidR="00353437">
        <w:t xml:space="preserve"> </w:t>
      </w:r>
      <w:r w:rsidR="00613182">
        <w:t>offered to</w:t>
      </w:r>
      <w:r w:rsidR="00353437">
        <w:t xml:space="preserve"> send the STECF analysis to </w:t>
      </w:r>
      <w:r>
        <w:t>BL.</w:t>
      </w:r>
      <w:r w:rsidR="00A45069">
        <w:t xml:space="preserve"> </w:t>
      </w:r>
    </w:p>
    <w:p w14:paraId="41CB044B" w14:textId="73BFF08B" w:rsidR="00373680" w:rsidRDefault="00B22658" w:rsidP="00C155AD">
      <w:r>
        <w:t xml:space="preserve">FB informed the group that the </w:t>
      </w:r>
      <w:r w:rsidR="00AB3539">
        <w:t>SICG presented eight management options to the Devolved Administrations in 2019</w:t>
      </w:r>
      <w:r w:rsidR="006458FB">
        <w:t>. So far</w:t>
      </w:r>
      <w:r w:rsidR="00DD56A6">
        <w:t>,</w:t>
      </w:r>
      <w:r w:rsidR="006458FB">
        <w:t xml:space="preserve"> the DAs have not provided feedback, but </w:t>
      </w:r>
      <w:r w:rsidR="00774A82">
        <w:t>t</w:t>
      </w:r>
      <w:r w:rsidR="00AB3539">
        <w:t xml:space="preserve">here is a long-term management plan meeting </w:t>
      </w:r>
      <w:r w:rsidR="00824D7A">
        <w:t xml:space="preserve">soon between the SICG and the </w:t>
      </w:r>
      <w:r w:rsidR="0067033B">
        <w:t>DAs</w:t>
      </w:r>
      <w:r w:rsidR="00824D7A">
        <w:t xml:space="preserve"> </w:t>
      </w:r>
      <w:r w:rsidR="00774A82">
        <w:t xml:space="preserve">to discuss this further. </w:t>
      </w:r>
    </w:p>
    <w:p w14:paraId="0E4003CA" w14:textId="3EF6A708" w:rsidR="00373680" w:rsidRPr="0094596B" w:rsidRDefault="00C23AB7" w:rsidP="00537E3E">
      <w:r>
        <w:t>A</w:t>
      </w:r>
      <w:r w:rsidR="00373680">
        <w:t>t the last full Steering Group meeting the SICG options paper was discussed and a request was made to commission further research</w:t>
      </w:r>
      <w:r w:rsidR="00DB35A4">
        <w:t xml:space="preserve"> into the feasibility of the options</w:t>
      </w:r>
      <w:r w:rsidR="00946AE9">
        <w:t xml:space="preserve">. The </w:t>
      </w:r>
      <w:r w:rsidR="00373680">
        <w:t xml:space="preserve">Secretariat has been </w:t>
      </w:r>
      <w:r w:rsidR="00946AE9">
        <w:t xml:space="preserve">working with Steering Group members to </w:t>
      </w:r>
      <w:r w:rsidR="00DB35A4">
        <w:t>draft a Terms of Reference and identify funding for this feasibility study to go ahead.</w:t>
      </w:r>
    </w:p>
    <w:p w14:paraId="69673C08" w14:textId="568A97E5" w:rsidR="002819A3" w:rsidRDefault="002819A3" w:rsidP="002819A3">
      <w:pPr>
        <w:rPr>
          <w:b/>
          <w:bCs/>
          <w:i/>
          <w:iCs/>
          <w:sz w:val="24"/>
          <w:szCs w:val="24"/>
        </w:rPr>
      </w:pPr>
      <w:r w:rsidRPr="002819A3">
        <w:rPr>
          <w:b/>
          <w:bCs/>
          <w:i/>
          <w:iCs/>
          <w:sz w:val="24"/>
          <w:szCs w:val="24"/>
        </w:rPr>
        <w:t>Actions</w:t>
      </w:r>
      <w:r w:rsidR="008224A9">
        <w:rPr>
          <w:b/>
          <w:bCs/>
          <w:i/>
          <w:iCs/>
          <w:sz w:val="24"/>
          <w:szCs w:val="24"/>
        </w:rPr>
        <w:t>:</w:t>
      </w:r>
      <w:r w:rsidRPr="002819A3">
        <w:rPr>
          <w:b/>
          <w:bCs/>
          <w:i/>
          <w:iCs/>
          <w:sz w:val="24"/>
          <w:szCs w:val="24"/>
        </w:rPr>
        <w:t xml:space="preserve"> </w:t>
      </w:r>
    </w:p>
    <w:p w14:paraId="52F37E4E" w14:textId="379548EE" w:rsidR="00540697" w:rsidRDefault="00613698" w:rsidP="00540697">
      <w:pPr>
        <w:pStyle w:val="ListParagraph"/>
        <w:numPr>
          <w:ilvl w:val="0"/>
          <w:numId w:val="1"/>
        </w:numPr>
      </w:pPr>
      <w:r>
        <w:t xml:space="preserve">FN </w:t>
      </w:r>
      <w:r w:rsidRPr="007F7E04">
        <w:t>to share alternative measures PowerPoint</w:t>
      </w:r>
      <w:r>
        <w:t xml:space="preserve"> with BL</w:t>
      </w:r>
      <w:r w:rsidRPr="007F7E04">
        <w:t xml:space="preserve"> </w:t>
      </w:r>
    </w:p>
    <w:p w14:paraId="4FAD6600" w14:textId="77777777" w:rsidR="00540697" w:rsidRDefault="00540697" w:rsidP="00540697">
      <w:pPr>
        <w:pStyle w:val="ListParagraph"/>
        <w:numPr>
          <w:ilvl w:val="0"/>
          <w:numId w:val="1"/>
        </w:numPr>
      </w:pPr>
      <w:r w:rsidRPr="007F7E04">
        <w:t>FB</w:t>
      </w:r>
      <w:r>
        <w:t>:</w:t>
      </w:r>
      <w:r w:rsidRPr="007F7E04">
        <w:t xml:space="preserve"> </w:t>
      </w:r>
    </w:p>
    <w:p w14:paraId="4A2EE2E5" w14:textId="77777777" w:rsidR="00540697" w:rsidRDefault="00540697" w:rsidP="00540697">
      <w:pPr>
        <w:pStyle w:val="ListParagraph"/>
        <w:numPr>
          <w:ilvl w:val="1"/>
          <w:numId w:val="1"/>
        </w:numPr>
      </w:pPr>
      <w:r w:rsidRPr="007F7E04">
        <w:t xml:space="preserve">to </w:t>
      </w:r>
      <w:r>
        <w:t>draft</w:t>
      </w:r>
      <w:r w:rsidRPr="007F7E04">
        <w:t xml:space="preserve"> an ETP alternative measure</w:t>
      </w:r>
      <w:r>
        <w:t>s</w:t>
      </w:r>
      <w:r w:rsidRPr="007F7E04">
        <w:t xml:space="preserve"> document for the group</w:t>
      </w:r>
      <w:r>
        <w:t>, based on her previous work in the Channel scallop FIP</w:t>
      </w:r>
    </w:p>
    <w:p w14:paraId="03C33D51" w14:textId="261078B7" w:rsidR="00540697" w:rsidRDefault="00540697" w:rsidP="00540697">
      <w:pPr>
        <w:pStyle w:val="ListParagraph"/>
        <w:numPr>
          <w:ilvl w:val="1"/>
          <w:numId w:val="1"/>
        </w:numPr>
      </w:pPr>
      <w:r>
        <w:t>update the group on upcoming SICG-Devolved Administrations management options meeting</w:t>
      </w:r>
    </w:p>
    <w:p w14:paraId="1D147144" w14:textId="633B36DB" w:rsidR="00613698" w:rsidRPr="00540E66" w:rsidRDefault="002D35CF" w:rsidP="002819A3">
      <w:pPr>
        <w:pStyle w:val="ListParagraph"/>
        <w:numPr>
          <w:ilvl w:val="0"/>
          <w:numId w:val="1"/>
        </w:numPr>
      </w:pPr>
      <w:proofErr w:type="spellStart"/>
      <w:r>
        <w:t>JPo</w:t>
      </w:r>
      <w:proofErr w:type="spellEnd"/>
      <w:r>
        <w:t xml:space="preserve"> to share STECF report on 92mm scallop meshes with BL</w:t>
      </w:r>
    </w:p>
    <w:p w14:paraId="56D5F32B" w14:textId="40AE4511" w:rsidR="00537E3E" w:rsidRPr="00537E3E" w:rsidRDefault="00537E3E" w:rsidP="00537E3E">
      <w:pPr>
        <w:rPr>
          <w:b/>
          <w:bCs/>
        </w:rPr>
      </w:pPr>
      <w:r w:rsidRPr="00537E3E">
        <w:rPr>
          <w:b/>
          <w:bCs/>
        </w:rPr>
        <w:t>Action 4</w:t>
      </w:r>
      <w:r w:rsidR="00373680">
        <w:rPr>
          <w:b/>
          <w:bCs/>
        </w:rPr>
        <w:t xml:space="preserve"> &amp; 5</w:t>
      </w:r>
      <w:r w:rsidRPr="00537E3E">
        <w:rPr>
          <w:b/>
          <w:bCs/>
        </w:rPr>
        <w:t>: Information</w:t>
      </w:r>
      <w:r w:rsidR="00373680">
        <w:rPr>
          <w:b/>
          <w:bCs/>
        </w:rPr>
        <w:t xml:space="preserve"> </w:t>
      </w:r>
      <w:r w:rsidR="005D25C7">
        <w:rPr>
          <w:b/>
          <w:bCs/>
        </w:rPr>
        <w:t>and a</w:t>
      </w:r>
      <w:r w:rsidRPr="00537E3E">
        <w:rPr>
          <w:b/>
          <w:bCs/>
        </w:rPr>
        <w:t>ssessment</w:t>
      </w:r>
    </w:p>
    <w:p w14:paraId="1F741A92" w14:textId="7C7227CF" w:rsidR="002C66C2" w:rsidRDefault="002C66C2" w:rsidP="002C66C2">
      <w:r>
        <w:t xml:space="preserve">This action covers annual stock surveys for areas where stock status </w:t>
      </w:r>
      <w:r w:rsidR="000E5168">
        <w:t>did not meet the requirements for</w:t>
      </w:r>
      <w:r>
        <w:t xml:space="preserve"> SG80</w:t>
      </w:r>
      <w:r w:rsidR="000E5168">
        <w:t xml:space="preserve"> in the MSC Standard</w:t>
      </w:r>
      <w:r>
        <w:t xml:space="preserve">. An update is needed </w:t>
      </w:r>
      <w:r w:rsidR="00AB51DD">
        <w:t>on</w:t>
      </w:r>
      <w:r>
        <w:t xml:space="preserve"> the English North Sea survey but as Cefas </w:t>
      </w:r>
      <w:r w:rsidR="000E5168">
        <w:t xml:space="preserve">was </w:t>
      </w:r>
      <w:r>
        <w:t xml:space="preserve">not present to provide this update the Secretariat agreed to follow up with them. </w:t>
      </w:r>
    </w:p>
    <w:p w14:paraId="47293329" w14:textId="426E2A7B" w:rsidR="00373680" w:rsidRDefault="00C118C1" w:rsidP="00373680">
      <w:r>
        <w:t>The y</w:t>
      </w:r>
      <w:r w:rsidR="00373680">
        <w:t>ear 1 task for these actions was</w:t>
      </w:r>
      <w:r w:rsidR="00F91AAA">
        <w:t xml:space="preserve"> around stock surveys</w:t>
      </w:r>
      <w:r w:rsidR="00C24BDD">
        <w:t xml:space="preserve"> and their feasibility of being annual.</w:t>
      </w:r>
      <w:r w:rsidR="00373680">
        <w:t xml:space="preserve"> </w:t>
      </w:r>
      <w:r w:rsidR="007F439D">
        <w:t>Marine Scotland Science completed the Shetland scallop survey this year but only managed one day of trialling the n-</w:t>
      </w:r>
      <w:proofErr w:type="spellStart"/>
      <w:r w:rsidR="007F439D">
        <w:t>v</w:t>
      </w:r>
      <w:r w:rsidR="000C66E1">
        <w:t>ir</w:t>
      </w:r>
      <w:r w:rsidR="007F439D">
        <w:t>odredge</w:t>
      </w:r>
      <w:proofErr w:type="spellEnd"/>
      <w:r w:rsidR="007F439D">
        <w:t xml:space="preserve"> due to poor weather. No other Marine Scotland Science scallop survey have been able to go ahead </w:t>
      </w:r>
      <w:r w:rsidR="00256D7B">
        <w:t>this year</w:t>
      </w:r>
      <w:r w:rsidR="007F439D">
        <w:t xml:space="preserve"> – including East, West and Clyde scallop surveys – and the ICES scallop Working Group </w:t>
      </w:r>
      <w:r w:rsidR="00256D7B">
        <w:t xml:space="preserve">report due in November </w:t>
      </w:r>
      <w:r w:rsidR="007F439D">
        <w:t xml:space="preserve">will </w:t>
      </w:r>
      <w:r w:rsidR="00256D7B">
        <w:t xml:space="preserve">include </w:t>
      </w:r>
      <w:r w:rsidR="007F439D">
        <w:t xml:space="preserve">a table showing what surveys have not been able to go ahead this year. </w:t>
      </w:r>
    </w:p>
    <w:p w14:paraId="6AC17EF1" w14:textId="27D587A4" w:rsidR="007F439D" w:rsidRDefault="007F439D" w:rsidP="007F439D">
      <w:r>
        <w:t xml:space="preserve">AFBI </w:t>
      </w:r>
      <w:r w:rsidR="000A2B65">
        <w:t>conducted</w:t>
      </w:r>
      <w:r>
        <w:t xml:space="preserve"> a survey in February in nine randomly sampled survey areas – three on the north coast of Northern Ireland and six in the Irish Sea. The results showed that </w:t>
      </w:r>
      <w:r w:rsidR="002E32C7">
        <w:t xml:space="preserve">biomass </w:t>
      </w:r>
      <w:r>
        <w:t>from</w:t>
      </w:r>
      <w:r w:rsidR="001045F7">
        <w:t xml:space="preserve"> </w:t>
      </w:r>
      <w:r w:rsidR="001045F7" w:rsidRPr="001045F7">
        <w:t>ICES statistical reporting rectangle</w:t>
      </w:r>
      <w:r>
        <w:t xml:space="preserve"> 39 e3 were lower this year. </w:t>
      </w:r>
      <w:r w:rsidR="000360A0">
        <w:t>Survey r</w:t>
      </w:r>
      <w:r w:rsidR="006415D6">
        <w:t>esults from o</w:t>
      </w:r>
      <w:r>
        <w:t>ther area</w:t>
      </w:r>
      <w:r w:rsidR="001045F7">
        <w:t>s of the Irish Sea</w:t>
      </w:r>
      <w:r>
        <w:t xml:space="preserve"> were mixed, some showed increases and two others showed decreases in catches. AFBI don’t currently have a </w:t>
      </w:r>
      <w:r w:rsidR="00826AB8">
        <w:t xml:space="preserve">full </w:t>
      </w:r>
      <w:r>
        <w:t>stock assessment</w:t>
      </w:r>
      <w:r w:rsidR="00F302C4">
        <w:t>,</w:t>
      </w:r>
      <w:r>
        <w:t xml:space="preserve"> </w:t>
      </w:r>
      <w:r w:rsidR="00826AB8">
        <w:t>so base their analysis on</w:t>
      </w:r>
      <w:r>
        <w:t xml:space="preserve"> trends, which indicat</w:t>
      </w:r>
      <w:r w:rsidR="00DF75F0">
        <w:t>e</w:t>
      </w:r>
      <w:r>
        <w:t xml:space="preserve"> a</w:t>
      </w:r>
      <w:r w:rsidR="00582585">
        <w:t xml:space="preserve"> </w:t>
      </w:r>
      <w:r>
        <w:t xml:space="preserve">continued </w:t>
      </w:r>
      <w:r w:rsidR="00582585">
        <w:t>downward</w:t>
      </w:r>
      <w:r>
        <w:t xml:space="preserve"> trend based on </w:t>
      </w:r>
      <w:r w:rsidR="00CD458B">
        <w:t>catch per unit effort (</w:t>
      </w:r>
      <w:r>
        <w:t>CPUE</w:t>
      </w:r>
      <w:r w:rsidR="00CD458B">
        <w:t>)</w:t>
      </w:r>
      <w:r>
        <w:t xml:space="preserve">. </w:t>
      </w:r>
      <w:r w:rsidR="00582585">
        <w:t xml:space="preserve">There will be a </w:t>
      </w:r>
      <w:r w:rsidR="00B304D9">
        <w:t>s</w:t>
      </w:r>
      <w:r w:rsidR="00582585">
        <w:t>ection in the ICES scallop Working Group report with the</w:t>
      </w:r>
      <w:r w:rsidR="00DF75F0">
        <w:t>se survey</w:t>
      </w:r>
      <w:r w:rsidR="00582585">
        <w:t xml:space="preserve"> results.</w:t>
      </w:r>
    </w:p>
    <w:p w14:paraId="61B1135B" w14:textId="06597DCD" w:rsidR="008C73EA" w:rsidRDefault="008C73EA" w:rsidP="007F439D">
      <w:r>
        <w:lastRenderedPageBreak/>
        <w:t xml:space="preserve">CP said that the SICG had asked Defra for an update on the Dogger Bank survey work and had requested the report from Cefas. CP recommended the </w:t>
      </w:r>
      <w:r w:rsidR="00A87CB1">
        <w:t xml:space="preserve">Secretariat </w:t>
      </w:r>
      <w:r>
        <w:t>put in a similar request.</w:t>
      </w:r>
    </w:p>
    <w:p w14:paraId="46DB75DE" w14:textId="5405E1C9" w:rsidR="00FD5F33" w:rsidRDefault="00FD5F33" w:rsidP="00FD5F33">
      <w:pPr>
        <w:pStyle w:val="ActionsArisingTitle"/>
        <w:rPr>
          <w:b w:val="0"/>
          <w:bCs w:val="0"/>
          <w:i w:val="0"/>
          <w:iCs w:val="0"/>
          <w:sz w:val="22"/>
          <w:szCs w:val="22"/>
        </w:rPr>
      </w:pPr>
      <w:r>
        <w:rPr>
          <w:b w:val="0"/>
          <w:bCs w:val="0"/>
          <w:i w:val="0"/>
          <w:iCs w:val="0"/>
          <w:sz w:val="22"/>
          <w:szCs w:val="22"/>
        </w:rPr>
        <w:t xml:space="preserve">BL asked if any Steering Group members had a </w:t>
      </w:r>
      <w:r w:rsidR="008C3509">
        <w:rPr>
          <w:b w:val="0"/>
          <w:bCs w:val="0"/>
          <w:i w:val="0"/>
          <w:iCs w:val="0"/>
          <w:sz w:val="22"/>
          <w:szCs w:val="22"/>
        </w:rPr>
        <w:t xml:space="preserve">scale of damage </w:t>
      </w:r>
      <w:r>
        <w:rPr>
          <w:b w:val="0"/>
          <w:bCs w:val="0"/>
          <w:i w:val="0"/>
          <w:iCs w:val="0"/>
          <w:sz w:val="22"/>
          <w:szCs w:val="22"/>
        </w:rPr>
        <w:t xml:space="preserve">for scallops. CM said that AFBI started recording scallop damage this year and that Marine Scotland Science had been doing it for a while. AFBI results indicated around 95% of scallops were </w:t>
      </w:r>
      <w:r w:rsidR="00826D50">
        <w:rPr>
          <w:b w:val="0"/>
          <w:bCs w:val="0"/>
          <w:i w:val="0"/>
          <w:iCs w:val="0"/>
          <w:sz w:val="22"/>
          <w:szCs w:val="22"/>
        </w:rPr>
        <w:t xml:space="preserve">1 or 2 on their </w:t>
      </w:r>
      <w:r>
        <w:rPr>
          <w:b w:val="0"/>
          <w:bCs w:val="0"/>
          <w:i w:val="0"/>
          <w:iCs w:val="0"/>
          <w:sz w:val="22"/>
          <w:szCs w:val="22"/>
        </w:rPr>
        <w:t>damage scale, implying no damage or a slightly chipped shell</w:t>
      </w:r>
      <w:r w:rsidR="00112040">
        <w:rPr>
          <w:b w:val="0"/>
          <w:bCs w:val="0"/>
          <w:i w:val="0"/>
          <w:iCs w:val="0"/>
          <w:sz w:val="22"/>
          <w:szCs w:val="22"/>
        </w:rPr>
        <w:t>,</w:t>
      </w:r>
      <w:r>
        <w:rPr>
          <w:b w:val="0"/>
          <w:bCs w:val="0"/>
          <w:i w:val="0"/>
          <w:iCs w:val="0"/>
          <w:sz w:val="22"/>
          <w:szCs w:val="22"/>
        </w:rPr>
        <w:t xml:space="preserve"> which echoes similar findings across the UK. BL concluded that if a scallop is only lightly damaged it has a high survivability. </w:t>
      </w:r>
    </w:p>
    <w:p w14:paraId="70F01ED3" w14:textId="14776B62" w:rsidR="00FD5F33" w:rsidRDefault="00FD5F33" w:rsidP="007F439D">
      <w:r>
        <w:t xml:space="preserve">BS </w:t>
      </w:r>
      <w:r w:rsidR="00CD2882">
        <w:t>highlighted</w:t>
      </w:r>
      <w:r>
        <w:t xml:space="preserve"> that damage rates to scallops on the seabed reflect what is seen in the catch. For </w:t>
      </w:r>
      <w:r w:rsidR="00CD2882">
        <w:t>example, if</w:t>
      </w:r>
      <w:r>
        <w:t xml:space="preserve"> 5% of scallops are observed damage from the catch, there are a further 5% damaged scallops on the seabed. This is a 10% damage rate – 5% observed in trawl, 5% on seabed. </w:t>
      </w:r>
    </w:p>
    <w:p w14:paraId="60B2E368" w14:textId="1C40EB39" w:rsidR="007F7E04" w:rsidRPr="00230B0C" w:rsidRDefault="00A85A75" w:rsidP="00CD49D9">
      <w:pPr>
        <w:pStyle w:val="ActionsArisingTitle"/>
      </w:pPr>
      <w:r w:rsidRPr="00F331D7">
        <w:t>Actions:</w:t>
      </w:r>
    </w:p>
    <w:p w14:paraId="4FFE0D8E" w14:textId="7C79775C" w:rsidR="00230B0C" w:rsidRDefault="005252B2" w:rsidP="005252B2">
      <w:pPr>
        <w:pStyle w:val="ListParagraph"/>
        <w:numPr>
          <w:ilvl w:val="0"/>
          <w:numId w:val="1"/>
        </w:numPr>
      </w:pPr>
      <w:r>
        <w:t>Secretariat</w:t>
      </w:r>
      <w:r w:rsidR="004467BD">
        <w:t xml:space="preserve"> to</w:t>
      </w:r>
      <w:r w:rsidR="004C7FB9">
        <w:t>:</w:t>
      </w:r>
      <w:r>
        <w:t xml:space="preserve"> </w:t>
      </w:r>
    </w:p>
    <w:p w14:paraId="220A1EAD" w14:textId="453E43F1" w:rsidR="005252B2" w:rsidRDefault="005252B2" w:rsidP="00230B0C">
      <w:pPr>
        <w:pStyle w:val="ListParagraph"/>
        <w:numPr>
          <w:ilvl w:val="1"/>
          <w:numId w:val="1"/>
        </w:numPr>
      </w:pPr>
      <w:r>
        <w:t>request recent ICES scallop Working Group report</w:t>
      </w:r>
      <w:r w:rsidR="00AF7F99">
        <w:t xml:space="preserve"> from LB</w:t>
      </w:r>
      <w:r>
        <w:t>, when available</w:t>
      </w:r>
      <w:r w:rsidR="00017CD0">
        <w:t xml:space="preserve"> to </w:t>
      </w:r>
      <w:r w:rsidR="00017CD0" w:rsidRPr="00017CD0">
        <w:t xml:space="preserve">understand gaps/delays for </w:t>
      </w:r>
      <w:r w:rsidR="00017CD0">
        <w:t>the FIP’s</w:t>
      </w:r>
      <w:r w:rsidR="00017CD0" w:rsidRPr="00017CD0">
        <w:t xml:space="preserve"> timeline</w:t>
      </w:r>
      <w:r>
        <w:t xml:space="preserve"> </w:t>
      </w:r>
    </w:p>
    <w:p w14:paraId="7947953B" w14:textId="342E9B6B" w:rsidR="005252B2" w:rsidRDefault="005252B2" w:rsidP="00230B0C">
      <w:pPr>
        <w:pStyle w:val="ListParagraph"/>
        <w:numPr>
          <w:ilvl w:val="1"/>
          <w:numId w:val="1"/>
        </w:numPr>
      </w:pPr>
      <w:r>
        <w:t xml:space="preserve">request </w:t>
      </w:r>
      <w:proofErr w:type="spellStart"/>
      <w:r>
        <w:t>Cefas’</w:t>
      </w:r>
      <w:proofErr w:type="spellEnd"/>
      <w:r>
        <w:t xml:space="preserve"> Dogger Bank survey report</w:t>
      </w:r>
      <w:r w:rsidR="00017CD0">
        <w:t xml:space="preserve"> from CB</w:t>
      </w:r>
      <w:r>
        <w:t xml:space="preserve"> </w:t>
      </w:r>
    </w:p>
    <w:p w14:paraId="49A28C36" w14:textId="6557A18A" w:rsidR="00540E66" w:rsidRDefault="009229A4" w:rsidP="009229A4">
      <w:pPr>
        <w:pStyle w:val="ListParagraph"/>
        <w:numPr>
          <w:ilvl w:val="1"/>
          <w:numId w:val="1"/>
        </w:numPr>
      </w:pPr>
      <w:r w:rsidRPr="002C5BC3">
        <w:t xml:space="preserve">collect more damage data from the </w:t>
      </w:r>
      <w:r>
        <w:t xml:space="preserve">Fishery Administration’s </w:t>
      </w:r>
      <w:r w:rsidRPr="002C5BC3">
        <w:t>science bodies</w:t>
      </w:r>
    </w:p>
    <w:p w14:paraId="6DDD16A7" w14:textId="77777777" w:rsidR="009229A4" w:rsidRDefault="009229A4" w:rsidP="009229A4">
      <w:pPr>
        <w:pStyle w:val="ListParagraph"/>
        <w:ind w:left="1080"/>
      </w:pPr>
    </w:p>
    <w:p w14:paraId="66FA26E0" w14:textId="60A23861" w:rsidR="00A20B96" w:rsidRPr="00707269" w:rsidRDefault="00A85A75" w:rsidP="00A94FCF">
      <w:pPr>
        <w:pStyle w:val="AgendaItemNumber"/>
      </w:pPr>
      <w:r w:rsidRPr="00AF503E">
        <w:t xml:space="preserve">Agenda Item 2 </w:t>
      </w:r>
      <w:r w:rsidR="00A04265">
        <w:t>(</w:t>
      </w:r>
      <w:r w:rsidR="00707269">
        <w:t>Principle</w:t>
      </w:r>
      <w:r w:rsidR="00AA367B">
        <w:t xml:space="preserve"> 2</w:t>
      </w:r>
      <w:r w:rsidR="00707269">
        <w:t xml:space="preserve"> – Environment</w:t>
      </w:r>
      <w:r w:rsidR="00A04265">
        <w:t>)</w:t>
      </w:r>
      <w:r w:rsidR="00707269">
        <w:t xml:space="preserve"> </w:t>
      </w:r>
    </w:p>
    <w:p w14:paraId="1C8CAB3B" w14:textId="467CC0F6" w:rsidR="00A20B96" w:rsidRPr="00A20B96" w:rsidRDefault="00A20B96" w:rsidP="00A20B96">
      <w:pPr>
        <w:rPr>
          <w:b/>
          <w:bCs/>
        </w:rPr>
      </w:pPr>
      <w:r w:rsidRPr="00537E3E">
        <w:rPr>
          <w:b/>
          <w:bCs/>
        </w:rPr>
        <w:t>Action 6: Secondary species</w:t>
      </w:r>
    </w:p>
    <w:p w14:paraId="689AB045" w14:textId="26180484" w:rsidR="00FB46B0" w:rsidRDefault="00C36990" w:rsidP="007B7692">
      <w:pPr>
        <w:pStyle w:val="ActionsArisingTitle"/>
      </w:pPr>
      <w:r w:rsidRPr="00C36990">
        <w:rPr>
          <w:b w:val="0"/>
          <w:bCs w:val="0"/>
          <w:i w:val="0"/>
          <w:iCs w:val="0"/>
          <w:sz w:val="22"/>
          <w:szCs w:val="22"/>
        </w:rPr>
        <w:t>Th</w:t>
      </w:r>
      <w:r w:rsidR="008C3B4B">
        <w:rPr>
          <w:b w:val="0"/>
          <w:bCs w:val="0"/>
          <w:i w:val="0"/>
          <w:iCs w:val="0"/>
          <w:sz w:val="22"/>
          <w:szCs w:val="22"/>
        </w:rPr>
        <w:t>e</w:t>
      </w:r>
      <w:r w:rsidRPr="00C36990">
        <w:rPr>
          <w:b w:val="0"/>
          <w:bCs w:val="0"/>
          <w:i w:val="0"/>
          <w:iCs w:val="0"/>
          <w:sz w:val="22"/>
          <w:szCs w:val="22"/>
        </w:rPr>
        <w:t xml:space="preserve"> </w:t>
      </w:r>
      <w:r w:rsidR="008C3B4B" w:rsidRPr="00373205">
        <w:rPr>
          <w:b w:val="0"/>
          <w:bCs w:val="0"/>
          <w:i w:val="0"/>
          <w:iCs w:val="0"/>
          <w:sz w:val="22"/>
          <w:szCs w:val="22"/>
        </w:rPr>
        <w:t xml:space="preserve">management and </w:t>
      </w:r>
      <w:r w:rsidR="008C3B4B" w:rsidRPr="00A72B71">
        <w:rPr>
          <w:b w:val="0"/>
          <w:bCs w:val="0"/>
          <w:i w:val="0"/>
          <w:iCs w:val="0"/>
          <w:sz w:val="22"/>
          <w:szCs w:val="22"/>
        </w:rPr>
        <w:t>information</w:t>
      </w:r>
      <w:r w:rsidR="008C3B4B">
        <w:rPr>
          <w:b w:val="0"/>
          <w:bCs w:val="0"/>
          <w:i w:val="0"/>
          <w:iCs w:val="0"/>
          <w:sz w:val="22"/>
          <w:szCs w:val="22"/>
        </w:rPr>
        <w:t xml:space="preserve"> performance indicators</w:t>
      </w:r>
      <w:r w:rsidR="008C3B4B" w:rsidRPr="00C36990" w:rsidDel="00A72B71">
        <w:rPr>
          <w:b w:val="0"/>
          <w:bCs w:val="0"/>
          <w:i w:val="0"/>
          <w:iCs w:val="0"/>
          <w:sz w:val="22"/>
          <w:szCs w:val="22"/>
        </w:rPr>
        <w:t xml:space="preserve"> </w:t>
      </w:r>
      <w:r w:rsidR="008C3B4B">
        <w:rPr>
          <w:b w:val="0"/>
          <w:bCs w:val="0"/>
          <w:i w:val="0"/>
          <w:iCs w:val="0"/>
          <w:sz w:val="22"/>
          <w:szCs w:val="22"/>
        </w:rPr>
        <w:t>under this</w:t>
      </w:r>
      <w:r w:rsidR="001E1ED5">
        <w:rPr>
          <w:b w:val="0"/>
          <w:bCs w:val="0"/>
          <w:i w:val="0"/>
          <w:iCs w:val="0"/>
          <w:sz w:val="22"/>
          <w:szCs w:val="22"/>
        </w:rPr>
        <w:t xml:space="preserve"> </w:t>
      </w:r>
      <w:r w:rsidRPr="00C36990">
        <w:rPr>
          <w:b w:val="0"/>
          <w:bCs w:val="0"/>
          <w:i w:val="0"/>
          <w:iCs w:val="0"/>
          <w:sz w:val="22"/>
          <w:szCs w:val="22"/>
        </w:rPr>
        <w:t xml:space="preserve">action </w:t>
      </w:r>
      <w:r w:rsidR="008C3B4B">
        <w:rPr>
          <w:b w:val="0"/>
          <w:bCs w:val="0"/>
          <w:i w:val="0"/>
          <w:iCs w:val="0"/>
          <w:sz w:val="22"/>
          <w:szCs w:val="22"/>
        </w:rPr>
        <w:t>are</w:t>
      </w:r>
      <w:r w:rsidRPr="00C36990">
        <w:rPr>
          <w:b w:val="0"/>
          <w:bCs w:val="0"/>
          <w:i w:val="0"/>
          <w:iCs w:val="0"/>
          <w:sz w:val="22"/>
          <w:szCs w:val="22"/>
        </w:rPr>
        <w:t xml:space="preserve"> due to change from &lt;60 to 60-79</w:t>
      </w:r>
      <w:r w:rsidR="00F95D26">
        <w:rPr>
          <w:b w:val="0"/>
          <w:bCs w:val="0"/>
          <w:i w:val="0"/>
          <w:iCs w:val="0"/>
          <w:sz w:val="22"/>
          <w:szCs w:val="22"/>
        </w:rPr>
        <w:t xml:space="preserve"> </w:t>
      </w:r>
      <w:r w:rsidR="008C3B4B">
        <w:rPr>
          <w:b w:val="0"/>
          <w:bCs w:val="0"/>
          <w:i w:val="0"/>
          <w:iCs w:val="0"/>
          <w:sz w:val="22"/>
          <w:szCs w:val="22"/>
        </w:rPr>
        <w:t xml:space="preserve">before the next annual </w:t>
      </w:r>
      <w:r w:rsidR="008C3B4B" w:rsidRPr="007B7692">
        <w:rPr>
          <w:b w:val="0"/>
          <w:bCs w:val="0"/>
          <w:i w:val="0"/>
          <w:iCs w:val="0"/>
          <w:sz w:val="22"/>
          <w:szCs w:val="22"/>
        </w:rPr>
        <w:t>review, in April 2021</w:t>
      </w:r>
      <w:r w:rsidR="00A72B71" w:rsidRPr="00E97EFF">
        <w:rPr>
          <w:b w:val="0"/>
          <w:bCs w:val="0"/>
          <w:i w:val="0"/>
          <w:iCs w:val="0"/>
          <w:sz w:val="22"/>
          <w:szCs w:val="22"/>
        </w:rPr>
        <w:t>.</w:t>
      </w:r>
      <w:r w:rsidR="008B22D7" w:rsidRPr="00713BAF">
        <w:rPr>
          <w:b w:val="0"/>
          <w:bCs w:val="0"/>
          <w:i w:val="0"/>
          <w:iCs w:val="0"/>
          <w:sz w:val="22"/>
          <w:szCs w:val="22"/>
        </w:rPr>
        <w:t xml:space="preserve">CM </w:t>
      </w:r>
      <w:r w:rsidR="002065F6" w:rsidRPr="00713BAF">
        <w:rPr>
          <w:b w:val="0"/>
          <w:bCs w:val="0"/>
          <w:i w:val="0"/>
          <w:iCs w:val="0"/>
          <w:sz w:val="22"/>
          <w:szCs w:val="22"/>
        </w:rPr>
        <w:t xml:space="preserve">began by </w:t>
      </w:r>
      <w:r w:rsidR="00574704" w:rsidRPr="00713BAF">
        <w:rPr>
          <w:b w:val="0"/>
          <w:bCs w:val="0"/>
          <w:i w:val="0"/>
          <w:iCs w:val="0"/>
          <w:sz w:val="22"/>
          <w:szCs w:val="22"/>
        </w:rPr>
        <w:t>informing the group that</w:t>
      </w:r>
      <w:r w:rsidR="008B22D7" w:rsidRPr="00713BAF">
        <w:rPr>
          <w:b w:val="0"/>
          <w:bCs w:val="0"/>
          <w:i w:val="0"/>
          <w:iCs w:val="0"/>
          <w:sz w:val="22"/>
          <w:szCs w:val="22"/>
        </w:rPr>
        <w:t xml:space="preserve"> AFB</w:t>
      </w:r>
      <w:r w:rsidR="00B304D9" w:rsidRPr="00713BAF">
        <w:rPr>
          <w:b w:val="0"/>
          <w:bCs w:val="0"/>
          <w:i w:val="0"/>
          <w:iCs w:val="0"/>
          <w:sz w:val="22"/>
          <w:szCs w:val="22"/>
        </w:rPr>
        <w:t>I</w:t>
      </w:r>
      <w:r w:rsidR="008B22D7" w:rsidRPr="00713BAF">
        <w:rPr>
          <w:b w:val="0"/>
          <w:bCs w:val="0"/>
          <w:i w:val="0"/>
          <w:iCs w:val="0"/>
          <w:sz w:val="22"/>
          <w:szCs w:val="22"/>
        </w:rPr>
        <w:t xml:space="preserve"> have a lot of bycatch information going back to 1992</w:t>
      </w:r>
      <w:r w:rsidR="007B7692" w:rsidRPr="00713BAF">
        <w:rPr>
          <w:b w:val="0"/>
          <w:bCs w:val="0"/>
          <w:i w:val="0"/>
          <w:iCs w:val="0"/>
          <w:sz w:val="22"/>
          <w:szCs w:val="22"/>
        </w:rPr>
        <w:t>,</w:t>
      </w:r>
      <w:r w:rsidR="008B22D7" w:rsidRPr="00713BAF">
        <w:rPr>
          <w:b w:val="0"/>
          <w:bCs w:val="0"/>
          <w:i w:val="0"/>
          <w:iCs w:val="0"/>
          <w:sz w:val="22"/>
          <w:szCs w:val="22"/>
        </w:rPr>
        <w:t xml:space="preserve"> but are working up a paper currently so can’t share all of their data</w:t>
      </w:r>
      <w:r w:rsidR="0070129F" w:rsidRPr="00713BAF">
        <w:rPr>
          <w:b w:val="0"/>
          <w:bCs w:val="0"/>
          <w:i w:val="0"/>
          <w:iCs w:val="0"/>
          <w:sz w:val="22"/>
          <w:szCs w:val="22"/>
        </w:rPr>
        <w:t>.</w:t>
      </w:r>
      <w:r w:rsidR="008B22D7" w:rsidRPr="00713BAF">
        <w:rPr>
          <w:b w:val="0"/>
          <w:bCs w:val="0"/>
          <w:i w:val="0"/>
          <w:iCs w:val="0"/>
          <w:sz w:val="22"/>
          <w:szCs w:val="22"/>
        </w:rPr>
        <w:t xml:space="preserve"> </w:t>
      </w:r>
      <w:r w:rsidR="0070129F" w:rsidRPr="00713BAF">
        <w:rPr>
          <w:b w:val="0"/>
          <w:bCs w:val="0"/>
          <w:i w:val="0"/>
          <w:iCs w:val="0"/>
          <w:sz w:val="22"/>
          <w:szCs w:val="22"/>
        </w:rPr>
        <w:t>If there are requests for</w:t>
      </w:r>
      <w:r w:rsidR="008B22D7" w:rsidRPr="00713BAF">
        <w:rPr>
          <w:b w:val="0"/>
          <w:bCs w:val="0"/>
          <w:i w:val="0"/>
          <w:iCs w:val="0"/>
          <w:sz w:val="22"/>
          <w:szCs w:val="22"/>
        </w:rPr>
        <w:t xml:space="preserve"> individual species </w:t>
      </w:r>
      <w:r w:rsidR="007B7692" w:rsidRPr="007B7692">
        <w:rPr>
          <w:b w:val="0"/>
          <w:bCs w:val="0"/>
          <w:i w:val="0"/>
          <w:iCs w:val="0"/>
          <w:sz w:val="22"/>
          <w:szCs w:val="22"/>
        </w:rPr>
        <w:t>information,</w:t>
      </w:r>
      <w:r w:rsidR="0070129F" w:rsidRPr="00713BAF">
        <w:rPr>
          <w:b w:val="0"/>
          <w:bCs w:val="0"/>
          <w:i w:val="0"/>
          <w:iCs w:val="0"/>
          <w:sz w:val="22"/>
          <w:szCs w:val="22"/>
        </w:rPr>
        <w:t xml:space="preserve"> then that could be provided</w:t>
      </w:r>
      <w:r w:rsidR="008B22D7" w:rsidRPr="00713BAF">
        <w:rPr>
          <w:b w:val="0"/>
          <w:bCs w:val="0"/>
          <w:i w:val="0"/>
          <w:iCs w:val="0"/>
          <w:sz w:val="22"/>
          <w:szCs w:val="22"/>
        </w:rPr>
        <w:t xml:space="preserve">. </w:t>
      </w:r>
      <w:r w:rsidR="004C4F25" w:rsidRPr="00713BAF">
        <w:rPr>
          <w:b w:val="0"/>
          <w:bCs w:val="0"/>
          <w:i w:val="0"/>
          <w:iCs w:val="0"/>
          <w:sz w:val="22"/>
          <w:szCs w:val="22"/>
        </w:rPr>
        <w:t>T</w:t>
      </w:r>
      <w:r w:rsidR="008B22D7" w:rsidRPr="00713BAF">
        <w:rPr>
          <w:b w:val="0"/>
          <w:bCs w:val="0"/>
          <w:i w:val="0"/>
          <w:iCs w:val="0"/>
          <w:sz w:val="22"/>
          <w:szCs w:val="22"/>
        </w:rPr>
        <w:t xml:space="preserve">he </w:t>
      </w:r>
      <w:r w:rsidR="004C4F25" w:rsidRPr="00713BAF">
        <w:rPr>
          <w:b w:val="0"/>
          <w:bCs w:val="0"/>
          <w:i w:val="0"/>
          <w:iCs w:val="0"/>
          <w:sz w:val="22"/>
          <w:szCs w:val="22"/>
        </w:rPr>
        <w:t xml:space="preserve">paper should be </w:t>
      </w:r>
      <w:r w:rsidR="008B22D7" w:rsidRPr="00713BAF">
        <w:rPr>
          <w:b w:val="0"/>
          <w:bCs w:val="0"/>
          <w:i w:val="0"/>
          <w:iCs w:val="0"/>
          <w:sz w:val="22"/>
          <w:szCs w:val="22"/>
        </w:rPr>
        <w:t xml:space="preserve">written up within a year </w:t>
      </w:r>
      <w:r w:rsidR="004C4F25" w:rsidRPr="00713BAF">
        <w:rPr>
          <w:b w:val="0"/>
          <w:bCs w:val="0"/>
          <w:i w:val="0"/>
          <w:iCs w:val="0"/>
          <w:sz w:val="22"/>
          <w:szCs w:val="22"/>
        </w:rPr>
        <w:t xml:space="preserve">and will be valuable </w:t>
      </w:r>
      <w:r w:rsidR="00D47877" w:rsidRPr="00713BAF">
        <w:rPr>
          <w:b w:val="0"/>
          <w:bCs w:val="0"/>
          <w:i w:val="0"/>
          <w:iCs w:val="0"/>
          <w:sz w:val="22"/>
          <w:szCs w:val="22"/>
        </w:rPr>
        <w:t xml:space="preserve">in </w:t>
      </w:r>
      <w:r w:rsidR="008B22D7" w:rsidRPr="00713BAF">
        <w:rPr>
          <w:b w:val="0"/>
          <w:bCs w:val="0"/>
          <w:i w:val="0"/>
          <w:iCs w:val="0"/>
          <w:sz w:val="22"/>
          <w:szCs w:val="22"/>
        </w:rPr>
        <w:t xml:space="preserve">providing quantitative data </w:t>
      </w:r>
      <w:r w:rsidR="00D47877" w:rsidRPr="00713BAF">
        <w:rPr>
          <w:b w:val="0"/>
          <w:bCs w:val="0"/>
          <w:i w:val="0"/>
          <w:iCs w:val="0"/>
          <w:sz w:val="22"/>
          <w:szCs w:val="22"/>
        </w:rPr>
        <w:t>for the FIP.</w:t>
      </w:r>
      <w:r w:rsidR="00D47877">
        <w:t xml:space="preserve"> </w:t>
      </w:r>
    </w:p>
    <w:p w14:paraId="2C512425" w14:textId="7D1AA1AB" w:rsidR="00DA65DC" w:rsidRDefault="00DA65DC" w:rsidP="00DD141A">
      <w:r>
        <w:t>FN said that</w:t>
      </w:r>
      <w:r w:rsidR="001E3A4E">
        <w:t xml:space="preserve"> the</w:t>
      </w:r>
      <w:r>
        <w:t xml:space="preserve"> </w:t>
      </w:r>
      <w:r w:rsidR="00CD2882">
        <w:t xml:space="preserve">French scallop </w:t>
      </w:r>
      <w:r>
        <w:t xml:space="preserve">report </w:t>
      </w:r>
      <w:proofErr w:type="spellStart"/>
      <w:r w:rsidR="001E3A4E">
        <w:t>JPo</w:t>
      </w:r>
      <w:proofErr w:type="spellEnd"/>
      <w:r w:rsidR="001E3A4E">
        <w:t xml:space="preserve"> referenced, along with</w:t>
      </w:r>
      <w:r>
        <w:t xml:space="preserve"> the imminent ICES scallop Working </w:t>
      </w:r>
      <w:r w:rsidR="001678E2">
        <w:t>G</w:t>
      </w:r>
      <w:r>
        <w:t>roup report</w:t>
      </w:r>
      <w:r w:rsidR="001E3A4E">
        <w:t>,</w:t>
      </w:r>
      <w:r>
        <w:t xml:space="preserve"> would strengthen the alternative measures report</w:t>
      </w:r>
      <w:r w:rsidR="00A76CD9">
        <w:t xml:space="preserve"> described for Actions 2 and 3</w:t>
      </w:r>
      <w:r>
        <w:t xml:space="preserve">. </w:t>
      </w:r>
      <w:r w:rsidR="009D3A86" w:rsidRPr="009D3A86">
        <w:t xml:space="preserve"> </w:t>
      </w:r>
      <w:r w:rsidR="009D3A86">
        <w:t xml:space="preserve">The Secretariat will speak with Peter Duncan for information from the Isle of Man to </w:t>
      </w:r>
      <w:r w:rsidR="00D159A5">
        <w:t>contribute to</w:t>
      </w:r>
      <w:r w:rsidR="009D3A86">
        <w:t xml:space="preserve"> BL’s alternative measures report.</w:t>
      </w:r>
    </w:p>
    <w:p w14:paraId="5373859A" w14:textId="74753799" w:rsidR="00B304D9" w:rsidRDefault="001E2E7C" w:rsidP="00595904">
      <w:pPr>
        <w:rPr>
          <w:b/>
          <w:bCs/>
        </w:rPr>
      </w:pPr>
      <w:r>
        <w:t>To remain on track t</w:t>
      </w:r>
      <w:r w:rsidR="00946021">
        <w:t xml:space="preserve">he </w:t>
      </w:r>
      <w:r w:rsidR="004B0F73">
        <w:t>Steering G</w:t>
      </w:r>
      <w:r w:rsidR="00946021">
        <w:t>roup need</w:t>
      </w:r>
      <w:r w:rsidR="004B0F73">
        <w:t>s</w:t>
      </w:r>
      <w:r w:rsidR="00946021">
        <w:t xml:space="preserve"> the alternative measures document and some quantitative data – in the form of Marine Scotland Science’s bycatch report</w:t>
      </w:r>
      <w:r w:rsidR="005E63EB">
        <w:t>, and AFBI data requests</w:t>
      </w:r>
      <w:r w:rsidR="00946021">
        <w:t xml:space="preserve"> - by the end of year 2 (April 2021).</w:t>
      </w:r>
      <w:r w:rsidR="00EE6AFE">
        <w:t xml:space="preserve"> </w:t>
      </w:r>
      <w:r w:rsidR="00E05CF7">
        <w:t xml:space="preserve">Once the gaps in the bycatch data are clearer, the Steering Group should consider submitting a request to ICES to </w:t>
      </w:r>
      <w:r w:rsidR="00867C47">
        <w:t>focus more in this area.</w:t>
      </w:r>
      <w:r w:rsidR="00946021">
        <w:t xml:space="preserve"> </w:t>
      </w:r>
    </w:p>
    <w:p w14:paraId="3B557CD9" w14:textId="1DF218B1" w:rsidR="002819A3" w:rsidRDefault="002819A3" w:rsidP="00595904">
      <w:pPr>
        <w:rPr>
          <w:b/>
          <w:bCs/>
          <w:i/>
          <w:iCs/>
          <w:sz w:val="24"/>
          <w:szCs w:val="24"/>
        </w:rPr>
      </w:pPr>
      <w:r w:rsidRPr="002819A3">
        <w:rPr>
          <w:b/>
          <w:bCs/>
          <w:i/>
          <w:iCs/>
          <w:sz w:val="24"/>
          <w:szCs w:val="24"/>
        </w:rPr>
        <w:t>Actions</w:t>
      </w:r>
      <w:r w:rsidR="008224A9">
        <w:rPr>
          <w:b/>
          <w:bCs/>
          <w:i/>
          <w:iCs/>
          <w:sz w:val="24"/>
          <w:szCs w:val="24"/>
        </w:rPr>
        <w:t>:</w:t>
      </w:r>
      <w:r w:rsidRPr="002819A3">
        <w:rPr>
          <w:b/>
          <w:bCs/>
          <w:i/>
          <w:iCs/>
          <w:sz w:val="24"/>
          <w:szCs w:val="24"/>
        </w:rPr>
        <w:t xml:space="preserve"> </w:t>
      </w:r>
    </w:p>
    <w:p w14:paraId="736D9B43" w14:textId="77777777" w:rsidR="00AF3F6A" w:rsidRDefault="00FE05CB" w:rsidP="00FE05CB">
      <w:pPr>
        <w:pStyle w:val="ListParagraph"/>
        <w:numPr>
          <w:ilvl w:val="0"/>
          <w:numId w:val="2"/>
        </w:numPr>
      </w:pPr>
      <w:r>
        <w:t>BL and FN to circulate information sources used in the alternative measures report with the Steering Group members to provide any additional sources</w:t>
      </w:r>
    </w:p>
    <w:p w14:paraId="0DDEDCA1" w14:textId="6CEF3546" w:rsidR="00FE05CB" w:rsidRDefault="00AF3F6A" w:rsidP="00AF3F6A">
      <w:pPr>
        <w:pStyle w:val="ListParagraph"/>
        <w:numPr>
          <w:ilvl w:val="0"/>
          <w:numId w:val="2"/>
        </w:numPr>
      </w:pPr>
      <w:r>
        <w:t>CM and FN to discuss AFBI bycatch data further to provide quantitative information on secondary species bycatch</w:t>
      </w:r>
      <w:r w:rsidR="00FE05CB">
        <w:t xml:space="preserve">  </w:t>
      </w:r>
    </w:p>
    <w:p w14:paraId="39C2CE5A" w14:textId="6E126C52" w:rsidR="00FE05CB" w:rsidRPr="00F528F6" w:rsidRDefault="00AF3F6A" w:rsidP="00AF3F6A">
      <w:pPr>
        <w:pStyle w:val="ListParagraph"/>
        <w:numPr>
          <w:ilvl w:val="0"/>
          <w:numId w:val="2"/>
        </w:numPr>
      </w:pPr>
      <w:r>
        <w:t xml:space="preserve">Secretariat to </w:t>
      </w:r>
      <w:r w:rsidR="00FE05CB" w:rsidRPr="00F528F6">
        <w:t>obtain information from the Isle of Man to inform BL’s alternative measures report.</w:t>
      </w:r>
    </w:p>
    <w:p w14:paraId="255D785A" w14:textId="4ECFE50D" w:rsidR="00FE05CB" w:rsidRPr="009229A4" w:rsidRDefault="00FE05CB" w:rsidP="00595904">
      <w:pPr>
        <w:pStyle w:val="ListParagraph"/>
        <w:numPr>
          <w:ilvl w:val="0"/>
          <w:numId w:val="2"/>
        </w:numPr>
      </w:pPr>
      <w:r>
        <w:t>Steering Group to</w:t>
      </w:r>
      <w:r w:rsidR="00AF3F6A">
        <w:t xml:space="preserve"> </w:t>
      </w:r>
      <w:r>
        <w:t xml:space="preserve">provide feedback on BL alternative measures report, with a focus on identifying any research that may have been missed </w:t>
      </w:r>
    </w:p>
    <w:p w14:paraId="4146C38D" w14:textId="22BCAD6A" w:rsidR="00595904" w:rsidRPr="00537E3E" w:rsidRDefault="00595904" w:rsidP="00595904">
      <w:pPr>
        <w:rPr>
          <w:b/>
          <w:bCs/>
        </w:rPr>
      </w:pPr>
      <w:r w:rsidRPr="00537E3E">
        <w:rPr>
          <w:b/>
          <w:bCs/>
        </w:rPr>
        <w:lastRenderedPageBreak/>
        <w:t>Action 7: E</w:t>
      </w:r>
      <w:r w:rsidR="005D25C7">
        <w:rPr>
          <w:b/>
          <w:bCs/>
        </w:rPr>
        <w:t xml:space="preserve">ndangered, threatened and protected </w:t>
      </w:r>
      <w:r w:rsidRPr="00537E3E">
        <w:rPr>
          <w:b/>
          <w:bCs/>
        </w:rPr>
        <w:t>species</w:t>
      </w:r>
    </w:p>
    <w:p w14:paraId="33700AA6" w14:textId="0FD19D7D" w:rsidR="00BA59B4" w:rsidRDefault="00BA59B4" w:rsidP="00DD141A">
      <w:r>
        <w:t>FN provided an update on the latest</w:t>
      </w:r>
      <w:r w:rsidR="002E68A8">
        <w:t xml:space="preserve"> e</w:t>
      </w:r>
      <w:r w:rsidR="002E68A8" w:rsidRPr="002E68A8">
        <w:t>ndangered, threatened and protected</w:t>
      </w:r>
      <w:r>
        <w:t xml:space="preserve"> </w:t>
      </w:r>
      <w:r w:rsidR="002E68A8">
        <w:t>(</w:t>
      </w:r>
      <w:r>
        <w:t>ETP</w:t>
      </w:r>
      <w:r w:rsidR="002E68A8">
        <w:t>)</w:t>
      </w:r>
      <w:r>
        <w:t xml:space="preserve"> list for the FIP which incorporated in:</w:t>
      </w:r>
    </w:p>
    <w:p w14:paraId="41D3196B" w14:textId="27237A33" w:rsidR="00595904" w:rsidRDefault="00BA59B4" w:rsidP="00671F56">
      <w:pPr>
        <w:pStyle w:val="ListParagraph"/>
        <w:numPr>
          <w:ilvl w:val="0"/>
          <w:numId w:val="4"/>
        </w:numPr>
      </w:pPr>
      <w:r>
        <w:t xml:space="preserve">OSPAR threatened and/or declining species </w:t>
      </w:r>
    </w:p>
    <w:p w14:paraId="1713D0E5" w14:textId="69950F67" w:rsidR="00BA59B4" w:rsidRDefault="00BA59B4" w:rsidP="00671F56">
      <w:pPr>
        <w:pStyle w:val="ListParagraph"/>
        <w:numPr>
          <w:ilvl w:val="0"/>
          <w:numId w:val="4"/>
        </w:numPr>
      </w:pPr>
      <w:r>
        <w:t>UK Biodiversity Action Plan list</w:t>
      </w:r>
    </w:p>
    <w:p w14:paraId="3EC5DE93" w14:textId="0EC845BB" w:rsidR="00BA59B4" w:rsidRDefault="00BA59B4" w:rsidP="00671F56">
      <w:pPr>
        <w:pStyle w:val="ListParagraph"/>
        <w:numPr>
          <w:ilvl w:val="0"/>
          <w:numId w:val="4"/>
        </w:numPr>
      </w:pPr>
      <w:r>
        <w:t xml:space="preserve">Northern Ireland list of Priority Habitats and Species </w:t>
      </w:r>
    </w:p>
    <w:p w14:paraId="110D03BA" w14:textId="77777777" w:rsidR="00671F56" w:rsidRDefault="00BA59B4" w:rsidP="00671F56">
      <w:pPr>
        <w:pStyle w:val="ListParagraph"/>
        <w:numPr>
          <w:ilvl w:val="0"/>
          <w:numId w:val="4"/>
        </w:numPr>
      </w:pPr>
      <w:r>
        <w:t>Northern Ireland Species of Conservation Concern</w:t>
      </w:r>
    </w:p>
    <w:p w14:paraId="3427BE59" w14:textId="4B001FF5" w:rsidR="00BA59B4" w:rsidRDefault="00671F56" w:rsidP="00671F56">
      <w:pPr>
        <w:pStyle w:val="ListParagraph"/>
        <w:numPr>
          <w:ilvl w:val="0"/>
          <w:numId w:val="4"/>
        </w:numPr>
      </w:pPr>
      <w:r>
        <w:t xml:space="preserve">Nationally Important Marine Features </w:t>
      </w:r>
      <w:r w:rsidR="00BA59B4">
        <w:t xml:space="preserve"> </w:t>
      </w:r>
    </w:p>
    <w:p w14:paraId="328B557E" w14:textId="478337DD" w:rsidR="00162DF2" w:rsidRDefault="001145E3" w:rsidP="00DD141A">
      <w:r>
        <w:t>FN said feedback would be welcome to identify any species missing</w:t>
      </w:r>
      <w:r w:rsidR="008C2B54">
        <w:t xml:space="preserve">. </w:t>
      </w:r>
      <w:r w:rsidR="002A4715">
        <w:t xml:space="preserve">A short list will be circulated to industry through a questionnaire over the </w:t>
      </w:r>
      <w:r>
        <w:t>next two months</w:t>
      </w:r>
      <w:r w:rsidR="002A4715">
        <w:t xml:space="preserve">. </w:t>
      </w:r>
      <w:r w:rsidR="00FB66F1">
        <w:t xml:space="preserve">This </w:t>
      </w:r>
      <w:r w:rsidR="002B44B8">
        <w:t>will establish</w:t>
      </w:r>
      <w:r w:rsidR="002A4715">
        <w:t xml:space="preserve"> what ETP species </w:t>
      </w:r>
      <w:r w:rsidR="00FB66F1">
        <w:t>interact with</w:t>
      </w:r>
      <w:r w:rsidR="002A4715">
        <w:t xml:space="preserve"> the fishery </w:t>
      </w:r>
      <w:r w:rsidR="00CC39DA">
        <w:t>along with developing a</w:t>
      </w:r>
      <w:r w:rsidR="00625866">
        <w:t>n ETP</w:t>
      </w:r>
      <w:r w:rsidR="00CC39DA">
        <w:t xml:space="preserve"> recording protocol</w:t>
      </w:r>
      <w:r w:rsidR="00625866">
        <w:t xml:space="preserve"> for fishermen to use</w:t>
      </w:r>
      <w:r w:rsidR="009442D6">
        <w:t>, with this</w:t>
      </w:r>
      <w:r w:rsidR="00625866">
        <w:t xml:space="preserve"> questionnaire</w:t>
      </w:r>
      <w:r w:rsidR="007623DE">
        <w:t xml:space="preserve"> pending </w:t>
      </w:r>
      <w:r w:rsidR="002A4715">
        <w:t xml:space="preserve">the result of Marine Scotland Science’s bycatch </w:t>
      </w:r>
      <w:r w:rsidR="007623DE">
        <w:t>report</w:t>
      </w:r>
      <w:r w:rsidR="009442D6">
        <w:t>.</w:t>
      </w:r>
      <w:r w:rsidR="002A4715">
        <w:t xml:space="preserve"> </w:t>
      </w:r>
      <w:r w:rsidR="00B85EE8">
        <w:t xml:space="preserve">FN requested that the </w:t>
      </w:r>
      <w:r w:rsidR="00A21236">
        <w:t>Steering Group provide contact details for fisher</w:t>
      </w:r>
      <w:r w:rsidR="00B85EE8">
        <w:t>men</w:t>
      </w:r>
      <w:r w:rsidR="00A21236">
        <w:t xml:space="preserve"> that would be happy to be interviewed </w:t>
      </w:r>
      <w:r w:rsidR="00B85EE8">
        <w:t>on this subject</w:t>
      </w:r>
      <w:r w:rsidR="00A21236">
        <w:t xml:space="preserve">. </w:t>
      </w:r>
    </w:p>
    <w:p w14:paraId="6CC7B9B3" w14:textId="552CCB97" w:rsidR="006C5F20" w:rsidRPr="0003721C" w:rsidRDefault="006C5F20" w:rsidP="00DD141A">
      <w:pPr>
        <w:rPr>
          <w:b/>
          <w:bCs/>
          <w:i/>
          <w:iCs/>
          <w:sz w:val="20"/>
          <w:szCs w:val="20"/>
        </w:rPr>
      </w:pPr>
      <w:r w:rsidRPr="0003721C">
        <w:rPr>
          <w:b/>
          <w:bCs/>
          <w:i/>
          <w:iCs/>
          <w:sz w:val="20"/>
          <w:szCs w:val="20"/>
        </w:rPr>
        <w:t>Masters review</w:t>
      </w:r>
    </w:p>
    <w:p w14:paraId="703828C5" w14:textId="5E86C3B7" w:rsidR="006C5F20" w:rsidRDefault="00942035" w:rsidP="00DD141A">
      <w:r>
        <w:t xml:space="preserve">The report was a useful platform for future work to build on but there were concerns around the results and conclusions. </w:t>
      </w:r>
      <w:r w:rsidR="002459E8">
        <w:t xml:space="preserve">FN provided a review of Steering Group feedback on the </w:t>
      </w:r>
      <w:r w:rsidR="00720F8B">
        <w:t>ETP Masters project:</w:t>
      </w:r>
    </w:p>
    <w:p w14:paraId="3CADD5C4" w14:textId="281362B2" w:rsidR="006C5F20" w:rsidRDefault="006C5F20" w:rsidP="00DD141A">
      <w:r>
        <w:t xml:space="preserve">Data: </w:t>
      </w:r>
    </w:p>
    <w:p w14:paraId="0ABE0EE6" w14:textId="1CCB68DF" w:rsidR="006C5F20" w:rsidRDefault="000E1B50" w:rsidP="006C5F20">
      <w:pPr>
        <w:pStyle w:val="ListParagraph"/>
        <w:numPr>
          <w:ilvl w:val="0"/>
          <w:numId w:val="5"/>
        </w:numPr>
      </w:pPr>
      <w:r>
        <w:t xml:space="preserve">The </w:t>
      </w:r>
      <w:r w:rsidR="006C5F20">
        <w:t xml:space="preserve">Steering Group felt </w:t>
      </w:r>
      <w:r>
        <w:t xml:space="preserve">some key datasets were not </w:t>
      </w:r>
      <w:r w:rsidR="001D5041">
        <w:t>included, and admitted some may have been hard to access</w:t>
      </w:r>
    </w:p>
    <w:p w14:paraId="71EC0D8E" w14:textId="05A68C4E" w:rsidR="006C5F20" w:rsidRDefault="006C5F20" w:rsidP="006C5F20">
      <w:pPr>
        <w:pStyle w:val="ListParagraph"/>
        <w:numPr>
          <w:ilvl w:val="0"/>
          <w:numId w:val="5"/>
        </w:numPr>
      </w:pPr>
      <w:r>
        <w:t xml:space="preserve">VMS </w:t>
      </w:r>
      <w:r w:rsidR="00A54697">
        <w:t xml:space="preserve">was </w:t>
      </w:r>
      <w:r>
        <w:t xml:space="preserve">for </w:t>
      </w:r>
      <w:r w:rsidR="00B304D9">
        <w:t>&gt;</w:t>
      </w:r>
      <w:r>
        <w:t>12m vessels only</w:t>
      </w:r>
      <w:r w:rsidR="00A54697">
        <w:t>, with information of vessels &lt;12m absent from study</w:t>
      </w:r>
    </w:p>
    <w:p w14:paraId="02A75D3F" w14:textId="4F08DBE0" w:rsidR="006C5F20" w:rsidRDefault="00221CE3" w:rsidP="006C5F20">
      <w:pPr>
        <w:pStyle w:val="ListParagraph"/>
        <w:numPr>
          <w:ilvl w:val="0"/>
          <w:numId w:val="5"/>
        </w:numPr>
      </w:pPr>
      <w:r>
        <w:t>Some members made remarks on the p</w:t>
      </w:r>
      <w:r w:rsidR="004845C4">
        <w:t>oint data</w:t>
      </w:r>
      <w:r>
        <w:t>; that</w:t>
      </w:r>
      <w:r w:rsidR="004845C4">
        <w:t xml:space="preserve"> </w:t>
      </w:r>
      <w:r>
        <w:t xml:space="preserve">a lack of ETP point data records did not </w:t>
      </w:r>
      <w:r w:rsidR="004700C1">
        <w:t xml:space="preserve">mean </w:t>
      </w:r>
      <w:r>
        <w:t>that there were in fact no ETP species in that area</w:t>
      </w:r>
      <w:r w:rsidR="004845C4">
        <w:t xml:space="preserve">s </w:t>
      </w:r>
    </w:p>
    <w:p w14:paraId="0E3280ED" w14:textId="7FE295F9" w:rsidR="004845C4" w:rsidRDefault="004845C4" w:rsidP="004845C4">
      <w:r>
        <w:t>Methodology:</w:t>
      </w:r>
    </w:p>
    <w:p w14:paraId="32A06C7E" w14:textId="7C46E90F" w:rsidR="004845C4" w:rsidRDefault="004845C4" w:rsidP="004845C4">
      <w:pPr>
        <w:pStyle w:val="ListParagraph"/>
        <w:numPr>
          <w:ilvl w:val="0"/>
          <w:numId w:val="6"/>
        </w:numPr>
      </w:pPr>
      <w:r>
        <w:t>Habitat suitability need</w:t>
      </w:r>
      <w:r w:rsidR="005E5C6C">
        <w:t>s</w:t>
      </w:r>
      <w:r>
        <w:t xml:space="preserve"> to account for full spatial distribution of ETP species</w:t>
      </w:r>
    </w:p>
    <w:p w14:paraId="58BE0266" w14:textId="1A6F3B0A" w:rsidR="004845C4" w:rsidRDefault="004845C4" w:rsidP="004845C4">
      <w:pPr>
        <w:pStyle w:val="ListParagraph"/>
        <w:numPr>
          <w:ilvl w:val="0"/>
          <w:numId w:val="6"/>
        </w:numPr>
      </w:pPr>
      <w:r>
        <w:t>Scale of aerial overlap was considered too broad</w:t>
      </w:r>
    </w:p>
    <w:p w14:paraId="2DDEE36E" w14:textId="029F08B7" w:rsidR="00D15FB0" w:rsidRDefault="004845C4" w:rsidP="004845C4">
      <w:pPr>
        <w:pStyle w:val="ListParagraph"/>
        <w:numPr>
          <w:ilvl w:val="0"/>
          <w:numId w:val="6"/>
        </w:numPr>
      </w:pPr>
      <w:r>
        <w:t>No discussion undertaken with catching sector</w:t>
      </w:r>
    </w:p>
    <w:p w14:paraId="5666A342" w14:textId="09737868" w:rsidR="004845C4" w:rsidRDefault="004845C4" w:rsidP="004845C4">
      <w:r>
        <w:t>ETP list:</w:t>
      </w:r>
    </w:p>
    <w:p w14:paraId="2C005E04" w14:textId="3A6FE2DB" w:rsidR="004845C4" w:rsidRDefault="004845C4" w:rsidP="004845C4">
      <w:pPr>
        <w:pStyle w:val="ListParagraph"/>
        <w:numPr>
          <w:ilvl w:val="0"/>
          <w:numId w:val="7"/>
        </w:numPr>
      </w:pPr>
      <w:r>
        <w:t>ETP list did not adequately consider data deficient and/or low risk species</w:t>
      </w:r>
    </w:p>
    <w:p w14:paraId="715EBC7A" w14:textId="5B63FB94" w:rsidR="004845C4" w:rsidRDefault="004845C4" w:rsidP="004845C4">
      <w:pPr>
        <w:pStyle w:val="ListParagraph"/>
        <w:numPr>
          <w:ilvl w:val="0"/>
          <w:numId w:val="7"/>
        </w:numPr>
      </w:pPr>
      <w:r>
        <w:t>Atlantic sturgeon very unlikely to be caught.</w:t>
      </w:r>
    </w:p>
    <w:p w14:paraId="34BBF2C1" w14:textId="304F84A6" w:rsidR="0012219F" w:rsidRDefault="00171923" w:rsidP="00DD141A">
      <w:r>
        <w:t xml:space="preserve">In terms </w:t>
      </w:r>
      <w:r w:rsidR="003B1878">
        <w:t xml:space="preserve">of next steps, the group agreed that further sources of data should be collated to inform </w:t>
      </w:r>
      <w:r w:rsidR="00A644A5">
        <w:t>any follow up research</w:t>
      </w:r>
      <w:r w:rsidR="003B1878">
        <w:t xml:space="preserve">. </w:t>
      </w:r>
      <w:r w:rsidR="00DC0FEC">
        <w:t>T</w:t>
      </w:r>
      <w:r w:rsidR="00A15D0B">
        <w:t xml:space="preserve">he group agreed to collate data sources </w:t>
      </w:r>
      <w:r w:rsidR="000F4A8D">
        <w:t xml:space="preserve">with a list to be drawn up by FN and shared with the group to add to. FN </w:t>
      </w:r>
      <w:r w:rsidR="0076519D">
        <w:t>suggested</w:t>
      </w:r>
      <w:r w:rsidR="000F4A8D">
        <w:t xml:space="preserve"> </w:t>
      </w:r>
      <w:r w:rsidR="00D15FB0">
        <w:t>MF’s</w:t>
      </w:r>
      <w:r w:rsidR="000F4A8D">
        <w:t xml:space="preserve"> PhD work could </w:t>
      </w:r>
      <w:r w:rsidR="0076519D">
        <w:t>address</w:t>
      </w:r>
      <w:r w:rsidR="00362DCA">
        <w:t xml:space="preserve"> the habitat suitability</w:t>
      </w:r>
      <w:r w:rsidR="0076519D">
        <w:t xml:space="preserve"> data</w:t>
      </w:r>
      <w:r w:rsidR="000F4A8D">
        <w:t xml:space="preserve">. </w:t>
      </w:r>
      <w:r w:rsidR="00C83DF5">
        <w:t xml:space="preserve"> </w:t>
      </w:r>
    </w:p>
    <w:p w14:paraId="46231DFE" w14:textId="6BA9F260" w:rsidR="002819A3" w:rsidRDefault="002819A3" w:rsidP="002819A3">
      <w:pPr>
        <w:rPr>
          <w:b/>
          <w:bCs/>
          <w:i/>
          <w:iCs/>
          <w:sz w:val="24"/>
          <w:szCs w:val="24"/>
        </w:rPr>
      </w:pPr>
      <w:r w:rsidRPr="002819A3">
        <w:rPr>
          <w:b/>
          <w:bCs/>
          <w:i/>
          <w:iCs/>
          <w:sz w:val="24"/>
          <w:szCs w:val="24"/>
        </w:rPr>
        <w:t>Actions</w:t>
      </w:r>
      <w:r w:rsidR="008224A9">
        <w:rPr>
          <w:b/>
          <w:bCs/>
          <w:i/>
          <w:iCs/>
          <w:sz w:val="24"/>
          <w:szCs w:val="24"/>
        </w:rPr>
        <w:t>:</w:t>
      </w:r>
      <w:r w:rsidRPr="002819A3">
        <w:rPr>
          <w:b/>
          <w:bCs/>
          <w:i/>
          <w:iCs/>
          <w:sz w:val="24"/>
          <w:szCs w:val="24"/>
        </w:rPr>
        <w:t xml:space="preserve"> </w:t>
      </w:r>
    </w:p>
    <w:p w14:paraId="077C45AF" w14:textId="77777777" w:rsidR="00AF3F6A" w:rsidRDefault="00AF3F6A" w:rsidP="00AF3F6A">
      <w:pPr>
        <w:pStyle w:val="ListParagraph"/>
        <w:numPr>
          <w:ilvl w:val="0"/>
          <w:numId w:val="2"/>
        </w:numPr>
      </w:pPr>
      <w:r>
        <w:t>FN to:</w:t>
      </w:r>
    </w:p>
    <w:p w14:paraId="4589ED1E" w14:textId="77777777" w:rsidR="00AF3F6A" w:rsidRDefault="00AF3F6A" w:rsidP="00AF3F6A">
      <w:pPr>
        <w:pStyle w:val="ListParagraph"/>
        <w:numPr>
          <w:ilvl w:val="1"/>
          <w:numId w:val="2"/>
        </w:numPr>
      </w:pPr>
      <w:r>
        <w:t>share ETP presentation with Steering Group</w:t>
      </w:r>
    </w:p>
    <w:p w14:paraId="575A679F" w14:textId="77777777" w:rsidR="00AF3F6A" w:rsidRDefault="00AF3F6A" w:rsidP="00AF3F6A">
      <w:pPr>
        <w:pStyle w:val="ListParagraph"/>
        <w:numPr>
          <w:ilvl w:val="1"/>
          <w:numId w:val="2"/>
        </w:numPr>
      </w:pPr>
      <w:r>
        <w:t xml:space="preserve">contact MMO around sharing Lara Leonard’s MMO VMS data </w:t>
      </w:r>
    </w:p>
    <w:p w14:paraId="6186B28A" w14:textId="026F4E15" w:rsidR="00AF3F6A" w:rsidRDefault="00AF3F6A" w:rsidP="002819A3">
      <w:pPr>
        <w:pStyle w:val="ListParagraph"/>
        <w:numPr>
          <w:ilvl w:val="1"/>
          <w:numId w:val="2"/>
        </w:numPr>
      </w:pPr>
      <w:r>
        <w:t>share ETP list with Steering Group</w:t>
      </w:r>
    </w:p>
    <w:p w14:paraId="6873D55B" w14:textId="77777777" w:rsidR="009229A4" w:rsidRDefault="00AF3F6A" w:rsidP="00AF3F6A">
      <w:pPr>
        <w:pStyle w:val="ListParagraph"/>
        <w:numPr>
          <w:ilvl w:val="0"/>
          <w:numId w:val="2"/>
        </w:numPr>
      </w:pPr>
      <w:r>
        <w:lastRenderedPageBreak/>
        <w:t>Secretariat to</w:t>
      </w:r>
      <w:r w:rsidR="009229A4">
        <w:t>:</w:t>
      </w:r>
    </w:p>
    <w:p w14:paraId="491B567B" w14:textId="77777777" w:rsidR="009229A4" w:rsidRDefault="00AF3F6A" w:rsidP="009229A4">
      <w:pPr>
        <w:pStyle w:val="ListParagraph"/>
        <w:numPr>
          <w:ilvl w:val="1"/>
          <w:numId w:val="2"/>
        </w:numPr>
      </w:pPr>
      <w:r>
        <w:t xml:space="preserve"> speak with MF and Mike Kaiser about possibility of MF taking on habitat suitability analysis to support ETP actions</w:t>
      </w:r>
    </w:p>
    <w:p w14:paraId="22423CAB" w14:textId="3C55F817" w:rsidR="00AF3F6A" w:rsidRDefault="00AF3F6A" w:rsidP="009229A4">
      <w:pPr>
        <w:pStyle w:val="ListParagraph"/>
        <w:numPr>
          <w:ilvl w:val="1"/>
          <w:numId w:val="2"/>
        </w:numPr>
      </w:pPr>
      <w:r>
        <w:t>review MSC Shetland scallop fishery’s ETP recording protocol as an example</w:t>
      </w:r>
    </w:p>
    <w:p w14:paraId="539492C9" w14:textId="77777777" w:rsidR="00E10E40" w:rsidRDefault="00E10E40" w:rsidP="00E10E40">
      <w:pPr>
        <w:pStyle w:val="ListParagraph"/>
        <w:numPr>
          <w:ilvl w:val="0"/>
          <w:numId w:val="2"/>
        </w:numPr>
      </w:pPr>
      <w:r>
        <w:t>Steering Group to:</w:t>
      </w:r>
    </w:p>
    <w:p w14:paraId="05D00A94" w14:textId="77777777" w:rsidR="00E10E40" w:rsidRDefault="00E10E40" w:rsidP="00E10E40">
      <w:pPr>
        <w:pStyle w:val="ListParagraph"/>
        <w:numPr>
          <w:ilvl w:val="1"/>
          <w:numId w:val="2"/>
        </w:numPr>
      </w:pPr>
      <w:r>
        <w:t>review updated ETP list for any species or legislation that may have been missed and send any additions to Secretariat</w:t>
      </w:r>
    </w:p>
    <w:p w14:paraId="0313249E" w14:textId="4C1C77DF" w:rsidR="00AF3F6A" w:rsidRPr="00AF3F6A" w:rsidRDefault="00E10E40" w:rsidP="00E10E40">
      <w:pPr>
        <w:pStyle w:val="ListParagraph"/>
        <w:numPr>
          <w:ilvl w:val="1"/>
          <w:numId w:val="2"/>
        </w:numPr>
      </w:pPr>
      <w:r>
        <w:t xml:space="preserve">provide list of fishers who would be willing to do an ETP questionnaire </w:t>
      </w:r>
    </w:p>
    <w:p w14:paraId="0A314C38" w14:textId="77777777" w:rsidR="00A20B96" w:rsidRPr="00537E3E" w:rsidRDefault="00A20B96" w:rsidP="00A20B96">
      <w:pPr>
        <w:rPr>
          <w:b/>
          <w:bCs/>
        </w:rPr>
      </w:pPr>
      <w:r w:rsidRPr="00537E3E">
        <w:rPr>
          <w:b/>
          <w:bCs/>
        </w:rPr>
        <w:t>Action 8: Habitats</w:t>
      </w:r>
    </w:p>
    <w:p w14:paraId="593BA2B4" w14:textId="6E08EAA1" w:rsidR="00891934" w:rsidRDefault="00D15FB0" w:rsidP="00DD141A">
      <w:r>
        <w:t xml:space="preserve">MF </w:t>
      </w:r>
      <w:r w:rsidR="00891934">
        <w:t>is currently undertaking a</w:t>
      </w:r>
      <w:r w:rsidR="00891934" w:rsidRPr="00891934">
        <w:t xml:space="preserve"> </w:t>
      </w:r>
      <w:r w:rsidR="00891934">
        <w:t xml:space="preserve">literature review on global </w:t>
      </w:r>
      <w:r w:rsidR="00405C5C">
        <w:t>scallop</w:t>
      </w:r>
      <w:r w:rsidR="00C82B38">
        <w:t xml:space="preserve"> </w:t>
      </w:r>
      <w:r w:rsidR="00891934">
        <w:t xml:space="preserve">management practices, seabed habitats and benthic interaction. This </w:t>
      </w:r>
      <w:r w:rsidR="00A762C2">
        <w:t>should be complete by the end of November 2020.</w:t>
      </w:r>
    </w:p>
    <w:p w14:paraId="41DE6CBD" w14:textId="4282FAB8" w:rsidR="00D15FB0" w:rsidRDefault="00D15FB0" w:rsidP="00DD141A">
      <w:r>
        <w:t xml:space="preserve">MF </w:t>
      </w:r>
      <w:r w:rsidR="003973D3">
        <w:t>can</w:t>
      </w:r>
      <w:r>
        <w:t xml:space="preserve"> access </w:t>
      </w:r>
      <w:r w:rsidR="003973D3">
        <w:t xml:space="preserve">&gt;12m fleet </w:t>
      </w:r>
      <w:r>
        <w:t xml:space="preserve">VMS data from Marine </w:t>
      </w:r>
      <w:r w:rsidR="006F0D25">
        <w:t xml:space="preserve">Scotland </w:t>
      </w:r>
      <w:r w:rsidR="00686C48">
        <w:t>but</w:t>
      </w:r>
      <w:r w:rsidR="00B304D9">
        <w:t xml:space="preserve"> </w:t>
      </w:r>
      <w:r w:rsidR="006F0D25">
        <w:t xml:space="preserve">the </w:t>
      </w:r>
      <w:r w:rsidR="00F41E36">
        <w:t>&lt;</w:t>
      </w:r>
      <w:r w:rsidR="006F0D25">
        <w:t>12m fleet mapping will be done using social science techniques</w:t>
      </w:r>
      <w:r w:rsidR="00686C48">
        <w:t>.</w:t>
      </w:r>
      <w:r w:rsidR="00B304D9">
        <w:t xml:space="preserve"> </w:t>
      </w:r>
      <w:r w:rsidR="006F0D25">
        <w:t>Covid-19 depend</w:t>
      </w:r>
      <w:r w:rsidR="00BF223E">
        <w:t>e</w:t>
      </w:r>
      <w:r w:rsidR="006F0D25">
        <w:t>nt</w:t>
      </w:r>
      <w:r w:rsidR="00B304D9">
        <w:t>,</w:t>
      </w:r>
      <w:r w:rsidR="006F0D25">
        <w:t xml:space="preserve"> this work should start in Spring</w:t>
      </w:r>
      <w:r w:rsidR="00BF223E">
        <w:t xml:space="preserve"> 2021</w:t>
      </w:r>
      <w:r w:rsidR="006F0D25">
        <w:t>. By end of Year 2 of the FIP MF hope</w:t>
      </w:r>
      <w:r w:rsidR="005B0E9B">
        <w:t>s</w:t>
      </w:r>
      <w:r w:rsidR="006F0D25">
        <w:t xml:space="preserve"> to have initial analysis of footprint &gt;12m fleet overlapped with VMEs, some habitat suitability mapping and some relative benthic status mapping. </w:t>
      </w:r>
    </w:p>
    <w:p w14:paraId="59090746" w14:textId="20B7FABB" w:rsidR="006F0D25" w:rsidRDefault="006F0D25" w:rsidP="00DD141A">
      <w:r>
        <w:t xml:space="preserve">FN asked MF if she had received Lara Leonard’s MMO VMS data, which was for all &gt;12m vessels. MF had not and believed she would have to contact them directly as there might be data protection act around sharing VMS data. MF and FN agreed to go through the habitat actions in the Action Plan further </w:t>
      </w:r>
      <w:r w:rsidR="005252B2">
        <w:t>offline</w:t>
      </w:r>
      <w:r>
        <w:t xml:space="preserve">. </w:t>
      </w:r>
    </w:p>
    <w:p w14:paraId="4C427B6E" w14:textId="71C42FED" w:rsidR="002819A3" w:rsidRDefault="002819A3" w:rsidP="002819A3">
      <w:pPr>
        <w:rPr>
          <w:b/>
          <w:bCs/>
          <w:i/>
          <w:iCs/>
          <w:sz w:val="24"/>
          <w:szCs w:val="24"/>
        </w:rPr>
      </w:pPr>
      <w:r w:rsidRPr="002819A3">
        <w:rPr>
          <w:b/>
          <w:bCs/>
          <w:i/>
          <w:iCs/>
          <w:sz w:val="24"/>
          <w:szCs w:val="24"/>
        </w:rPr>
        <w:t>Actions</w:t>
      </w:r>
      <w:r w:rsidR="008224A9">
        <w:rPr>
          <w:b/>
          <w:bCs/>
          <w:i/>
          <w:iCs/>
          <w:sz w:val="24"/>
          <w:szCs w:val="24"/>
        </w:rPr>
        <w:t>:</w:t>
      </w:r>
      <w:r w:rsidRPr="002819A3">
        <w:rPr>
          <w:b/>
          <w:bCs/>
          <w:i/>
          <w:iCs/>
          <w:sz w:val="24"/>
          <w:szCs w:val="24"/>
        </w:rPr>
        <w:t xml:space="preserve"> </w:t>
      </w:r>
    </w:p>
    <w:p w14:paraId="7D778D5C" w14:textId="485A078B" w:rsidR="00AF3F6A" w:rsidRPr="00AF3F6A" w:rsidRDefault="00AF3F6A" w:rsidP="002819A3">
      <w:pPr>
        <w:pStyle w:val="ListParagraph"/>
        <w:numPr>
          <w:ilvl w:val="0"/>
          <w:numId w:val="2"/>
        </w:numPr>
      </w:pPr>
      <w:r>
        <w:t>MF and FN to arrange a call to discuss habitat actions further</w:t>
      </w:r>
    </w:p>
    <w:p w14:paraId="69AD71C6" w14:textId="77777777" w:rsidR="00A20B96" w:rsidRDefault="00A20B96" w:rsidP="00A20B96">
      <w:r w:rsidRPr="00537E3E">
        <w:rPr>
          <w:b/>
          <w:bCs/>
        </w:rPr>
        <w:t>Action 9: Ecosystem</w:t>
      </w:r>
    </w:p>
    <w:p w14:paraId="78BEE9D3" w14:textId="2F44F4FA" w:rsidR="00162DF2" w:rsidRDefault="00EC3DA7" w:rsidP="00162DF2">
      <w:r>
        <w:t xml:space="preserve">FN and BL </w:t>
      </w:r>
      <w:r w:rsidR="00360CD9">
        <w:t>circulated a draft</w:t>
      </w:r>
      <w:r>
        <w:t xml:space="preserve"> </w:t>
      </w:r>
      <w:r w:rsidR="00360CD9">
        <w:t>questionnaire for a S</w:t>
      </w:r>
      <w:r w:rsidR="00360CD9" w:rsidRPr="005252B2">
        <w:t xml:space="preserve">cale, </w:t>
      </w:r>
      <w:r w:rsidR="00360CD9">
        <w:t>I</w:t>
      </w:r>
      <w:r w:rsidR="00360CD9" w:rsidRPr="005252B2">
        <w:t xml:space="preserve">ntensity, </w:t>
      </w:r>
      <w:r w:rsidR="00360CD9">
        <w:t>C</w:t>
      </w:r>
      <w:r w:rsidR="00360CD9" w:rsidRPr="005252B2">
        <w:t xml:space="preserve">onsequence </w:t>
      </w:r>
      <w:r w:rsidR="00360CD9">
        <w:t>A</w:t>
      </w:r>
      <w:r w:rsidR="00360CD9" w:rsidRPr="005252B2">
        <w:t>nalysis</w:t>
      </w:r>
      <w:r w:rsidR="00360CD9">
        <w:t xml:space="preserve"> (SICA), and the feedback </w:t>
      </w:r>
      <w:r w:rsidR="00492876">
        <w:t>will be used to update the document.</w:t>
      </w:r>
      <w:r w:rsidR="00360CD9">
        <w:t xml:space="preserve"> </w:t>
      </w:r>
      <w:r w:rsidR="00246BF1">
        <w:t xml:space="preserve">FN proposed that the SICA would be done through </w:t>
      </w:r>
      <w:r w:rsidR="00B304D9">
        <w:t xml:space="preserve">a </w:t>
      </w:r>
      <w:r w:rsidR="00246BF1">
        <w:t>webina</w:t>
      </w:r>
      <w:r w:rsidR="00B304D9">
        <w:t>r</w:t>
      </w:r>
      <w:r w:rsidR="00246BF1">
        <w:t xml:space="preserve"> </w:t>
      </w:r>
      <w:r w:rsidR="00162DF2">
        <w:t xml:space="preserve">and would require a </w:t>
      </w:r>
      <w:r w:rsidR="00EB0811">
        <w:t>separate</w:t>
      </w:r>
      <w:r w:rsidR="00492876">
        <w:t xml:space="preserve"> </w:t>
      </w:r>
      <w:r w:rsidR="00162DF2">
        <w:t xml:space="preserve">workshop for each </w:t>
      </w:r>
      <w:r w:rsidR="00B304D9">
        <w:t xml:space="preserve">of the </w:t>
      </w:r>
      <w:r w:rsidR="00162DF2">
        <w:t>Round 2 FIP</w:t>
      </w:r>
      <w:r w:rsidR="00B304D9">
        <w:t>s</w:t>
      </w:r>
      <w:r w:rsidR="00162DF2">
        <w:t xml:space="preserve">. </w:t>
      </w:r>
    </w:p>
    <w:p w14:paraId="5AF15603" w14:textId="28C25655" w:rsidR="00AD606B" w:rsidRDefault="00162DF2" w:rsidP="00DD141A">
      <w:r>
        <w:t xml:space="preserve">FN reminded the group that a SICA analysis </w:t>
      </w:r>
      <w:r w:rsidR="007C600F">
        <w:t xml:space="preserve">is </w:t>
      </w:r>
      <w:r>
        <w:t xml:space="preserve">used for data deficient stocks and </w:t>
      </w:r>
      <w:r w:rsidR="00CC733D">
        <w:t xml:space="preserve">so the group should not delay it to wait for more </w:t>
      </w:r>
      <w:r w:rsidR="00F6363E">
        <w:t>d</w:t>
      </w:r>
      <w:r w:rsidR="00CC733D">
        <w:t xml:space="preserve">ata to become available. </w:t>
      </w:r>
      <w:r w:rsidR="00960FBA">
        <w:t>A</w:t>
      </w:r>
      <w:r w:rsidR="00F6363E">
        <w:t>ny delays may</w:t>
      </w:r>
      <w:r>
        <w:t xml:space="preserve"> risk not having time to address </w:t>
      </w:r>
      <w:r w:rsidR="00F6363E">
        <w:t xml:space="preserve">the </w:t>
      </w:r>
      <w:r>
        <w:t xml:space="preserve">issues flagged </w:t>
      </w:r>
      <w:r w:rsidR="00C951B3">
        <w:t>by</w:t>
      </w:r>
      <w:r>
        <w:t xml:space="preserve"> the SICA.</w:t>
      </w:r>
    </w:p>
    <w:p w14:paraId="7BE38EBF" w14:textId="2D8602DA" w:rsidR="00FB1413" w:rsidRDefault="00FB1413" w:rsidP="00FB1413">
      <w:pPr>
        <w:pStyle w:val="ActionsArisingTitle"/>
      </w:pPr>
      <w:r w:rsidRPr="00FB1413">
        <w:t>Actions:</w:t>
      </w:r>
    </w:p>
    <w:p w14:paraId="03C1D263" w14:textId="606BB157" w:rsidR="00A628C4" w:rsidRDefault="00230B0C" w:rsidP="00EC0E9E">
      <w:pPr>
        <w:pStyle w:val="ListParagraph"/>
        <w:numPr>
          <w:ilvl w:val="0"/>
          <w:numId w:val="2"/>
        </w:numPr>
      </w:pPr>
      <w:r>
        <w:t>Secretariat</w:t>
      </w:r>
      <w:r w:rsidR="00776AA1">
        <w:t xml:space="preserve"> to</w:t>
      </w:r>
      <w:r w:rsidR="00E10E40">
        <w:t xml:space="preserve"> </w:t>
      </w:r>
      <w:r w:rsidR="00F528F6">
        <w:t xml:space="preserve">plan and deliver SICA workshops in </w:t>
      </w:r>
      <w:r w:rsidR="001F727D">
        <w:t>Spring</w:t>
      </w:r>
      <w:r w:rsidR="00F528F6">
        <w:t xml:space="preserve"> 2021</w:t>
      </w:r>
    </w:p>
    <w:p w14:paraId="415B7CFF" w14:textId="007D5AB7" w:rsidR="00EC0E9E" w:rsidRDefault="00A628C4" w:rsidP="00EC0E9E">
      <w:pPr>
        <w:pStyle w:val="TItleofAgendaItem"/>
      </w:pPr>
      <w:r>
        <w:t>Any Other Business</w:t>
      </w:r>
    </w:p>
    <w:p w14:paraId="640DDB05" w14:textId="577D1865" w:rsidR="00C376F7" w:rsidRPr="00C376F7" w:rsidRDefault="00C376F7" w:rsidP="0003721C">
      <w:r>
        <w:t xml:space="preserve">Draft minutes will be </w:t>
      </w:r>
      <w:r w:rsidR="00B573CB">
        <w:t>circulated</w:t>
      </w:r>
      <w:r>
        <w:t xml:space="preserve"> </w:t>
      </w:r>
      <w:r w:rsidR="002B02DC">
        <w:t xml:space="preserve">in two weeks’ time </w:t>
      </w:r>
    </w:p>
    <w:p w14:paraId="220DBF1B" w14:textId="01CB0C46" w:rsidR="00AE7B5C" w:rsidRDefault="00EC0E9E" w:rsidP="00EC0E9E">
      <w:pPr>
        <w:pStyle w:val="TItleofAgendaItem"/>
      </w:pPr>
      <w:r>
        <w:t>Meeting Closes</w:t>
      </w:r>
    </w:p>
    <w:p w14:paraId="02D9D6AA" w14:textId="4083DBF7" w:rsidR="00A628C4" w:rsidRDefault="00B304D9" w:rsidP="00A628C4">
      <w:r>
        <w:t>11.30</w:t>
      </w:r>
    </w:p>
    <w:p w14:paraId="1D9A7530" w14:textId="498E7FD7" w:rsidR="008224A9" w:rsidRDefault="008224A9" w:rsidP="00A628C4"/>
    <w:p w14:paraId="7ACB26EE" w14:textId="77777777" w:rsidR="008224A9" w:rsidRPr="00A628C4" w:rsidRDefault="008224A9" w:rsidP="00A628C4"/>
    <w:tbl>
      <w:tblPr>
        <w:tblStyle w:val="TableGrid"/>
        <w:tblW w:w="5000" w:type="pct"/>
        <w:tblInd w:w="-113" w:type="dxa"/>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ayout w:type="fixed"/>
        <w:tblLook w:val="04A0" w:firstRow="1" w:lastRow="0" w:firstColumn="1" w:lastColumn="0" w:noHBand="0" w:noVBand="1"/>
      </w:tblPr>
      <w:tblGrid>
        <w:gridCol w:w="7337"/>
        <w:gridCol w:w="1679"/>
      </w:tblGrid>
      <w:tr w:rsidR="005D1E0E" w:rsidRPr="00A85A75" w14:paraId="2CFD3AFD" w14:textId="77777777" w:rsidTr="008224A9">
        <w:tc>
          <w:tcPr>
            <w:tcW w:w="4069" w:type="pct"/>
            <w:shd w:val="clear" w:color="auto" w:fill="1B98C7"/>
          </w:tcPr>
          <w:p w14:paraId="4F466103" w14:textId="1D2867CA" w:rsidR="005D1E0E" w:rsidRPr="008224A9" w:rsidRDefault="005D1E0E" w:rsidP="00AE0C52">
            <w:pPr>
              <w:pStyle w:val="TableHeading"/>
              <w:spacing w:before="120" w:after="120"/>
            </w:pPr>
            <w:r w:rsidRPr="008224A9">
              <w:lastRenderedPageBreak/>
              <w:t>Actions Arising</w:t>
            </w:r>
          </w:p>
        </w:tc>
        <w:tc>
          <w:tcPr>
            <w:tcW w:w="931" w:type="pct"/>
            <w:shd w:val="clear" w:color="auto" w:fill="1B98C7"/>
          </w:tcPr>
          <w:p w14:paraId="5A048189" w14:textId="77777777" w:rsidR="005D1E0E" w:rsidRPr="008224A9" w:rsidRDefault="005D1E0E" w:rsidP="00AE0C52">
            <w:pPr>
              <w:pStyle w:val="TableHeading"/>
              <w:spacing w:before="120" w:after="120"/>
            </w:pPr>
            <w:r w:rsidRPr="008224A9">
              <w:t>Responsibility</w:t>
            </w:r>
          </w:p>
        </w:tc>
      </w:tr>
      <w:tr w:rsidR="005D1E0E" w14:paraId="73242D60" w14:textId="77777777" w:rsidTr="008224A9">
        <w:tc>
          <w:tcPr>
            <w:tcW w:w="4069" w:type="pct"/>
          </w:tcPr>
          <w:p w14:paraId="37300C53" w14:textId="77777777" w:rsidR="008224A9" w:rsidRPr="008224A9" w:rsidRDefault="008224A9" w:rsidP="008224A9">
            <w:pPr>
              <w:rPr>
                <w:b/>
                <w:bCs/>
                <w:sz w:val="20"/>
                <w:szCs w:val="20"/>
              </w:rPr>
            </w:pPr>
            <w:r w:rsidRPr="008224A9">
              <w:rPr>
                <w:b/>
                <w:bCs/>
                <w:sz w:val="20"/>
                <w:szCs w:val="20"/>
              </w:rPr>
              <w:t>Action 1: Stock status</w:t>
            </w:r>
          </w:p>
          <w:p w14:paraId="49558B2B" w14:textId="77777777" w:rsidR="008224A9" w:rsidRPr="008224A9" w:rsidRDefault="008224A9" w:rsidP="008224A9">
            <w:pPr>
              <w:pStyle w:val="ListParagraph"/>
              <w:numPr>
                <w:ilvl w:val="0"/>
                <w:numId w:val="2"/>
              </w:numPr>
              <w:rPr>
                <w:sz w:val="20"/>
                <w:szCs w:val="20"/>
              </w:rPr>
            </w:pPr>
            <w:r w:rsidRPr="008224A9">
              <w:rPr>
                <w:sz w:val="20"/>
                <w:szCs w:val="20"/>
              </w:rPr>
              <w:t>FN to update Action Plan to show Marine Scotland Science has new position due to start</w:t>
            </w:r>
          </w:p>
          <w:p w14:paraId="71C8C13E" w14:textId="77777777" w:rsidR="008224A9" w:rsidRPr="008224A9" w:rsidRDefault="008224A9" w:rsidP="008224A9">
            <w:pPr>
              <w:pStyle w:val="ListParagraph"/>
              <w:numPr>
                <w:ilvl w:val="0"/>
                <w:numId w:val="2"/>
              </w:numPr>
              <w:rPr>
                <w:sz w:val="20"/>
                <w:szCs w:val="20"/>
              </w:rPr>
            </w:pPr>
            <w:proofErr w:type="spellStart"/>
            <w:r w:rsidRPr="008224A9">
              <w:rPr>
                <w:sz w:val="20"/>
                <w:szCs w:val="20"/>
              </w:rPr>
              <w:t>JPo</w:t>
            </w:r>
            <w:proofErr w:type="spellEnd"/>
            <w:r w:rsidRPr="008224A9">
              <w:rPr>
                <w:sz w:val="20"/>
                <w:szCs w:val="20"/>
              </w:rPr>
              <w:t>, FB and CP to join Dogger bank sub-group of the FIP</w:t>
            </w:r>
          </w:p>
          <w:p w14:paraId="3DAA5272" w14:textId="77777777" w:rsidR="008224A9" w:rsidRPr="008224A9" w:rsidRDefault="008224A9" w:rsidP="008224A9">
            <w:pPr>
              <w:pStyle w:val="ListParagraph"/>
              <w:numPr>
                <w:ilvl w:val="0"/>
                <w:numId w:val="2"/>
              </w:numPr>
              <w:rPr>
                <w:sz w:val="20"/>
                <w:szCs w:val="20"/>
              </w:rPr>
            </w:pPr>
            <w:r w:rsidRPr="008224A9">
              <w:rPr>
                <w:sz w:val="20"/>
                <w:szCs w:val="20"/>
              </w:rPr>
              <w:t xml:space="preserve">Secretariat to: </w:t>
            </w:r>
          </w:p>
          <w:p w14:paraId="4A29C10C" w14:textId="77777777" w:rsidR="008224A9" w:rsidRPr="008224A9" w:rsidRDefault="008224A9" w:rsidP="008224A9">
            <w:pPr>
              <w:pStyle w:val="ListParagraph"/>
              <w:numPr>
                <w:ilvl w:val="1"/>
                <w:numId w:val="2"/>
              </w:numPr>
              <w:rPr>
                <w:sz w:val="20"/>
                <w:szCs w:val="20"/>
              </w:rPr>
            </w:pPr>
            <w:r w:rsidRPr="008224A9">
              <w:rPr>
                <w:sz w:val="20"/>
                <w:szCs w:val="20"/>
              </w:rPr>
              <w:t xml:space="preserve">ask Cefas for scallop survey update for English North Sea </w:t>
            </w:r>
          </w:p>
          <w:p w14:paraId="6734740D" w14:textId="3D74B62D" w:rsidR="005D1E0E" w:rsidRPr="008224A9" w:rsidRDefault="008224A9" w:rsidP="008224A9">
            <w:pPr>
              <w:pStyle w:val="ListParagraph"/>
              <w:numPr>
                <w:ilvl w:val="1"/>
                <w:numId w:val="2"/>
              </w:numPr>
              <w:rPr>
                <w:sz w:val="20"/>
                <w:szCs w:val="20"/>
              </w:rPr>
            </w:pPr>
            <w:r w:rsidRPr="008224A9">
              <w:rPr>
                <w:sz w:val="20"/>
                <w:szCs w:val="20"/>
              </w:rPr>
              <w:t>set up call with FN and other interested members to discuss how Dogger Bank developments should be addressed by the FIP and set up the Dogger Bank sub-group</w:t>
            </w:r>
          </w:p>
        </w:tc>
        <w:tc>
          <w:tcPr>
            <w:tcW w:w="931" w:type="pct"/>
          </w:tcPr>
          <w:p w14:paraId="3B6B6BD2" w14:textId="77777777" w:rsidR="005D1E0E" w:rsidRDefault="005D1E0E" w:rsidP="00054317">
            <w:pPr>
              <w:pStyle w:val="TableText"/>
              <w:jc w:val="center"/>
              <w:rPr>
                <w:b/>
                <w:bCs/>
              </w:rPr>
            </w:pPr>
          </w:p>
          <w:p w14:paraId="607F0954" w14:textId="77777777" w:rsidR="008224A9" w:rsidRDefault="008224A9" w:rsidP="00054317">
            <w:pPr>
              <w:pStyle w:val="TableText"/>
              <w:jc w:val="center"/>
              <w:rPr>
                <w:b/>
                <w:bCs/>
              </w:rPr>
            </w:pPr>
            <w:r>
              <w:rPr>
                <w:b/>
                <w:bCs/>
              </w:rPr>
              <w:t>FN</w:t>
            </w:r>
          </w:p>
          <w:p w14:paraId="7E9A72E2" w14:textId="77777777" w:rsidR="008224A9" w:rsidRDefault="008224A9" w:rsidP="00054317">
            <w:pPr>
              <w:pStyle w:val="TableText"/>
              <w:jc w:val="center"/>
              <w:rPr>
                <w:b/>
                <w:bCs/>
              </w:rPr>
            </w:pPr>
          </w:p>
          <w:p w14:paraId="23192133" w14:textId="77777777" w:rsidR="008224A9" w:rsidRDefault="008224A9" w:rsidP="00054317">
            <w:pPr>
              <w:pStyle w:val="TableText"/>
              <w:jc w:val="center"/>
              <w:rPr>
                <w:b/>
                <w:bCs/>
              </w:rPr>
            </w:pPr>
            <w:proofErr w:type="spellStart"/>
            <w:r>
              <w:rPr>
                <w:b/>
                <w:bCs/>
              </w:rPr>
              <w:t>JPo</w:t>
            </w:r>
            <w:proofErr w:type="spellEnd"/>
            <w:r>
              <w:rPr>
                <w:b/>
                <w:bCs/>
              </w:rPr>
              <w:t>, FB, CP</w:t>
            </w:r>
          </w:p>
          <w:p w14:paraId="00C06B02" w14:textId="77777777" w:rsidR="008224A9" w:rsidRDefault="008224A9" w:rsidP="00054317">
            <w:pPr>
              <w:pStyle w:val="TableText"/>
              <w:jc w:val="center"/>
              <w:rPr>
                <w:b/>
                <w:bCs/>
              </w:rPr>
            </w:pPr>
          </w:p>
          <w:p w14:paraId="62550816" w14:textId="03697BD6" w:rsidR="008224A9" w:rsidRPr="008224A9" w:rsidRDefault="008224A9" w:rsidP="00054317">
            <w:pPr>
              <w:pStyle w:val="TableText"/>
              <w:jc w:val="center"/>
              <w:rPr>
                <w:b/>
                <w:bCs/>
              </w:rPr>
            </w:pPr>
            <w:r>
              <w:rPr>
                <w:b/>
                <w:bCs/>
              </w:rPr>
              <w:t xml:space="preserve">Secretariat </w:t>
            </w:r>
          </w:p>
        </w:tc>
      </w:tr>
      <w:tr w:rsidR="005D1E0E" w14:paraId="4534430A" w14:textId="77777777" w:rsidTr="008224A9">
        <w:tc>
          <w:tcPr>
            <w:tcW w:w="4069" w:type="pct"/>
          </w:tcPr>
          <w:p w14:paraId="763F8938" w14:textId="77777777" w:rsidR="008224A9" w:rsidRPr="008224A9" w:rsidRDefault="008224A9" w:rsidP="008224A9">
            <w:pPr>
              <w:rPr>
                <w:b/>
                <w:bCs/>
                <w:sz w:val="20"/>
                <w:szCs w:val="20"/>
              </w:rPr>
            </w:pPr>
            <w:r w:rsidRPr="008224A9">
              <w:rPr>
                <w:b/>
                <w:bCs/>
                <w:sz w:val="20"/>
                <w:szCs w:val="20"/>
              </w:rPr>
              <w:t xml:space="preserve">Actions 2 &amp; 3: Harvest strategy and harvest control rules </w:t>
            </w:r>
          </w:p>
          <w:p w14:paraId="7E801E01" w14:textId="77777777" w:rsidR="008224A9" w:rsidRPr="008224A9" w:rsidRDefault="008224A9" w:rsidP="008224A9">
            <w:pPr>
              <w:pStyle w:val="ListParagraph"/>
              <w:numPr>
                <w:ilvl w:val="0"/>
                <w:numId w:val="2"/>
              </w:numPr>
              <w:rPr>
                <w:sz w:val="20"/>
                <w:szCs w:val="20"/>
              </w:rPr>
            </w:pPr>
            <w:r w:rsidRPr="008224A9">
              <w:rPr>
                <w:sz w:val="20"/>
                <w:szCs w:val="20"/>
              </w:rPr>
              <w:t xml:space="preserve">FN to share alternative measures PowerPoint with BL </w:t>
            </w:r>
          </w:p>
          <w:p w14:paraId="140C0586" w14:textId="77777777" w:rsidR="008224A9" w:rsidRPr="008224A9" w:rsidRDefault="008224A9" w:rsidP="008224A9">
            <w:pPr>
              <w:pStyle w:val="ListParagraph"/>
              <w:numPr>
                <w:ilvl w:val="0"/>
                <w:numId w:val="2"/>
              </w:numPr>
              <w:rPr>
                <w:sz w:val="20"/>
                <w:szCs w:val="20"/>
              </w:rPr>
            </w:pPr>
            <w:r w:rsidRPr="008224A9">
              <w:rPr>
                <w:sz w:val="20"/>
                <w:szCs w:val="20"/>
              </w:rPr>
              <w:t xml:space="preserve">FB: </w:t>
            </w:r>
          </w:p>
          <w:p w14:paraId="2C3CB495" w14:textId="77777777" w:rsidR="008224A9" w:rsidRPr="008224A9" w:rsidRDefault="008224A9" w:rsidP="008224A9">
            <w:pPr>
              <w:pStyle w:val="ListParagraph"/>
              <w:numPr>
                <w:ilvl w:val="1"/>
                <w:numId w:val="2"/>
              </w:numPr>
              <w:rPr>
                <w:sz w:val="20"/>
                <w:szCs w:val="20"/>
              </w:rPr>
            </w:pPr>
            <w:r w:rsidRPr="008224A9">
              <w:rPr>
                <w:sz w:val="20"/>
                <w:szCs w:val="20"/>
              </w:rPr>
              <w:t>to draft an ETP alternative measures document for the group, based on her previous work in the Channel scallop FIP</w:t>
            </w:r>
          </w:p>
          <w:p w14:paraId="2FE875DF" w14:textId="77777777" w:rsidR="008224A9" w:rsidRPr="008224A9" w:rsidRDefault="008224A9" w:rsidP="008224A9">
            <w:pPr>
              <w:pStyle w:val="ListParagraph"/>
              <w:numPr>
                <w:ilvl w:val="1"/>
                <w:numId w:val="2"/>
              </w:numPr>
              <w:rPr>
                <w:sz w:val="20"/>
                <w:szCs w:val="20"/>
              </w:rPr>
            </w:pPr>
            <w:r w:rsidRPr="008224A9">
              <w:rPr>
                <w:sz w:val="20"/>
                <w:szCs w:val="20"/>
              </w:rPr>
              <w:t>update the group on upcoming SICG-Devolved Administrations management options meeting</w:t>
            </w:r>
          </w:p>
          <w:p w14:paraId="4B364889" w14:textId="2F4D8D6F" w:rsidR="005D1E0E" w:rsidRPr="008224A9" w:rsidRDefault="008224A9" w:rsidP="008224A9">
            <w:pPr>
              <w:pStyle w:val="ListParagraph"/>
              <w:numPr>
                <w:ilvl w:val="0"/>
                <w:numId w:val="2"/>
              </w:numPr>
              <w:rPr>
                <w:sz w:val="20"/>
                <w:szCs w:val="20"/>
              </w:rPr>
            </w:pPr>
            <w:proofErr w:type="spellStart"/>
            <w:r w:rsidRPr="008224A9">
              <w:rPr>
                <w:sz w:val="20"/>
                <w:szCs w:val="20"/>
              </w:rPr>
              <w:t>JPo</w:t>
            </w:r>
            <w:proofErr w:type="spellEnd"/>
            <w:r w:rsidRPr="008224A9">
              <w:rPr>
                <w:sz w:val="20"/>
                <w:szCs w:val="20"/>
              </w:rPr>
              <w:t xml:space="preserve"> to share STECF report on 92mm scallop meshes with BL</w:t>
            </w:r>
          </w:p>
        </w:tc>
        <w:tc>
          <w:tcPr>
            <w:tcW w:w="931" w:type="pct"/>
          </w:tcPr>
          <w:p w14:paraId="4BB2EF55" w14:textId="77777777" w:rsidR="005D1E0E" w:rsidRDefault="005D1E0E" w:rsidP="00054317">
            <w:pPr>
              <w:pStyle w:val="TableText"/>
              <w:jc w:val="center"/>
              <w:rPr>
                <w:b/>
                <w:bCs/>
              </w:rPr>
            </w:pPr>
          </w:p>
          <w:p w14:paraId="5638E946" w14:textId="77777777" w:rsidR="004B6D50" w:rsidRDefault="004B6D50" w:rsidP="00054317">
            <w:pPr>
              <w:pStyle w:val="TableText"/>
              <w:jc w:val="center"/>
              <w:rPr>
                <w:b/>
                <w:bCs/>
              </w:rPr>
            </w:pPr>
            <w:r>
              <w:rPr>
                <w:b/>
                <w:bCs/>
              </w:rPr>
              <w:t>FN</w:t>
            </w:r>
          </w:p>
          <w:p w14:paraId="1ABA67CB" w14:textId="77777777" w:rsidR="004B6D50" w:rsidRDefault="004B6D50" w:rsidP="00054317">
            <w:pPr>
              <w:pStyle w:val="TableText"/>
              <w:jc w:val="center"/>
              <w:rPr>
                <w:b/>
                <w:bCs/>
              </w:rPr>
            </w:pPr>
            <w:r>
              <w:rPr>
                <w:b/>
                <w:bCs/>
              </w:rPr>
              <w:t>FB</w:t>
            </w:r>
          </w:p>
          <w:p w14:paraId="538EA094" w14:textId="77777777" w:rsidR="004B6D50" w:rsidRDefault="004B6D50" w:rsidP="00054317">
            <w:pPr>
              <w:pStyle w:val="TableText"/>
              <w:jc w:val="center"/>
              <w:rPr>
                <w:b/>
                <w:bCs/>
              </w:rPr>
            </w:pPr>
          </w:p>
          <w:p w14:paraId="6FF50322" w14:textId="77777777" w:rsidR="004B6D50" w:rsidRDefault="004B6D50" w:rsidP="00054317">
            <w:pPr>
              <w:pStyle w:val="TableText"/>
              <w:jc w:val="center"/>
              <w:rPr>
                <w:b/>
                <w:bCs/>
              </w:rPr>
            </w:pPr>
          </w:p>
          <w:p w14:paraId="2859A6A5" w14:textId="77777777" w:rsidR="004B6D50" w:rsidRDefault="004B6D50" w:rsidP="00054317">
            <w:pPr>
              <w:pStyle w:val="TableText"/>
              <w:jc w:val="center"/>
              <w:rPr>
                <w:b/>
                <w:bCs/>
              </w:rPr>
            </w:pPr>
          </w:p>
          <w:p w14:paraId="40614C30" w14:textId="77777777" w:rsidR="004B6D50" w:rsidRDefault="004B6D50" w:rsidP="00054317">
            <w:pPr>
              <w:pStyle w:val="TableText"/>
              <w:jc w:val="center"/>
              <w:rPr>
                <w:b/>
                <w:bCs/>
              </w:rPr>
            </w:pPr>
          </w:p>
          <w:p w14:paraId="7E3A9AB7" w14:textId="77777777" w:rsidR="004B6D50" w:rsidRDefault="004B6D50" w:rsidP="00054317">
            <w:pPr>
              <w:pStyle w:val="TableText"/>
              <w:jc w:val="center"/>
              <w:rPr>
                <w:b/>
                <w:bCs/>
              </w:rPr>
            </w:pPr>
          </w:p>
          <w:p w14:paraId="7C89955E" w14:textId="633CF284" w:rsidR="004B6D50" w:rsidRDefault="004B6D50" w:rsidP="00054317">
            <w:pPr>
              <w:pStyle w:val="TableText"/>
              <w:jc w:val="center"/>
              <w:rPr>
                <w:b/>
                <w:bCs/>
              </w:rPr>
            </w:pPr>
            <w:proofErr w:type="spellStart"/>
            <w:r>
              <w:rPr>
                <w:b/>
                <w:bCs/>
              </w:rPr>
              <w:t>JPo</w:t>
            </w:r>
            <w:proofErr w:type="spellEnd"/>
          </w:p>
        </w:tc>
      </w:tr>
      <w:tr w:rsidR="005D1E0E" w14:paraId="2A752E44" w14:textId="77777777" w:rsidTr="008224A9">
        <w:tc>
          <w:tcPr>
            <w:tcW w:w="4069" w:type="pct"/>
          </w:tcPr>
          <w:p w14:paraId="1860772B" w14:textId="77777777" w:rsidR="008224A9" w:rsidRPr="008224A9" w:rsidRDefault="008224A9" w:rsidP="008224A9">
            <w:pPr>
              <w:rPr>
                <w:b/>
                <w:bCs/>
                <w:sz w:val="20"/>
                <w:szCs w:val="20"/>
              </w:rPr>
            </w:pPr>
            <w:r w:rsidRPr="008224A9">
              <w:rPr>
                <w:b/>
                <w:bCs/>
                <w:sz w:val="20"/>
                <w:szCs w:val="20"/>
              </w:rPr>
              <w:t>Action 4 &amp; 5: Information and assessment</w:t>
            </w:r>
          </w:p>
          <w:p w14:paraId="47C8723B" w14:textId="77777777" w:rsidR="008224A9" w:rsidRPr="008224A9" w:rsidRDefault="008224A9" w:rsidP="008224A9">
            <w:pPr>
              <w:pStyle w:val="ListParagraph"/>
              <w:numPr>
                <w:ilvl w:val="0"/>
                <w:numId w:val="2"/>
              </w:numPr>
              <w:rPr>
                <w:sz w:val="20"/>
                <w:szCs w:val="20"/>
              </w:rPr>
            </w:pPr>
            <w:r w:rsidRPr="008224A9">
              <w:rPr>
                <w:sz w:val="20"/>
                <w:szCs w:val="20"/>
              </w:rPr>
              <w:t xml:space="preserve">Secretariat to: </w:t>
            </w:r>
          </w:p>
          <w:p w14:paraId="6FD31174" w14:textId="77777777" w:rsidR="008224A9" w:rsidRPr="008224A9" w:rsidRDefault="008224A9" w:rsidP="008224A9">
            <w:pPr>
              <w:pStyle w:val="ListParagraph"/>
              <w:numPr>
                <w:ilvl w:val="1"/>
                <w:numId w:val="2"/>
              </w:numPr>
              <w:rPr>
                <w:sz w:val="20"/>
                <w:szCs w:val="20"/>
              </w:rPr>
            </w:pPr>
            <w:r w:rsidRPr="008224A9">
              <w:rPr>
                <w:sz w:val="20"/>
                <w:szCs w:val="20"/>
              </w:rPr>
              <w:t xml:space="preserve">request recent ICES scallop Working Group report from LB, when available to understand gaps/delays for the FIP’s timeline </w:t>
            </w:r>
          </w:p>
          <w:p w14:paraId="0F518F0C" w14:textId="77777777" w:rsidR="008224A9" w:rsidRPr="008224A9" w:rsidRDefault="008224A9" w:rsidP="008224A9">
            <w:pPr>
              <w:pStyle w:val="ListParagraph"/>
              <w:numPr>
                <w:ilvl w:val="1"/>
                <w:numId w:val="2"/>
              </w:numPr>
              <w:rPr>
                <w:sz w:val="20"/>
                <w:szCs w:val="20"/>
              </w:rPr>
            </w:pPr>
            <w:r w:rsidRPr="008224A9">
              <w:rPr>
                <w:sz w:val="20"/>
                <w:szCs w:val="20"/>
              </w:rPr>
              <w:t xml:space="preserve">request </w:t>
            </w:r>
            <w:proofErr w:type="spellStart"/>
            <w:r w:rsidRPr="008224A9">
              <w:rPr>
                <w:sz w:val="20"/>
                <w:szCs w:val="20"/>
              </w:rPr>
              <w:t>Cefas’</w:t>
            </w:r>
            <w:proofErr w:type="spellEnd"/>
            <w:r w:rsidRPr="008224A9">
              <w:rPr>
                <w:sz w:val="20"/>
                <w:szCs w:val="20"/>
              </w:rPr>
              <w:t xml:space="preserve"> Dogger Bank survey report from CB </w:t>
            </w:r>
          </w:p>
          <w:p w14:paraId="02C087C1" w14:textId="34F81221" w:rsidR="005D1E0E" w:rsidRPr="008224A9" w:rsidRDefault="008224A9" w:rsidP="008224A9">
            <w:pPr>
              <w:pStyle w:val="ListParagraph"/>
              <w:numPr>
                <w:ilvl w:val="1"/>
                <w:numId w:val="2"/>
              </w:numPr>
              <w:rPr>
                <w:sz w:val="20"/>
                <w:szCs w:val="20"/>
              </w:rPr>
            </w:pPr>
            <w:r w:rsidRPr="008224A9">
              <w:rPr>
                <w:sz w:val="20"/>
                <w:szCs w:val="20"/>
              </w:rPr>
              <w:t>collect more damage data from the Fishery Administration’s science bodies</w:t>
            </w:r>
          </w:p>
        </w:tc>
        <w:tc>
          <w:tcPr>
            <w:tcW w:w="931" w:type="pct"/>
          </w:tcPr>
          <w:p w14:paraId="5D847D02" w14:textId="77777777" w:rsidR="005D1E0E" w:rsidRDefault="005D1E0E" w:rsidP="00054317">
            <w:pPr>
              <w:pStyle w:val="TableText"/>
              <w:jc w:val="center"/>
              <w:rPr>
                <w:b/>
                <w:bCs/>
              </w:rPr>
            </w:pPr>
          </w:p>
          <w:p w14:paraId="2F249BAE" w14:textId="240EAE56" w:rsidR="00C92625" w:rsidRDefault="00C92625" w:rsidP="00054317">
            <w:pPr>
              <w:pStyle w:val="TableText"/>
              <w:jc w:val="center"/>
              <w:rPr>
                <w:b/>
                <w:bCs/>
              </w:rPr>
            </w:pPr>
            <w:r>
              <w:rPr>
                <w:b/>
                <w:bCs/>
              </w:rPr>
              <w:t xml:space="preserve">Secretariat </w:t>
            </w:r>
          </w:p>
        </w:tc>
      </w:tr>
      <w:tr w:rsidR="005D1E0E" w14:paraId="5D36259A" w14:textId="77777777" w:rsidTr="008224A9">
        <w:tc>
          <w:tcPr>
            <w:tcW w:w="4069" w:type="pct"/>
          </w:tcPr>
          <w:p w14:paraId="5636A86E" w14:textId="77777777" w:rsidR="008224A9" w:rsidRPr="008224A9" w:rsidRDefault="008224A9" w:rsidP="008224A9">
            <w:pPr>
              <w:rPr>
                <w:b/>
                <w:bCs/>
                <w:sz w:val="20"/>
                <w:szCs w:val="20"/>
              </w:rPr>
            </w:pPr>
            <w:r w:rsidRPr="008224A9">
              <w:rPr>
                <w:b/>
                <w:bCs/>
                <w:sz w:val="20"/>
                <w:szCs w:val="20"/>
              </w:rPr>
              <w:t>Action 6: Secondary species</w:t>
            </w:r>
          </w:p>
          <w:p w14:paraId="09E85D47" w14:textId="77777777" w:rsidR="008224A9" w:rsidRPr="008224A9" w:rsidRDefault="008224A9" w:rsidP="008224A9">
            <w:pPr>
              <w:pStyle w:val="ListParagraph"/>
              <w:numPr>
                <w:ilvl w:val="0"/>
                <w:numId w:val="2"/>
              </w:numPr>
              <w:rPr>
                <w:sz w:val="20"/>
                <w:szCs w:val="20"/>
              </w:rPr>
            </w:pPr>
            <w:r w:rsidRPr="008224A9">
              <w:rPr>
                <w:sz w:val="20"/>
                <w:szCs w:val="20"/>
              </w:rPr>
              <w:t>BL and FN to circulate information sources used in the alternative measures report with the Steering Group members to provide any additional sources</w:t>
            </w:r>
          </w:p>
          <w:p w14:paraId="324F340D" w14:textId="77777777" w:rsidR="008224A9" w:rsidRPr="008224A9" w:rsidRDefault="008224A9" w:rsidP="008224A9">
            <w:pPr>
              <w:pStyle w:val="ListParagraph"/>
              <w:numPr>
                <w:ilvl w:val="0"/>
                <w:numId w:val="2"/>
              </w:numPr>
              <w:rPr>
                <w:sz w:val="20"/>
                <w:szCs w:val="20"/>
              </w:rPr>
            </w:pPr>
            <w:r w:rsidRPr="008224A9">
              <w:rPr>
                <w:sz w:val="20"/>
                <w:szCs w:val="20"/>
              </w:rPr>
              <w:t xml:space="preserve">CM and FN to discuss AFBI bycatch data further to provide quantitative information on secondary species bycatch  </w:t>
            </w:r>
          </w:p>
          <w:p w14:paraId="238CA699" w14:textId="77777777" w:rsidR="008224A9" w:rsidRPr="008224A9" w:rsidRDefault="008224A9" w:rsidP="008224A9">
            <w:pPr>
              <w:pStyle w:val="ListParagraph"/>
              <w:numPr>
                <w:ilvl w:val="0"/>
                <w:numId w:val="2"/>
              </w:numPr>
              <w:rPr>
                <w:sz w:val="20"/>
                <w:szCs w:val="20"/>
              </w:rPr>
            </w:pPr>
            <w:r w:rsidRPr="008224A9">
              <w:rPr>
                <w:sz w:val="20"/>
                <w:szCs w:val="20"/>
              </w:rPr>
              <w:t>Secretariat to obtain information from the Isle of Man to inform BL’s alternative measures report.</w:t>
            </w:r>
          </w:p>
          <w:p w14:paraId="17B32A7E" w14:textId="1401BF3B" w:rsidR="005D1E0E" w:rsidRPr="008224A9" w:rsidRDefault="008224A9" w:rsidP="008224A9">
            <w:pPr>
              <w:pStyle w:val="ListParagraph"/>
              <w:numPr>
                <w:ilvl w:val="0"/>
                <w:numId w:val="2"/>
              </w:numPr>
              <w:rPr>
                <w:sz w:val="20"/>
                <w:szCs w:val="20"/>
              </w:rPr>
            </w:pPr>
            <w:r w:rsidRPr="008224A9">
              <w:rPr>
                <w:sz w:val="20"/>
                <w:szCs w:val="20"/>
              </w:rPr>
              <w:t xml:space="preserve">Steering Group to provide feedback on BL alternative measures report, with a focus on identifying any research that may have been missed </w:t>
            </w:r>
          </w:p>
        </w:tc>
        <w:tc>
          <w:tcPr>
            <w:tcW w:w="931" w:type="pct"/>
          </w:tcPr>
          <w:p w14:paraId="3949CE48" w14:textId="77777777" w:rsidR="005D1E0E" w:rsidRDefault="005D1E0E" w:rsidP="00054317">
            <w:pPr>
              <w:pStyle w:val="TableText"/>
              <w:jc w:val="center"/>
              <w:rPr>
                <w:b/>
                <w:bCs/>
              </w:rPr>
            </w:pPr>
          </w:p>
          <w:p w14:paraId="6041298D" w14:textId="77777777" w:rsidR="00C92625" w:rsidRDefault="00C92625" w:rsidP="00054317">
            <w:pPr>
              <w:pStyle w:val="TableText"/>
              <w:jc w:val="center"/>
              <w:rPr>
                <w:b/>
                <w:bCs/>
              </w:rPr>
            </w:pPr>
            <w:r>
              <w:rPr>
                <w:b/>
                <w:bCs/>
              </w:rPr>
              <w:t>BL, FN</w:t>
            </w:r>
          </w:p>
          <w:p w14:paraId="49847B8D" w14:textId="77777777" w:rsidR="00C92625" w:rsidRDefault="00C92625" w:rsidP="00054317">
            <w:pPr>
              <w:pStyle w:val="TableText"/>
              <w:jc w:val="center"/>
              <w:rPr>
                <w:b/>
                <w:bCs/>
              </w:rPr>
            </w:pPr>
          </w:p>
          <w:p w14:paraId="2E90C32E" w14:textId="77777777" w:rsidR="00C92625" w:rsidRDefault="00C92625" w:rsidP="00054317">
            <w:pPr>
              <w:pStyle w:val="TableText"/>
              <w:jc w:val="center"/>
              <w:rPr>
                <w:b/>
                <w:bCs/>
              </w:rPr>
            </w:pPr>
            <w:r>
              <w:rPr>
                <w:b/>
                <w:bCs/>
              </w:rPr>
              <w:t>CM, FN</w:t>
            </w:r>
          </w:p>
          <w:p w14:paraId="481D0231" w14:textId="77777777" w:rsidR="00C92625" w:rsidRDefault="00C92625" w:rsidP="00054317">
            <w:pPr>
              <w:pStyle w:val="TableText"/>
              <w:jc w:val="center"/>
              <w:rPr>
                <w:b/>
                <w:bCs/>
              </w:rPr>
            </w:pPr>
          </w:p>
          <w:p w14:paraId="7A913DC3" w14:textId="77777777" w:rsidR="00C92625" w:rsidRDefault="00C92625" w:rsidP="00054317">
            <w:pPr>
              <w:pStyle w:val="TableText"/>
              <w:jc w:val="center"/>
              <w:rPr>
                <w:b/>
                <w:bCs/>
              </w:rPr>
            </w:pPr>
          </w:p>
          <w:p w14:paraId="3EEFD06E" w14:textId="77777777" w:rsidR="00C92625" w:rsidRDefault="00C92625" w:rsidP="00054317">
            <w:pPr>
              <w:pStyle w:val="TableText"/>
              <w:jc w:val="center"/>
              <w:rPr>
                <w:b/>
                <w:bCs/>
              </w:rPr>
            </w:pPr>
            <w:r>
              <w:rPr>
                <w:b/>
                <w:bCs/>
              </w:rPr>
              <w:t>Secretariat</w:t>
            </w:r>
          </w:p>
          <w:p w14:paraId="7471707B" w14:textId="77777777" w:rsidR="00C92625" w:rsidRDefault="00C92625" w:rsidP="00054317">
            <w:pPr>
              <w:pStyle w:val="TableText"/>
              <w:jc w:val="center"/>
              <w:rPr>
                <w:b/>
                <w:bCs/>
              </w:rPr>
            </w:pPr>
          </w:p>
          <w:p w14:paraId="4F71D646" w14:textId="1D971494" w:rsidR="00C92625" w:rsidRDefault="00C92625" w:rsidP="00054317">
            <w:pPr>
              <w:pStyle w:val="TableText"/>
              <w:jc w:val="center"/>
              <w:rPr>
                <w:b/>
                <w:bCs/>
              </w:rPr>
            </w:pPr>
            <w:r>
              <w:rPr>
                <w:b/>
                <w:bCs/>
              </w:rPr>
              <w:t>Steering group</w:t>
            </w:r>
          </w:p>
        </w:tc>
      </w:tr>
      <w:tr w:rsidR="005D1E0E" w14:paraId="480B86C6" w14:textId="77777777" w:rsidTr="008224A9">
        <w:tc>
          <w:tcPr>
            <w:tcW w:w="4069" w:type="pct"/>
          </w:tcPr>
          <w:p w14:paraId="571D879E" w14:textId="77777777" w:rsidR="008224A9" w:rsidRPr="008224A9" w:rsidRDefault="008224A9" w:rsidP="008224A9">
            <w:pPr>
              <w:rPr>
                <w:b/>
                <w:bCs/>
                <w:sz w:val="20"/>
                <w:szCs w:val="20"/>
              </w:rPr>
            </w:pPr>
            <w:r w:rsidRPr="008224A9">
              <w:rPr>
                <w:b/>
                <w:bCs/>
                <w:sz w:val="20"/>
                <w:szCs w:val="20"/>
              </w:rPr>
              <w:t>Action 7: Endangered, threatened and protected species</w:t>
            </w:r>
          </w:p>
          <w:p w14:paraId="22E88A5F" w14:textId="77777777" w:rsidR="008224A9" w:rsidRPr="008224A9" w:rsidRDefault="008224A9" w:rsidP="008224A9">
            <w:pPr>
              <w:pStyle w:val="ListParagraph"/>
              <w:numPr>
                <w:ilvl w:val="0"/>
                <w:numId w:val="2"/>
              </w:numPr>
              <w:rPr>
                <w:sz w:val="20"/>
                <w:szCs w:val="20"/>
              </w:rPr>
            </w:pPr>
            <w:r w:rsidRPr="008224A9">
              <w:rPr>
                <w:sz w:val="20"/>
                <w:szCs w:val="20"/>
              </w:rPr>
              <w:t>FN to:</w:t>
            </w:r>
          </w:p>
          <w:p w14:paraId="4E112D69" w14:textId="77777777" w:rsidR="008224A9" w:rsidRPr="008224A9" w:rsidRDefault="008224A9" w:rsidP="008224A9">
            <w:pPr>
              <w:pStyle w:val="ListParagraph"/>
              <w:numPr>
                <w:ilvl w:val="1"/>
                <w:numId w:val="2"/>
              </w:numPr>
              <w:rPr>
                <w:sz w:val="20"/>
                <w:szCs w:val="20"/>
              </w:rPr>
            </w:pPr>
            <w:r w:rsidRPr="008224A9">
              <w:rPr>
                <w:sz w:val="20"/>
                <w:szCs w:val="20"/>
              </w:rPr>
              <w:t>share ETP presentation with Steering Group</w:t>
            </w:r>
          </w:p>
          <w:p w14:paraId="0407F941" w14:textId="77777777" w:rsidR="008224A9" w:rsidRPr="008224A9" w:rsidRDefault="008224A9" w:rsidP="008224A9">
            <w:pPr>
              <w:pStyle w:val="ListParagraph"/>
              <w:numPr>
                <w:ilvl w:val="1"/>
                <w:numId w:val="2"/>
              </w:numPr>
              <w:rPr>
                <w:sz w:val="20"/>
                <w:szCs w:val="20"/>
              </w:rPr>
            </w:pPr>
            <w:r w:rsidRPr="008224A9">
              <w:rPr>
                <w:sz w:val="20"/>
                <w:szCs w:val="20"/>
              </w:rPr>
              <w:t xml:space="preserve">contact MMO around sharing Lara Leonard’s MMO VMS data </w:t>
            </w:r>
          </w:p>
          <w:p w14:paraId="40F1D980" w14:textId="77777777" w:rsidR="008224A9" w:rsidRPr="008224A9" w:rsidRDefault="008224A9" w:rsidP="008224A9">
            <w:pPr>
              <w:pStyle w:val="ListParagraph"/>
              <w:numPr>
                <w:ilvl w:val="1"/>
                <w:numId w:val="2"/>
              </w:numPr>
              <w:rPr>
                <w:sz w:val="20"/>
                <w:szCs w:val="20"/>
              </w:rPr>
            </w:pPr>
            <w:r w:rsidRPr="008224A9">
              <w:rPr>
                <w:sz w:val="20"/>
                <w:szCs w:val="20"/>
              </w:rPr>
              <w:t>share ETP list with Steering Group</w:t>
            </w:r>
          </w:p>
          <w:p w14:paraId="1931E7C2" w14:textId="77777777" w:rsidR="008224A9" w:rsidRPr="008224A9" w:rsidRDefault="008224A9" w:rsidP="008224A9">
            <w:pPr>
              <w:pStyle w:val="ListParagraph"/>
              <w:numPr>
                <w:ilvl w:val="0"/>
                <w:numId w:val="2"/>
              </w:numPr>
              <w:rPr>
                <w:sz w:val="20"/>
                <w:szCs w:val="20"/>
              </w:rPr>
            </w:pPr>
            <w:r w:rsidRPr="008224A9">
              <w:rPr>
                <w:sz w:val="20"/>
                <w:szCs w:val="20"/>
              </w:rPr>
              <w:t>Secretariat to:</w:t>
            </w:r>
          </w:p>
          <w:p w14:paraId="2A94B24D" w14:textId="77777777" w:rsidR="008224A9" w:rsidRPr="008224A9" w:rsidRDefault="008224A9" w:rsidP="008224A9">
            <w:pPr>
              <w:pStyle w:val="ListParagraph"/>
              <w:numPr>
                <w:ilvl w:val="1"/>
                <w:numId w:val="2"/>
              </w:numPr>
              <w:rPr>
                <w:sz w:val="20"/>
                <w:szCs w:val="20"/>
              </w:rPr>
            </w:pPr>
            <w:r w:rsidRPr="008224A9">
              <w:rPr>
                <w:sz w:val="20"/>
                <w:szCs w:val="20"/>
              </w:rPr>
              <w:t xml:space="preserve"> speak with MF and Mike Kaiser about possibility of MF taking on habitat suitability analysis to support ETP actions</w:t>
            </w:r>
          </w:p>
          <w:p w14:paraId="25890FFD" w14:textId="77777777" w:rsidR="008224A9" w:rsidRPr="008224A9" w:rsidRDefault="008224A9" w:rsidP="008224A9">
            <w:pPr>
              <w:pStyle w:val="ListParagraph"/>
              <w:numPr>
                <w:ilvl w:val="1"/>
                <w:numId w:val="2"/>
              </w:numPr>
              <w:rPr>
                <w:sz w:val="20"/>
                <w:szCs w:val="20"/>
              </w:rPr>
            </w:pPr>
            <w:r w:rsidRPr="008224A9">
              <w:rPr>
                <w:sz w:val="20"/>
                <w:szCs w:val="20"/>
              </w:rPr>
              <w:t>review MSC Shetland scallop fishery’s ETP recording protocol as an example</w:t>
            </w:r>
          </w:p>
          <w:p w14:paraId="1637127D" w14:textId="77777777" w:rsidR="008224A9" w:rsidRPr="008224A9" w:rsidRDefault="008224A9" w:rsidP="008224A9">
            <w:pPr>
              <w:pStyle w:val="ListParagraph"/>
              <w:numPr>
                <w:ilvl w:val="0"/>
                <w:numId w:val="2"/>
              </w:numPr>
              <w:rPr>
                <w:sz w:val="20"/>
                <w:szCs w:val="20"/>
              </w:rPr>
            </w:pPr>
            <w:r w:rsidRPr="008224A9">
              <w:rPr>
                <w:sz w:val="20"/>
                <w:szCs w:val="20"/>
              </w:rPr>
              <w:t>Steering Group to:</w:t>
            </w:r>
          </w:p>
          <w:p w14:paraId="59CCF404" w14:textId="77777777" w:rsidR="008224A9" w:rsidRPr="008224A9" w:rsidRDefault="008224A9" w:rsidP="008224A9">
            <w:pPr>
              <w:pStyle w:val="ListParagraph"/>
              <w:numPr>
                <w:ilvl w:val="1"/>
                <w:numId w:val="2"/>
              </w:numPr>
              <w:rPr>
                <w:sz w:val="20"/>
                <w:szCs w:val="20"/>
              </w:rPr>
            </w:pPr>
            <w:r w:rsidRPr="008224A9">
              <w:rPr>
                <w:sz w:val="20"/>
                <w:szCs w:val="20"/>
              </w:rPr>
              <w:t>review updated ETP list for any species or legislation that may have been missed and send any additions to Secretariat</w:t>
            </w:r>
          </w:p>
          <w:p w14:paraId="24F10ACA" w14:textId="4627E7A2" w:rsidR="005D1E0E" w:rsidRPr="008224A9" w:rsidRDefault="008224A9" w:rsidP="008224A9">
            <w:pPr>
              <w:pStyle w:val="ListParagraph"/>
              <w:numPr>
                <w:ilvl w:val="1"/>
                <w:numId w:val="2"/>
              </w:numPr>
              <w:rPr>
                <w:sz w:val="20"/>
                <w:szCs w:val="20"/>
              </w:rPr>
            </w:pPr>
            <w:r w:rsidRPr="008224A9">
              <w:rPr>
                <w:sz w:val="20"/>
                <w:szCs w:val="20"/>
              </w:rPr>
              <w:lastRenderedPageBreak/>
              <w:t xml:space="preserve">provide list of fishers who would be willing to do an ETP questionnaire </w:t>
            </w:r>
          </w:p>
        </w:tc>
        <w:tc>
          <w:tcPr>
            <w:tcW w:w="931" w:type="pct"/>
          </w:tcPr>
          <w:p w14:paraId="55C40A9C" w14:textId="77777777" w:rsidR="005D1E0E" w:rsidRDefault="005D1E0E" w:rsidP="00054317">
            <w:pPr>
              <w:pStyle w:val="TableText"/>
              <w:jc w:val="center"/>
              <w:rPr>
                <w:b/>
                <w:bCs/>
              </w:rPr>
            </w:pPr>
          </w:p>
          <w:p w14:paraId="5F47A9DD" w14:textId="77777777" w:rsidR="00C92625" w:rsidRDefault="00C92625" w:rsidP="00054317">
            <w:pPr>
              <w:pStyle w:val="TableText"/>
              <w:jc w:val="center"/>
              <w:rPr>
                <w:b/>
                <w:bCs/>
              </w:rPr>
            </w:pPr>
          </w:p>
          <w:p w14:paraId="4A6BDFF4" w14:textId="77777777" w:rsidR="00C92625" w:rsidRDefault="00C92625" w:rsidP="00054317">
            <w:pPr>
              <w:pStyle w:val="TableText"/>
              <w:jc w:val="center"/>
              <w:rPr>
                <w:b/>
                <w:bCs/>
              </w:rPr>
            </w:pPr>
            <w:r>
              <w:rPr>
                <w:b/>
                <w:bCs/>
              </w:rPr>
              <w:t>FN</w:t>
            </w:r>
          </w:p>
          <w:p w14:paraId="462C4D75" w14:textId="77777777" w:rsidR="00C92625" w:rsidRDefault="00C92625" w:rsidP="00054317">
            <w:pPr>
              <w:pStyle w:val="TableText"/>
              <w:jc w:val="center"/>
              <w:rPr>
                <w:b/>
                <w:bCs/>
              </w:rPr>
            </w:pPr>
          </w:p>
          <w:p w14:paraId="38EC49A8" w14:textId="77777777" w:rsidR="00C92625" w:rsidRDefault="00C92625" w:rsidP="00054317">
            <w:pPr>
              <w:pStyle w:val="TableText"/>
              <w:jc w:val="center"/>
              <w:rPr>
                <w:b/>
                <w:bCs/>
              </w:rPr>
            </w:pPr>
          </w:p>
          <w:p w14:paraId="3860AF45" w14:textId="77777777" w:rsidR="00C92625" w:rsidRDefault="00C92625" w:rsidP="00054317">
            <w:pPr>
              <w:pStyle w:val="TableText"/>
              <w:jc w:val="center"/>
              <w:rPr>
                <w:b/>
                <w:bCs/>
              </w:rPr>
            </w:pPr>
          </w:p>
          <w:p w14:paraId="1D0A44E9" w14:textId="77777777" w:rsidR="00C92625" w:rsidRDefault="00C92625" w:rsidP="00054317">
            <w:pPr>
              <w:pStyle w:val="TableText"/>
              <w:jc w:val="center"/>
              <w:rPr>
                <w:b/>
                <w:bCs/>
              </w:rPr>
            </w:pPr>
            <w:r>
              <w:rPr>
                <w:b/>
                <w:bCs/>
              </w:rPr>
              <w:t xml:space="preserve">Secretariat </w:t>
            </w:r>
          </w:p>
          <w:p w14:paraId="2CC721E6" w14:textId="77777777" w:rsidR="00C92625" w:rsidRDefault="00C92625" w:rsidP="00054317">
            <w:pPr>
              <w:pStyle w:val="TableText"/>
              <w:jc w:val="center"/>
              <w:rPr>
                <w:b/>
                <w:bCs/>
              </w:rPr>
            </w:pPr>
          </w:p>
          <w:p w14:paraId="47793EDF" w14:textId="77777777" w:rsidR="00C92625" w:rsidRDefault="00C92625" w:rsidP="00054317">
            <w:pPr>
              <w:pStyle w:val="TableText"/>
              <w:jc w:val="center"/>
              <w:rPr>
                <w:b/>
                <w:bCs/>
              </w:rPr>
            </w:pPr>
          </w:p>
          <w:p w14:paraId="39C17940" w14:textId="77777777" w:rsidR="00C92625" w:rsidRDefault="00C92625" w:rsidP="00054317">
            <w:pPr>
              <w:pStyle w:val="TableText"/>
              <w:jc w:val="center"/>
              <w:rPr>
                <w:b/>
                <w:bCs/>
              </w:rPr>
            </w:pPr>
          </w:p>
          <w:p w14:paraId="3CAA987E" w14:textId="77777777" w:rsidR="00C92625" w:rsidRDefault="00C92625" w:rsidP="00054317">
            <w:pPr>
              <w:pStyle w:val="TableText"/>
              <w:jc w:val="center"/>
              <w:rPr>
                <w:b/>
                <w:bCs/>
              </w:rPr>
            </w:pPr>
          </w:p>
          <w:p w14:paraId="4E37A6EC" w14:textId="59F486F7" w:rsidR="00C92625" w:rsidRDefault="00C92625" w:rsidP="00054317">
            <w:pPr>
              <w:pStyle w:val="TableText"/>
              <w:jc w:val="center"/>
              <w:rPr>
                <w:b/>
                <w:bCs/>
              </w:rPr>
            </w:pPr>
            <w:r>
              <w:rPr>
                <w:b/>
                <w:bCs/>
              </w:rPr>
              <w:t>Steering Group</w:t>
            </w:r>
          </w:p>
        </w:tc>
      </w:tr>
      <w:tr w:rsidR="00EF77D4" w14:paraId="332B94B7" w14:textId="77777777" w:rsidTr="008224A9">
        <w:tc>
          <w:tcPr>
            <w:tcW w:w="4069" w:type="pct"/>
          </w:tcPr>
          <w:p w14:paraId="4AFFBF2D" w14:textId="77777777" w:rsidR="008224A9" w:rsidRPr="008224A9" w:rsidRDefault="008224A9" w:rsidP="008224A9">
            <w:pPr>
              <w:rPr>
                <w:b/>
                <w:bCs/>
                <w:sz w:val="20"/>
                <w:szCs w:val="20"/>
              </w:rPr>
            </w:pPr>
            <w:r w:rsidRPr="008224A9">
              <w:rPr>
                <w:b/>
                <w:bCs/>
                <w:sz w:val="20"/>
                <w:szCs w:val="20"/>
              </w:rPr>
              <w:t>Action 8: Habitats</w:t>
            </w:r>
          </w:p>
          <w:p w14:paraId="6A0884AA" w14:textId="7CE697E4" w:rsidR="00EF77D4" w:rsidRPr="008224A9" w:rsidRDefault="008224A9" w:rsidP="008224A9">
            <w:pPr>
              <w:pStyle w:val="ListParagraph"/>
              <w:numPr>
                <w:ilvl w:val="0"/>
                <w:numId w:val="2"/>
              </w:numPr>
              <w:rPr>
                <w:sz w:val="20"/>
                <w:szCs w:val="20"/>
              </w:rPr>
            </w:pPr>
            <w:r w:rsidRPr="008224A9">
              <w:rPr>
                <w:sz w:val="20"/>
                <w:szCs w:val="20"/>
              </w:rPr>
              <w:t>MF and FN to arrange a call to discuss habitat actions further</w:t>
            </w:r>
          </w:p>
        </w:tc>
        <w:tc>
          <w:tcPr>
            <w:tcW w:w="931" w:type="pct"/>
          </w:tcPr>
          <w:p w14:paraId="072F783D" w14:textId="77777777" w:rsidR="00EF77D4" w:rsidRDefault="00EF77D4" w:rsidP="00054317">
            <w:pPr>
              <w:pStyle w:val="TableText"/>
              <w:jc w:val="center"/>
              <w:rPr>
                <w:b/>
                <w:bCs/>
              </w:rPr>
            </w:pPr>
          </w:p>
          <w:p w14:paraId="63D6669E" w14:textId="604FC03B" w:rsidR="00C92625" w:rsidRDefault="00C92625" w:rsidP="00054317">
            <w:pPr>
              <w:pStyle w:val="TableText"/>
              <w:jc w:val="center"/>
              <w:rPr>
                <w:b/>
                <w:bCs/>
              </w:rPr>
            </w:pPr>
            <w:r>
              <w:rPr>
                <w:b/>
                <w:bCs/>
              </w:rPr>
              <w:t>MF, FN</w:t>
            </w:r>
          </w:p>
        </w:tc>
      </w:tr>
      <w:tr w:rsidR="00EF77D4" w14:paraId="733F3456" w14:textId="77777777" w:rsidTr="008224A9">
        <w:tc>
          <w:tcPr>
            <w:tcW w:w="4069" w:type="pct"/>
          </w:tcPr>
          <w:p w14:paraId="3B8248D9" w14:textId="77777777" w:rsidR="008224A9" w:rsidRPr="008224A9" w:rsidRDefault="008224A9" w:rsidP="008224A9">
            <w:pPr>
              <w:rPr>
                <w:sz w:val="20"/>
                <w:szCs w:val="20"/>
              </w:rPr>
            </w:pPr>
            <w:r w:rsidRPr="008224A9">
              <w:rPr>
                <w:b/>
                <w:bCs/>
                <w:sz w:val="20"/>
                <w:szCs w:val="20"/>
              </w:rPr>
              <w:t>Action 9: Ecosystem</w:t>
            </w:r>
          </w:p>
          <w:p w14:paraId="6E5260F6" w14:textId="3F8F5286" w:rsidR="00EF77D4" w:rsidRPr="008224A9" w:rsidRDefault="008224A9" w:rsidP="008224A9">
            <w:pPr>
              <w:pStyle w:val="ListParagraph"/>
              <w:numPr>
                <w:ilvl w:val="0"/>
                <w:numId w:val="2"/>
              </w:numPr>
              <w:rPr>
                <w:sz w:val="20"/>
                <w:szCs w:val="20"/>
              </w:rPr>
            </w:pPr>
            <w:r w:rsidRPr="008224A9">
              <w:rPr>
                <w:sz w:val="20"/>
                <w:szCs w:val="20"/>
              </w:rPr>
              <w:t>Secretariat to plan and deliver SICA workshops in Spring 2021</w:t>
            </w:r>
          </w:p>
        </w:tc>
        <w:tc>
          <w:tcPr>
            <w:tcW w:w="931" w:type="pct"/>
          </w:tcPr>
          <w:p w14:paraId="6E6D849E" w14:textId="77777777" w:rsidR="00EF77D4" w:rsidRDefault="00EF77D4" w:rsidP="00054317">
            <w:pPr>
              <w:pStyle w:val="TableText"/>
              <w:jc w:val="center"/>
              <w:rPr>
                <w:b/>
                <w:bCs/>
              </w:rPr>
            </w:pPr>
          </w:p>
          <w:p w14:paraId="695EC1D7" w14:textId="2CEF6FE7" w:rsidR="00C92625" w:rsidRDefault="00C92625" w:rsidP="00054317">
            <w:pPr>
              <w:pStyle w:val="TableText"/>
              <w:jc w:val="center"/>
              <w:rPr>
                <w:b/>
                <w:bCs/>
              </w:rPr>
            </w:pPr>
            <w:r>
              <w:rPr>
                <w:b/>
                <w:bCs/>
              </w:rPr>
              <w:t>Secretariat</w:t>
            </w:r>
          </w:p>
        </w:tc>
      </w:tr>
    </w:tbl>
    <w:p w14:paraId="7B4FB4F9" w14:textId="77777777" w:rsidR="008224A9" w:rsidRDefault="008224A9" w:rsidP="002B02DC">
      <w:pPr>
        <w:tabs>
          <w:tab w:val="left" w:pos="3670"/>
        </w:tabs>
      </w:pPr>
    </w:p>
    <w:p w14:paraId="10515F78" w14:textId="34962013" w:rsidR="00120C87" w:rsidRPr="00120C87" w:rsidRDefault="00120C87" w:rsidP="002B02DC">
      <w:pPr>
        <w:tabs>
          <w:tab w:val="left" w:pos="3670"/>
        </w:tabs>
      </w:pPr>
    </w:p>
    <w:sectPr w:rsidR="00120C87" w:rsidRPr="00120C87" w:rsidSect="009E261D">
      <w:headerReference w:type="even" r:id="rId12"/>
      <w:headerReference w:type="default" r:id="rId13"/>
      <w:footerReference w:type="default" r:id="rId14"/>
      <w:headerReference w:type="first" r:id="rId15"/>
      <w:footerReference w:type="first" r:id="rId16"/>
      <w:pgSz w:w="11906" w:h="16838"/>
      <w:pgMar w:top="2126" w:right="1440" w:bottom="1440" w:left="1440" w:header="851" w:footer="833"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F418" w16cex:dateUtc="2020-11-09T17:00:00Z"/>
  <w16cex:commentExtensible w16cex:durableId="2353F494" w16cex:dateUtc="2020-11-09T17:02:00Z"/>
  <w16cex:commentExtensible w16cex:durableId="2353F4EC" w16cex:dateUtc="2020-11-09T17:03:00Z"/>
  <w16cex:commentExtensible w16cex:durableId="2353F516" w16cex:dateUtc="2020-11-09T17:04:00Z"/>
  <w16cex:commentExtensible w16cex:durableId="2353F5A4" w16cex:dateUtc="2020-11-09T17:06:00Z"/>
  <w16cex:commentExtensible w16cex:durableId="2353F5F3" w16cex:dateUtc="2020-11-09T17:08:00Z"/>
  <w16cex:commentExtensible w16cex:durableId="2353F629" w16cex:dateUtc="2020-11-09T17:08:00Z"/>
  <w16cex:commentExtensible w16cex:durableId="2353F719" w16cex:dateUtc="2020-11-09T17:12:00Z"/>
  <w16cex:commentExtensible w16cex:durableId="2353F7A2" w16cex:dateUtc="2020-11-09T17:15:00Z"/>
  <w16cex:commentExtensible w16cex:durableId="2353F811" w16cex:dateUtc="2020-11-09T17:17:00Z"/>
  <w16cex:commentExtensible w16cex:durableId="2353F8FB" w16cex:dateUtc="2020-11-09T17:20:00Z"/>
  <w16cex:commentExtensible w16cex:durableId="2353F973" w16cex:dateUtc="2020-11-09T17:22:00Z"/>
  <w16cex:commentExtensible w16cex:durableId="2353FA14" w16cex:dateUtc="2020-11-09T17:25:00Z"/>
  <w16cex:commentExtensible w16cex:durableId="2353FB80" w16cex:dateUtc="2020-11-09T17:31:00Z"/>
  <w16cex:commentExtensible w16cex:durableId="2353FBBA" w16cex:dateUtc="2020-11-09T17:32:00Z"/>
  <w16cex:commentExtensible w16cex:durableId="2353FBE8" w16cex:dateUtc="2020-11-09T17:33:00Z"/>
  <w16cex:commentExtensible w16cex:durableId="2353FC28" w16cex:dateUtc="2020-11-09T17:34:00Z"/>
  <w16cex:commentExtensible w16cex:durableId="2353FCAA" w16cex:dateUtc="2020-11-09T17:36:00Z"/>
  <w16cex:commentExtensible w16cex:durableId="2353FCF0" w16cex:dateUtc="2020-11-09T17:37:00Z"/>
  <w16cex:commentExtensible w16cex:durableId="2353FE14" w16cex:dateUtc="2020-11-09T17:42:00Z"/>
  <w16cex:commentExtensible w16cex:durableId="2353FE49" w16cex:dateUtc="2020-11-09T17:43:00Z"/>
  <w16cex:commentExtensible w16cex:durableId="2353FEAB" w16cex:dateUtc="2020-11-09T17:45:00Z"/>
  <w16cex:commentExtensible w16cex:durableId="2353FF1B" w16cex:dateUtc="2020-11-09T17:47:00Z"/>
  <w16cex:commentExtensible w16cex:durableId="2353FF82" w16cex:dateUtc="2020-11-09T17:48:00Z"/>
  <w16cex:commentExtensible w16cex:durableId="2353FFB7" w16cex:dateUtc="2020-11-09T17:49:00Z"/>
  <w16cex:commentExtensible w16cex:durableId="23540009" w16cex:dateUtc="2020-11-09T17: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DBE5" w14:textId="77777777" w:rsidR="00F85FF9" w:rsidRDefault="00F85FF9" w:rsidP="00F42911">
      <w:r>
        <w:separator/>
      </w:r>
    </w:p>
    <w:p w14:paraId="32ABBCBB" w14:textId="77777777" w:rsidR="00F85FF9" w:rsidRDefault="00F85FF9" w:rsidP="00F42911"/>
    <w:p w14:paraId="017411ED" w14:textId="77777777" w:rsidR="00F85FF9" w:rsidRDefault="00F85FF9" w:rsidP="00F42911"/>
    <w:p w14:paraId="5CE06938" w14:textId="77777777" w:rsidR="00F85FF9" w:rsidRDefault="00F85FF9" w:rsidP="00F42911"/>
  </w:endnote>
  <w:endnote w:type="continuationSeparator" w:id="0">
    <w:p w14:paraId="09FEBBFB" w14:textId="77777777" w:rsidR="00F85FF9" w:rsidRDefault="00F85FF9" w:rsidP="00F42911">
      <w:r>
        <w:continuationSeparator/>
      </w:r>
    </w:p>
    <w:p w14:paraId="0C7E4342" w14:textId="77777777" w:rsidR="00F85FF9" w:rsidRDefault="00F85FF9" w:rsidP="00F42911"/>
    <w:p w14:paraId="62E701DB" w14:textId="77777777" w:rsidR="00F85FF9" w:rsidRDefault="00F85FF9" w:rsidP="00F42911"/>
    <w:p w14:paraId="533F2851" w14:textId="77777777" w:rsidR="00F85FF9" w:rsidRDefault="00F85FF9" w:rsidP="00F4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1A6E9" w14:textId="261ACA35" w:rsidR="00595904" w:rsidRPr="00FB1413" w:rsidRDefault="00595904" w:rsidP="00FB1413">
    <w:pPr>
      <w:pStyle w:val="Footer"/>
      <w:framePr w:wrap="auto" w:vAnchor="margin" w:yAlign="inline"/>
    </w:pPr>
    <w:r>
      <w:rPr>
        <w:noProof/>
      </w:rPr>
      <w:drawing>
        <wp:anchor distT="0" distB="0" distL="114300" distR="114300" simplePos="0" relativeHeight="251678720"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595904" w:rsidRPr="00FE3AD9" w:rsidRDefault="00595904">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" filled="f" stroked="f">
              <v:textbox style="mso-fit-shape-to-text:t">
                <w:txbxContent>
                  <w:p w14:paraId="17E5ADC0" w14:textId="27A2BE69" w:rsidR="00595904" w:rsidRPr="00FE3AD9" w:rsidRDefault="00595904">
                    <w:pPr>
                      <w:rPr>
                        <w:color w:val="FFFFFF" w:themeColor="background1"/>
                      </w:rPr>
                    </w:pPr>
                    <w:r w:rsidRPr="00FE3AD9">
                      <w:rPr>
                        <w:color w:val="FFFFFF" w:themeColor="background1"/>
                      </w:rPr>
                      <w:t>Minutes</w:t>
                    </w:r>
                  </w:p>
                </w:txbxContent>
              </v:textbox>
              <w10:wrap type="square"/>
            </v:shape>
          </w:pict>
        </mc:Fallback>
      </mc:AlternateContent>
    </w:r>
    <w:r>
      <w:rPr>
        <w:noProof/>
      </w:rPr>
      <w:drawing>
        <wp:anchor distT="0" distB="0" distL="114300" distR="114300" simplePos="0" relativeHeight="251668480"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tab/>
    </w:r>
    <w:r>
      <w:tab/>
    </w:r>
    <w:r w:rsidR="002A79DD">
      <w:t>13 October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09BDA" w14:textId="26E0EB3E" w:rsidR="00595904" w:rsidRDefault="00595904" w:rsidP="0090020D">
    <w:pPr>
      <w:pStyle w:val="Footer"/>
      <w:framePr w:wrap="auto" w:vAnchor="margin" w:yAlign="inline"/>
      <w:rPr>
        <w:noProof/>
      </w:rPr>
    </w:pPr>
    <w:r>
      <w:rPr>
        <w:noProof/>
      </w:rPr>
      <w:drawing>
        <wp:anchor distT="0" distB="0" distL="114300" distR="114300" simplePos="0" relativeHeight="251683840"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EC2">
      <w:rPr>
        <w:noProof/>
      </w:rPr>
      <w:drawing>
        <wp:anchor distT="0" distB="0" distL="114300" distR="114300" simplePos="0" relativeHeight="251665408"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595904" w:rsidRDefault="00595904"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7D76" w14:textId="77777777" w:rsidR="00F85FF9" w:rsidRDefault="00F85FF9" w:rsidP="00F42911">
      <w:r>
        <w:separator/>
      </w:r>
    </w:p>
    <w:p w14:paraId="7BD2C32C" w14:textId="77777777" w:rsidR="00F85FF9" w:rsidRDefault="00F85FF9" w:rsidP="00F42911"/>
    <w:p w14:paraId="5F966EBC" w14:textId="77777777" w:rsidR="00F85FF9" w:rsidRDefault="00F85FF9" w:rsidP="00F42911"/>
    <w:p w14:paraId="292316F6" w14:textId="77777777" w:rsidR="00F85FF9" w:rsidRDefault="00F85FF9" w:rsidP="00F42911"/>
  </w:footnote>
  <w:footnote w:type="continuationSeparator" w:id="0">
    <w:p w14:paraId="7A077035" w14:textId="77777777" w:rsidR="00F85FF9" w:rsidRDefault="00F85FF9" w:rsidP="00F42911">
      <w:r>
        <w:continuationSeparator/>
      </w:r>
    </w:p>
    <w:p w14:paraId="0A68A8E1" w14:textId="77777777" w:rsidR="00F85FF9" w:rsidRDefault="00F85FF9" w:rsidP="00F42911"/>
    <w:p w14:paraId="6C236A85" w14:textId="77777777" w:rsidR="00F85FF9" w:rsidRDefault="00F85FF9" w:rsidP="00F42911"/>
    <w:p w14:paraId="25BA65A8" w14:textId="77777777" w:rsidR="00F85FF9" w:rsidRDefault="00F85FF9" w:rsidP="00F429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870BA" w14:textId="72576648" w:rsidR="00DB4AC5" w:rsidRDefault="00E02CC2">
    <w:pPr>
      <w:pStyle w:val="Header"/>
    </w:pPr>
    <w:r>
      <w:rPr>
        <w:noProof/>
      </w:rPr>
      <w:pict w14:anchorId="1EDBD3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44" o:spid="_x0000_s2050" type="#_x0000_t136" style="position:absolute;margin-left:0;margin-top:0;width:397.65pt;height:238.6pt;rotation:315;z-index:-251624448;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5618" w14:textId="0DDD563B" w:rsidR="00595904" w:rsidRDefault="00E02CC2">
    <w:pPr>
      <w:pStyle w:val="Header"/>
    </w:pPr>
    <w:r>
      <w:rPr>
        <w:noProof/>
      </w:rPr>
      <w:pict w14:anchorId="61F4F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45" o:spid="_x0000_s2051" type="#_x0000_t136" style="position:absolute;margin-left:0;margin-top:0;width:397.65pt;height:238.6pt;rotation:315;z-index:-251622400;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sdt>
      <w:sdtPr>
        <w:id w:val="-1644800772"/>
        <w:docPartObj>
          <w:docPartGallery w:val="Page Numbers (Top of Page)"/>
          <w:docPartUnique/>
        </w:docPartObj>
      </w:sdtPr>
      <w:sdtEndPr>
        <w:rPr>
          <w:noProof/>
          <w:color w:val="1B98C7"/>
        </w:rPr>
      </w:sdtEndPr>
      <w:sdtContent>
        <w:r w:rsidR="00595904" w:rsidRPr="00653BCC">
          <w:rPr>
            <w:noProof/>
            <w:color w:val="1B98C7"/>
          </w:rPr>
          <w:drawing>
            <wp:anchor distT="0" distB="0" distL="114300" distR="114300" simplePos="0" relativeHeight="251667456"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595904">
          <w:rPr>
            <w:noProof/>
          </w:rPr>
          <w:drawing>
            <wp:anchor distT="0" distB="0" distL="114300" distR="114300" simplePos="0" relativeHeight="251681792"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904" w:rsidRPr="00653BCC">
          <w:rPr>
            <w:color w:val="1B98C7"/>
          </w:rPr>
          <w:fldChar w:fldCharType="begin"/>
        </w:r>
        <w:r w:rsidR="00595904" w:rsidRPr="00653BCC">
          <w:rPr>
            <w:color w:val="1B98C7"/>
          </w:rPr>
          <w:instrText xml:space="preserve"> PAGE   \* MERGEFORMAT </w:instrText>
        </w:r>
        <w:r w:rsidR="00595904" w:rsidRPr="00653BCC">
          <w:rPr>
            <w:color w:val="1B98C7"/>
          </w:rPr>
          <w:fldChar w:fldCharType="separate"/>
        </w:r>
        <w:r w:rsidR="00595904" w:rsidRPr="00653BCC">
          <w:rPr>
            <w:noProof/>
            <w:color w:val="1B98C7"/>
          </w:rPr>
          <w:t>2</w:t>
        </w:r>
        <w:r w:rsidR="00595904" w:rsidRPr="00653BCC">
          <w:rPr>
            <w:noProof/>
            <w:color w:val="1B98C7"/>
          </w:rPr>
          <w:fldChar w:fldCharType="end"/>
        </w:r>
      </w:sdtContent>
    </w:sdt>
  </w:p>
  <w:p w14:paraId="71634F97" w14:textId="5D98ED04" w:rsidR="00595904" w:rsidRDefault="00595904" w:rsidP="00CF1472">
    <w:pPr>
      <w:pStyle w:val="Header"/>
      <w:tabs>
        <w:tab w:val="clear" w:pos="4513"/>
        <w:tab w:val="clear" w:pos="9026"/>
        <w:tab w:val="left" w:pos="607"/>
        <w:tab w:val="left" w:pos="2285"/>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D137" w14:textId="1CCA6F27" w:rsidR="00595904" w:rsidRDefault="00E02CC2">
    <w:pPr>
      <w:pStyle w:val="Header"/>
      <w:rPr>
        <w:noProof/>
      </w:rPr>
    </w:pPr>
    <w:r>
      <w:rPr>
        <w:noProof/>
      </w:rPr>
      <w:pict w14:anchorId="2CAA4F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343" o:spid="_x0000_s2049" type="#_x0000_t136" style="position:absolute;margin-left:0;margin-top:0;width:397.65pt;height:238.6pt;rotation:315;z-index:-251626496;mso-position-horizontal:center;mso-position-horizontal-relative:margin;mso-position-vertical:center;mso-position-vertical-relative:margin" o:allowincell="f" fillcolor="red" stroked="f">
          <v:fill opacity=".5"/>
          <v:textpath style="font-family:&quot;Calibri Light&quot;;font-size:1pt" string="DRAFT"/>
          <w10:wrap anchorx="margin" anchory="margin"/>
        </v:shape>
      </w:pict>
    </w:r>
    <w:r w:rsidR="00595904" w:rsidRPr="00653BCC">
      <w:rPr>
        <w:noProof/>
        <w:color w:val="1B98C7"/>
      </w:rPr>
      <w:drawing>
        <wp:anchor distT="0" distB="0" distL="114300" distR="114300" simplePos="0" relativeHeight="251687936"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595904">
      <w:rPr>
        <w:noProof/>
      </w:rPr>
      <w:ptab w:relativeTo="margin" w:alignment="center" w:leader="none"/>
    </w:r>
  </w:p>
  <w:p w14:paraId="390FD3A0" w14:textId="1C4B2CEA" w:rsidR="00595904" w:rsidRDefault="005959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36137"/>
    <w:multiLevelType w:val="hybridMultilevel"/>
    <w:tmpl w:val="9882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D2DB6"/>
    <w:multiLevelType w:val="hybridMultilevel"/>
    <w:tmpl w:val="C91A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203C28"/>
    <w:multiLevelType w:val="hybridMultilevel"/>
    <w:tmpl w:val="C6DED3E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6E6AD8"/>
    <w:multiLevelType w:val="hybridMultilevel"/>
    <w:tmpl w:val="7EC2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F46D3E"/>
    <w:multiLevelType w:val="hybridMultilevel"/>
    <w:tmpl w:val="0708185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ED67423"/>
    <w:multiLevelType w:val="hybridMultilevel"/>
    <w:tmpl w:val="8CC63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073379"/>
    <w:multiLevelType w:val="hybridMultilevel"/>
    <w:tmpl w:val="F302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B261CE"/>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4CC1"/>
    <w:rsid w:val="00012273"/>
    <w:rsid w:val="00012B51"/>
    <w:rsid w:val="00013FD4"/>
    <w:rsid w:val="00016C17"/>
    <w:rsid w:val="00017CD0"/>
    <w:rsid w:val="00023D7D"/>
    <w:rsid w:val="0002640C"/>
    <w:rsid w:val="0003345C"/>
    <w:rsid w:val="000335D0"/>
    <w:rsid w:val="000360A0"/>
    <w:rsid w:val="0003721C"/>
    <w:rsid w:val="00043735"/>
    <w:rsid w:val="00044EB3"/>
    <w:rsid w:val="00051FFC"/>
    <w:rsid w:val="00054317"/>
    <w:rsid w:val="00060AB5"/>
    <w:rsid w:val="00060C23"/>
    <w:rsid w:val="000630C8"/>
    <w:rsid w:val="000657E8"/>
    <w:rsid w:val="000660DA"/>
    <w:rsid w:val="00073E07"/>
    <w:rsid w:val="00074C72"/>
    <w:rsid w:val="000751C6"/>
    <w:rsid w:val="00083AC4"/>
    <w:rsid w:val="00091998"/>
    <w:rsid w:val="000973A1"/>
    <w:rsid w:val="00097D1F"/>
    <w:rsid w:val="000A2B65"/>
    <w:rsid w:val="000A4085"/>
    <w:rsid w:val="000B0A86"/>
    <w:rsid w:val="000C5B6C"/>
    <w:rsid w:val="000C66E1"/>
    <w:rsid w:val="000D58AC"/>
    <w:rsid w:val="000E1B50"/>
    <w:rsid w:val="000E5168"/>
    <w:rsid w:val="000E553B"/>
    <w:rsid w:val="000E7435"/>
    <w:rsid w:val="000F4A8D"/>
    <w:rsid w:val="001045F7"/>
    <w:rsid w:val="00112040"/>
    <w:rsid w:val="001145E3"/>
    <w:rsid w:val="00114BB2"/>
    <w:rsid w:val="0011708A"/>
    <w:rsid w:val="00120C87"/>
    <w:rsid w:val="0012219F"/>
    <w:rsid w:val="00130815"/>
    <w:rsid w:val="00132335"/>
    <w:rsid w:val="00135232"/>
    <w:rsid w:val="0015094B"/>
    <w:rsid w:val="0016001C"/>
    <w:rsid w:val="00162DF2"/>
    <w:rsid w:val="001678E2"/>
    <w:rsid w:val="00171923"/>
    <w:rsid w:val="0017580F"/>
    <w:rsid w:val="00177483"/>
    <w:rsid w:val="0018373C"/>
    <w:rsid w:val="00187729"/>
    <w:rsid w:val="001915EB"/>
    <w:rsid w:val="00191669"/>
    <w:rsid w:val="001974A7"/>
    <w:rsid w:val="001A06C6"/>
    <w:rsid w:val="001B0F65"/>
    <w:rsid w:val="001B27AD"/>
    <w:rsid w:val="001B718E"/>
    <w:rsid w:val="001D1972"/>
    <w:rsid w:val="001D5041"/>
    <w:rsid w:val="001D7FD5"/>
    <w:rsid w:val="001E1ED5"/>
    <w:rsid w:val="001E2E7C"/>
    <w:rsid w:val="001E3A4E"/>
    <w:rsid w:val="001E5161"/>
    <w:rsid w:val="001F2637"/>
    <w:rsid w:val="001F2A56"/>
    <w:rsid w:val="001F727D"/>
    <w:rsid w:val="00200282"/>
    <w:rsid w:val="002025FD"/>
    <w:rsid w:val="00202C6B"/>
    <w:rsid w:val="00205FDF"/>
    <w:rsid w:val="002065F6"/>
    <w:rsid w:val="00221CE3"/>
    <w:rsid w:val="00223489"/>
    <w:rsid w:val="00230B0C"/>
    <w:rsid w:val="00241E14"/>
    <w:rsid w:val="002446FA"/>
    <w:rsid w:val="002459E8"/>
    <w:rsid w:val="00246BF1"/>
    <w:rsid w:val="00256D7B"/>
    <w:rsid w:val="00257FCD"/>
    <w:rsid w:val="00264026"/>
    <w:rsid w:val="00271C03"/>
    <w:rsid w:val="002819A3"/>
    <w:rsid w:val="00294646"/>
    <w:rsid w:val="00294741"/>
    <w:rsid w:val="002A43AC"/>
    <w:rsid w:val="002A4715"/>
    <w:rsid w:val="002A79DD"/>
    <w:rsid w:val="002B02DC"/>
    <w:rsid w:val="002B44B8"/>
    <w:rsid w:val="002B49D7"/>
    <w:rsid w:val="002B4FC4"/>
    <w:rsid w:val="002B5B1A"/>
    <w:rsid w:val="002C5BC3"/>
    <w:rsid w:val="002C66C2"/>
    <w:rsid w:val="002C7C6F"/>
    <w:rsid w:val="002D35CF"/>
    <w:rsid w:val="002D770B"/>
    <w:rsid w:val="002E32C7"/>
    <w:rsid w:val="002E68A8"/>
    <w:rsid w:val="00315843"/>
    <w:rsid w:val="00320F3E"/>
    <w:rsid w:val="0032117A"/>
    <w:rsid w:val="003213DA"/>
    <w:rsid w:val="00330FCA"/>
    <w:rsid w:val="003528CB"/>
    <w:rsid w:val="00353437"/>
    <w:rsid w:val="003541F5"/>
    <w:rsid w:val="00355E1D"/>
    <w:rsid w:val="003578B6"/>
    <w:rsid w:val="00360CD9"/>
    <w:rsid w:val="00362DCA"/>
    <w:rsid w:val="00373680"/>
    <w:rsid w:val="0038544C"/>
    <w:rsid w:val="003973D3"/>
    <w:rsid w:val="003A3372"/>
    <w:rsid w:val="003B0C87"/>
    <w:rsid w:val="003B1878"/>
    <w:rsid w:val="003B465E"/>
    <w:rsid w:val="003D20E1"/>
    <w:rsid w:val="003D3AFD"/>
    <w:rsid w:val="003E200B"/>
    <w:rsid w:val="003F1853"/>
    <w:rsid w:val="003F53EA"/>
    <w:rsid w:val="003F7B9A"/>
    <w:rsid w:val="004044A5"/>
    <w:rsid w:val="00405C5C"/>
    <w:rsid w:val="004123D7"/>
    <w:rsid w:val="00413A09"/>
    <w:rsid w:val="00416E09"/>
    <w:rsid w:val="00421454"/>
    <w:rsid w:val="00431A0E"/>
    <w:rsid w:val="00444D2A"/>
    <w:rsid w:val="004467BD"/>
    <w:rsid w:val="00450B13"/>
    <w:rsid w:val="00454BE5"/>
    <w:rsid w:val="00455DB7"/>
    <w:rsid w:val="00456938"/>
    <w:rsid w:val="0045771C"/>
    <w:rsid w:val="0046057A"/>
    <w:rsid w:val="00466088"/>
    <w:rsid w:val="004678EF"/>
    <w:rsid w:val="004700C1"/>
    <w:rsid w:val="00472FE0"/>
    <w:rsid w:val="004845C4"/>
    <w:rsid w:val="004845E3"/>
    <w:rsid w:val="00485C9A"/>
    <w:rsid w:val="00486EA7"/>
    <w:rsid w:val="00492876"/>
    <w:rsid w:val="00495CDB"/>
    <w:rsid w:val="00496DBB"/>
    <w:rsid w:val="004A13AF"/>
    <w:rsid w:val="004A3AEF"/>
    <w:rsid w:val="004B082A"/>
    <w:rsid w:val="004B0F73"/>
    <w:rsid w:val="004B6D50"/>
    <w:rsid w:val="004C2F92"/>
    <w:rsid w:val="004C3392"/>
    <w:rsid w:val="004C4D7E"/>
    <w:rsid w:val="004C4F25"/>
    <w:rsid w:val="004C7FB9"/>
    <w:rsid w:val="004D0B44"/>
    <w:rsid w:val="004D4072"/>
    <w:rsid w:val="004D5446"/>
    <w:rsid w:val="004E0CFF"/>
    <w:rsid w:val="00511545"/>
    <w:rsid w:val="005148E8"/>
    <w:rsid w:val="00514AAF"/>
    <w:rsid w:val="005171E1"/>
    <w:rsid w:val="0051788E"/>
    <w:rsid w:val="0052026B"/>
    <w:rsid w:val="005231E6"/>
    <w:rsid w:val="00523582"/>
    <w:rsid w:val="005252B2"/>
    <w:rsid w:val="0053501F"/>
    <w:rsid w:val="00537E3E"/>
    <w:rsid w:val="00540697"/>
    <w:rsid w:val="00540E66"/>
    <w:rsid w:val="00541CA1"/>
    <w:rsid w:val="00547CAF"/>
    <w:rsid w:val="00574704"/>
    <w:rsid w:val="00580F51"/>
    <w:rsid w:val="00582585"/>
    <w:rsid w:val="00584A3D"/>
    <w:rsid w:val="005947D6"/>
    <w:rsid w:val="00595904"/>
    <w:rsid w:val="005970A9"/>
    <w:rsid w:val="005A23AA"/>
    <w:rsid w:val="005B0E9B"/>
    <w:rsid w:val="005C4795"/>
    <w:rsid w:val="005C63C7"/>
    <w:rsid w:val="005D1E0E"/>
    <w:rsid w:val="005D25C7"/>
    <w:rsid w:val="005D6466"/>
    <w:rsid w:val="005D72F2"/>
    <w:rsid w:val="005E1D0A"/>
    <w:rsid w:val="005E5C6C"/>
    <w:rsid w:val="005E63EB"/>
    <w:rsid w:val="005E7C31"/>
    <w:rsid w:val="005F1B97"/>
    <w:rsid w:val="00601D1F"/>
    <w:rsid w:val="00603489"/>
    <w:rsid w:val="006057BB"/>
    <w:rsid w:val="00613182"/>
    <w:rsid w:val="00613698"/>
    <w:rsid w:val="006143E7"/>
    <w:rsid w:val="00616995"/>
    <w:rsid w:val="006212D5"/>
    <w:rsid w:val="00623933"/>
    <w:rsid w:val="00625866"/>
    <w:rsid w:val="00627856"/>
    <w:rsid w:val="006305B9"/>
    <w:rsid w:val="00633A09"/>
    <w:rsid w:val="006343D6"/>
    <w:rsid w:val="0064068F"/>
    <w:rsid w:val="006415D6"/>
    <w:rsid w:val="00643B8D"/>
    <w:rsid w:val="006458FB"/>
    <w:rsid w:val="006511A2"/>
    <w:rsid w:val="006518DA"/>
    <w:rsid w:val="00651B0A"/>
    <w:rsid w:val="00653BCC"/>
    <w:rsid w:val="006561BA"/>
    <w:rsid w:val="00661F78"/>
    <w:rsid w:val="0067033B"/>
    <w:rsid w:val="00671F56"/>
    <w:rsid w:val="00686C48"/>
    <w:rsid w:val="006A04AA"/>
    <w:rsid w:val="006A7639"/>
    <w:rsid w:val="006A7732"/>
    <w:rsid w:val="006B1DF1"/>
    <w:rsid w:val="006B276B"/>
    <w:rsid w:val="006B61C8"/>
    <w:rsid w:val="006C4A19"/>
    <w:rsid w:val="006C5F20"/>
    <w:rsid w:val="006D538E"/>
    <w:rsid w:val="006E04E2"/>
    <w:rsid w:val="006E11EB"/>
    <w:rsid w:val="006E7041"/>
    <w:rsid w:val="006E71A7"/>
    <w:rsid w:val="006F0D25"/>
    <w:rsid w:val="0070129F"/>
    <w:rsid w:val="007014FD"/>
    <w:rsid w:val="00705803"/>
    <w:rsid w:val="00707269"/>
    <w:rsid w:val="00713BAF"/>
    <w:rsid w:val="00720F8B"/>
    <w:rsid w:val="00734455"/>
    <w:rsid w:val="00742961"/>
    <w:rsid w:val="00742AB7"/>
    <w:rsid w:val="00742F05"/>
    <w:rsid w:val="00743527"/>
    <w:rsid w:val="00744F58"/>
    <w:rsid w:val="00751EB1"/>
    <w:rsid w:val="007623DE"/>
    <w:rsid w:val="00764046"/>
    <w:rsid w:val="0076519D"/>
    <w:rsid w:val="0076756A"/>
    <w:rsid w:val="00767A65"/>
    <w:rsid w:val="0077229E"/>
    <w:rsid w:val="00774A82"/>
    <w:rsid w:val="007757FE"/>
    <w:rsid w:val="007760D9"/>
    <w:rsid w:val="00776AA1"/>
    <w:rsid w:val="007776F5"/>
    <w:rsid w:val="00783E74"/>
    <w:rsid w:val="007905D5"/>
    <w:rsid w:val="00793562"/>
    <w:rsid w:val="0079767D"/>
    <w:rsid w:val="007A285B"/>
    <w:rsid w:val="007B7692"/>
    <w:rsid w:val="007B7C4E"/>
    <w:rsid w:val="007B7EF8"/>
    <w:rsid w:val="007C600F"/>
    <w:rsid w:val="007D7591"/>
    <w:rsid w:val="007F21A4"/>
    <w:rsid w:val="007F439D"/>
    <w:rsid w:val="007F7E04"/>
    <w:rsid w:val="008078CC"/>
    <w:rsid w:val="008106FA"/>
    <w:rsid w:val="008200D6"/>
    <w:rsid w:val="00821558"/>
    <w:rsid w:val="008224A9"/>
    <w:rsid w:val="00824D7A"/>
    <w:rsid w:val="00825354"/>
    <w:rsid w:val="0082653D"/>
    <w:rsid w:val="00826AB8"/>
    <w:rsid w:val="00826D50"/>
    <w:rsid w:val="008529D6"/>
    <w:rsid w:val="00867BE6"/>
    <w:rsid w:val="00867C47"/>
    <w:rsid w:val="00870446"/>
    <w:rsid w:val="008806EA"/>
    <w:rsid w:val="008913D4"/>
    <w:rsid w:val="00891934"/>
    <w:rsid w:val="00895F47"/>
    <w:rsid w:val="00897C8D"/>
    <w:rsid w:val="008B22D7"/>
    <w:rsid w:val="008C2B54"/>
    <w:rsid w:val="008C3509"/>
    <w:rsid w:val="008C3B4B"/>
    <w:rsid w:val="008C73EA"/>
    <w:rsid w:val="008C7EA1"/>
    <w:rsid w:val="008E436C"/>
    <w:rsid w:val="008F0B6F"/>
    <w:rsid w:val="008F37D6"/>
    <w:rsid w:val="0090020D"/>
    <w:rsid w:val="00911C77"/>
    <w:rsid w:val="009229A4"/>
    <w:rsid w:val="00923911"/>
    <w:rsid w:val="0092638E"/>
    <w:rsid w:val="00932C75"/>
    <w:rsid w:val="00942035"/>
    <w:rsid w:val="009442D6"/>
    <w:rsid w:val="00944B15"/>
    <w:rsid w:val="0094596B"/>
    <w:rsid w:val="00946021"/>
    <w:rsid w:val="00946AE9"/>
    <w:rsid w:val="00952200"/>
    <w:rsid w:val="009538BC"/>
    <w:rsid w:val="00953E5E"/>
    <w:rsid w:val="00960FBA"/>
    <w:rsid w:val="00967A84"/>
    <w:rsid w:val="0097174C"/>
    <w:rsid w:val="009720C0"/>
    <w:rsid w:val="009A0137"/>
    <w:rsid w:val="009A2D3D"/>
    <w:rsid w:val="009A5F2D"/>
    <w:rsid w:val="009A7962"/>
    <w:rsid w:val="009C22A3"/>
    <w:rsid w:val="009C2680"/>
    <w:rsid w:val="009D3A86"/>
    <w:rsid w:val="009E23A9"/>
    <w:rsid w:val="009E2436"/>
    <w:rsid w:val="009E261D"/>
    <w:rsid w:val="009F4B25"/>
    <w:rsid w:val="009F771D"/>
    <w:rsid w:val="00A0102C"/>
    <w:rsid w:val="00A04265"/>
    <w:rsid w:val="00A048AE"/>
    <w:rsid w:val="00A12920"/>
    <w:rsid w:val="00A15D0B"/>
    <w:rsid w:val="00A20B96"/>
    <w:rsid w:val="00A21236"/>
    <w:rsid w:val="00A30755"/>
    <w:rsid w:val="00A35660"/>
    <w:rsid w:val="00A403C7"/>
    <w:rsid w:val="00A44C7D"/>
    <w:rsid w:val="00A44D6B"/>
    <w:rsid w:val="00A45069"/>
    <w:rsid w:val="00A54697"/>
    <w:rsid w:val="00A628C4"/>
    <w:rsid w:val="00A644A5"/>
    <w:rsid w:val="00A7190F"/>
    <w:rsid w:val="00A71C5B"/>
    <w:rsid w:val="00A72B71"/>
    <w:rsid w:val="00A7440E"/>
    <w:rsid w:val="00A762C2"/>
    <w:rsid w:val="00A76CD9"/>
    <w:rsid w:val="00A8095D"/>
    <w:rsid w:val="00A815E0"/>
    <w:rsid w:val="00A81FBD"/>
    <w:rsid w:val="00A85A75"/>
    <w:rsid w:val="00A87CB1"/>
    <w:rsid w:val="00A9147B"/>
    <w:rsid w:val="00A94FCF"/>
    <w:rsid w:val="00AA367B"/>
    <w:rsid w:val="00AB3539"/>
    <w:rsid w:val="00AB51DD"/>
    <w:rsid w:val="00AC3BEE"/>
    <w:rsid w:val="00AD129C"/>
    <w:rsid w:val="00AD3714"/>
    <w:rsid w:val="00AD606B"/>
    <w:rsid w:val="00AD7BAD"/>
    <w:rsid w:val="00AE0C52"/>
    <w:rsid w:val="00AE7B5C"/>
    <w:rsid w:val="00AF3F6A"/>
    <w:rsid w:val="00AF503E"/>
    <w:rsid w:val="00AF7F99"/>
    <w:rsid w:val="00B00B40"/>
    <w:rsid w:val="00B0647E"/>
    <w:rsid w:val="00B14E6F"/>
    <w:rsid w:val="00B22658"/>
    <w:rsid w:val="00B232A6"/>
    <w:rsid w:val="00B244D6"/>
    <w:rsid w:val="00B3002A"/>
    <w:rsid w:val="00B304D9"/>
    <w:rsid w:val="00B32037"/>
    <w:rsid w:val="00B43F5C"/>
    <w:rsid w:val="00B52F8E"/>
    <w:rsid w:val="00B573CB"/>
    <w:rsid w:val="00B60E60"/>
    <w:rsid w:val="00B65B5D"/>
    <w:rsid w:val="00B81381"/>
    <w:rsid w:val="00B85EE8"/>
    <w:rsid w:val="00BA3164"/>
    <w:rsid w:val="00BA59B4"/>
    <w:rsid w:val="00BC2A24"/>
    <w:rsid w:val="00BD1962"/>
    <w:rsid w:val="00BD4190"/>
    <w:rsid w:val="00BD744E"/>
    <w:rsid w:val="00BE390E"/>
    <w:rsid w:val="00BE4404"/>
    <w:rsid w:val="00BF223E"/>
    <w:rsid w:val="00BF6E07"/>
    <w:rsid w:val="00C118C1"/>
    <w:rsid w:val="00C14BA1"/>
    <w:rsid w:val="00C155AD"/>
    <w:rsid w:val="00C160B2"/>
    <w:rsid w:val="00C21C10"/>
    <w:rsid w:val="00C23AB7"/>
    <w:rsid w:val="00C24BDD"/>
    <w:rsid w:val="00C322A1"/>
    <w:rsid w:val="00C36990"/>
    <w:rsid w:val="00C376F7"/>
    <w:rsid w:val="00C37837"/>
    <w:rsid w:val="00C4197E"/>
    <w:rsid w:val="00C41A42"/>
    <w:rsid w:val="00C42014"/>
    <w:rsid w:val="00C52841"/>
    <w:rsid w:val="00C82B38"/>
    <w:rsid w:val="00C83DF5"/>
    <w:rsid w:val="00C857B2"/>
    <w:rsid w:val="00C90AA3"/>
    <w:rsid w:val="00C92625"/>
    <w:rsid w:val="00C9389D"/>
    <w:rsid w:val="00C951B3"/>
    <w:rsid w:val="00C9591F"/>
    <w:rsid w:val="00CA6ED2"/>
    <w:rsid w:val="00CB1327"/>
    <w:rsid w:val="00CB3AA5"/>
    <w:rsid w:val="00CB49D5"/>
    <w:rsid w:val="00CC39DA"/>
    <w:rsid w:val="00CC44F6"/>
    <w:rsid w:val="00CC733D"/>
    <w:rsid w:val="00CD2882"/>
    <w:rsid w:val="00CD458B"/>
    <w:rsid w:val="00CD49D9"/>
    <w:rsid w:val="00CD7BDA"/>
    <w:rsid w:val="00CE1DF7"/>
    <w:rsid w:val="00CE437E"/>
    <w:rsid w:val="00CF1472"/>
    <w:rsid w:val="00D03BD0"/>
    <w:rsid w:val="00D14396"/>
    <w:rsid w:val="00D159A5"/>
    <w:rsid w:val="00D15FB0"/>
    <w:rsid w:val="00D32F96"/>
    <w:rsid w:val="00D3745D"/>
    <w:rsid w:val="00D452AB"/>
    <w:rsid w:val="00D47877"/>
    <w:rsid w:val="00D515D7"/>
    <w:rsid w:val="00D541D8"/>
    <w:rsid w:val="00D644C3"/>
    <w:rsid w:val="00D83B89"/>
    <w:rsid w:val="00D83ECA"/>
    <w:rsid w:val="00D93C05"/>
    <w:rsid w:val="00D96F8E"/>
    <w:rsid w:val="00DA1C9E"/>
    <w:rsid w:val="00DA63A8"/>
    <w:rsid w:val="00DA65DC"/>
    <w:rsid w:val="00DB03C9"/>
    <w:rsid w:val="00DB35A4"/>
    <w:rsid w:val="00DB4AC5"/>
    <w:rsid w:val="00DB5CF2"/>
    <w:rsid w:val="00DC0FEC"/>
    <w:rsid w:val="00DC57E1"/>
    <w:rsid w:val="00DD141A"/>
    <w:rsid w:val="00DD32D7"/>
    <w:rsid w:val="00DD56A6"/>
    <w:rsid w:val="00DD735E"/>
    <w:rsid w:val="00DE4A5C"/>
    <w:rsid w:val="00DF75F0"/>
    <w:rsid w:val="00E02CC2"/>
    <w:rsid w:val="00E05CF7"/>
    <w:rsid w:val="00E10E40"/>
    <w:rsid w:val="00E167B4"/>
    <w:rsid w:val="00E24EC2"/>
    <w:rsid w:val="00E339FA"/>
    <w:rsid w:val="00E35003"/>
    <w:rsid w:val="00E37113"/>
    <w:rsid w:val="00E5213E"/>
    <w:rsid w:val="00E53D3F"/>
    <w:rsid w:val="00E53FA7"/>
    <w:rsid w:val="00E71A97"/>
    <w:rsid w:val="00E721F4"/>
    <w:rsid w:val="00E806C4"/>
    <w:rsid w:val="00E97EFF"/>
    <w:rsid w:val="00EA5EE4"/>
    <w:rsid w:val="00EB0811"/>
    <w:rsid w:val="00EB2FE4"/>
    <w:rsid w:val="00EC0E9E"/>
    <w:rsid w:val="00EC1079"/>
    <w:rsid w:val="00EC3B52"/>
    <w:rsid w:val="00EC3DA7"/>
    <w:rsid w:val="00EE3AD6"/>
    <w:rsid w:val="00EE6AFE"/>
    <w:rsid w:val="00EE70A9"/>
    <w:rsid w:val="00EF0F60"/>
    <w:rsid w:val="00EF77D4"/>
    <w:rsid w:val="00F24CFD"/>
    <w:rsid w:val="00F30180"/>
    <w:rsid w:val="00F302C4"/>
    <w:rsid w:val="00F3118D"/>
    <w:rsid w:val="00F331D7"/>
    <w:rsid w:val="00F41E36"/>
    <w:rsid w:val="00F42911"/>
    <w:rsid w:val="00F44D79"/>
    <w:rsid w:val="00F51BBA"/>
    <w:rsid w:val="00F52661"/>
    <w:rsid w:val="00F528F6"/>
    <w:rsid w:val="00F6363E"/>
    <w:rsid w:val="00F6416E"/>
    <w:rsid w:val="00F74EEE"/>
    <w:rsid w:val="00F75CC0"/>
    <w:rsid w:val="00F77D9C"/>
    <w:rsid w:val="00F81E3A"/>
    <w:rsid w:val="00F85FF9"/>
    <w:rsid w:val="00F8696E"/>
    <w:rsid w:val="00F86CF8"/>
    <w:rsid w:val="00F91AAA"/>
    <w:rsid w:val="00F91AAE"/>
    <w:rsid w:val="00F95D26"/>
    <w:rsid w:val="00F96337"/>
    <w:rsid w:val="00FB0C53"/>
    <w:rsid w:val="00FB1413"/>
    <w:rsid w:val="00FB2B11"/>
    <w:rsid w:val="00FB3786"/>
    <w:rsid w:val="00FB46B0"/>
    <w:rsid w:val="00FB4A6C"/>
    <w:rsid w:val="00FB512E"/>
    <w:rsid w:val="00FB58D8"/>
    <w:rsid w:val="00FB66F1"/>
    <w:rsid w:val="00FC1241"/>
    <w:rsid w:val="00FC16E9"/>
    <w:rsid w:val="00FC5820"/>
    <w:rsid w:val="00FC5946"/>
    <w:rsid w:val="00FC5E08"/>
    <w:rsid w:val="00FD5F33"/>
    <w:rsid w:val="00FD6144"/>
    <w:rsid w:val="00FD78D1"/>
    <w:rsid w:val="00FE05CB"/>
    <w:rsid w:val="00FE3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44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BalloonText">
    <w:name w:val="Balloon Text"/>
    <w:basedOn w:val="Normal"/>
    <w:link w:val="BalloonTextChar"/>
    <w:uiPriority w:val="99"/>
    <w:semiHidden/>
    <w:unhideWhenUsed/>
    <w:rsid w:val="00895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47"/>
    <w:rPr>
      <w:rFonts w:ascii="Segoe UI" w:hAnsi="Segoe UI" w:cs="Segoe UI"/>
      <w:color w:val="393938"/>
      <w:sz w:val="18"/>
      <w:szCs w:val="18"/>
    </w:rPr>
  </w:style>
  <w:style w:type="character" w:customStyle="1" w:styleId="Heading3Char">
    <w:name w:val="Heading 3 Char"/>
    <w:basedOn w:val="DefaultParagraphFont"/>
    <w:link w:val="Heading3"/>
    <w:uiPriority w:val="9"/>
    <w:semiHidden/>
    <w:rsid w:val="0073445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F528F6"/>
    <w:rPr>
      <w:sz w:val="16"/>
      <w:szCs w:val="16"/>
    </w:rPr>
  </w:style>
  <w:style w:type="paragraph" w:styleId="CommentText">
    <w:name w:val="annotation text"/>
    <w:basedOn w:val="Normal"/>
    <w:link w:val="CommentTextChar"/>
    <w:uiPriority w:val="99"/>
    <w:semiHidden/>
    <w:unhideWhenUsed/>
    <w:rsid w:val="00F528F6"/>
    <w:pPr>
      <w:spacing w:line="240" w:lineRule="auto"/>
    </w:pPr>
    <w:rPr>
      <w:sz w:val="20"/>
      <w:szCs w:val="20"/>
    </w:rPr>
  </w:style>
  <w:style w:type="character" w:customStyle="1" w:styleId="CommentTextChar">
    <w:name w:val="Comment Text Char"/>
    <w:basedOn w:val="DefaultParagraphFont"/>
    <w:link w:val="CommentText"/>
    <w:uiPriority w:val="99"/>
    <w:semiHidden/>
    <w:rsid w:val="00F528F6"/>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F528F6"/>
    <w:rPr>
      <w:b/>
      <w:bCs/>
    </w:rPr>
  </w:style>
  <w:style w:type="character" w:customStyle="1" w:styleId="CommentSubjectChar">
    <w:name w:val="Comment Subject Char"/>
    <w:basedOn w:val="CommentTextChar"/>
    <w:link w:val="CommentSubject"/>
    <w:uiPriority w:val="99"/>
    <w:semiHidden/>
    <w:rsid w:val="00F528F6"/>
    <w:rPr>
      <w:rFonts w:ascii="Calibri Light" w:hAnsi="Calibri Light" w:cs="Calibri Light"/>
      <w:b/>
      <w:bCs/>
      <w:color w:val="393938"/>
      <w:sz w:val="20"/>
      <w:szCs w:val="20"/>
    </w:rPr>
  </w:style>
  <w:style w:type="character" w:styleId="Hyperlink">
    <w:name w:val="Hyperlink"/>
    <w:basedOn w:val="DefaultParagraphFont"/>
    <w:uiPriority w:val="99"/>
    <w:unhideWhenUsed/>
    <w:rsid w:val="007014FD"/>
    <w:rPr>
      <w:color w:val="0563C1" w:themeColor="hyperlink"/>
      <w:u w:val="single"/>
    </w:rPr>
  </w:style>
  <w:style w:type="character" w:styleId="UnresolvedMention">
    <w:name w:val="Unresolved Mention"/>
    <w:basedOn w:val="DefaultParagraphFont"/>
    <w:uiPriority w:val="99"/>
    <w:semiHidden/>
    <w:unhideWhenUsed/>
    <w:rsid w:val="0070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344156">
      <w:bodyDiv w:val="1"/>
      <w:marLeft w:val="0"/>
      <w:marRight w:val="0"/>
      <w:marTop w:val="0"/>
      <w:marBottom w:val="0"/>
      <w:divBdr>
        <w:top w:val="none" w:sz="0" w:space="0" w:color="auto"/>
        <w:left w:val="none" w:sz="0" w:space="0" w:color="auto"/>
        <w:bottom w:val="none" w:sz="0" w:space="0" w:color="auto"/>
        <w:right w:val="none" w:sz="0" w:space="0" w:color="auto"/>
      </w:divBdr>
    </w:div>
    <w:div w:id="1138106825">
      <w:bodyDiv w:val="1"/>
      <w:marLeft w:val="0"/>
      <w:marRight w:val="0"/>
      <w:marTop w:val="0"/>
      <w:marBottom w:val="0"/>
      <w:divBdr>
        <w:top w:val="none" w:sz="0" w:space="0" w:color="auto"/>
        <w:left w:val="none" w:sz="0" w:space="0" w:color="auto"/>
        <w:bottom w:val="none" w:sz="0" w:space="0" w:color="auto"/>
        <w:right w:val="none" w:sz="0" w:space="0" w:color="auto"/>
      </w:divBdr>
    </w:div>
    <w:div w:id="20191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55c8cab-b6f5-427e-b9dd-9f833f33f1b5">
      <UserInfo>
        <DisplayName>Matthew Spencer</DisplayName>
        <AccountId>2907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4FA5C3BDB6D4BA2DFF3A8333BBDE0" ma:contentTypeVersion="12" ma:contentTypeDescription="Create a new document." ma:contentTypeScope="" ma:versionID="7b0bb777cbbd0d300eefb82d03aca004">
  <xsd:schema xmlns:xsd="http://www.w3.org/2001/XMLSchema" xmlns:xs="http://www.w3.org/2001/XMLSchema" xmlns:p="http://schemas.microsoft.com/office/2006/metadata/properties" xmlns:ns3="ac3f5569-23fa-4182-bd7d-adcf5fb2dc82" xmlns:ns4="855c8cab-b6f5-427e-b9dd-9f833f33f1b5" targetNamespace="http://schemas.microsoft.com/office/2006/metadata/properties" ma:root="true" ma:fieldsID="dfc09f3f0943165ee15ff6f9e8c82ee2" ns3:_="" ns4:_="">
    <xsd:import namespace="ac3f5569-23fa-4182-bd7d-adcf5fb2dc82"/>
    <xsd:import namespace="855c8cab-b6f5-427e-b9dd-9f833f33f1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f5569-23fa-4182-bd7d-adcf5fb2dc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c8cab-b6f5-427e-b9dd-9f833f33f1b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D395B-1B9A-4564-BD00-905D77A3FE0E}">
  <ds:schemaRefs>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ac3f5569-23fa-4182-bd7d-adcf5fb2dc82"/>
    <ds:schemaRef ds:uri="http://schemas.openxmlformats.org/package/2006/metadata/core-properties"/>
    <ds:schemaRef ds:uri="855c8cab-b6f5-427e-b9dd-9f833f33f1b5"/>
    <ds:schemaRef ds:uri="http://schemas.microsoft.com/office/2006/metadata/properties"/>
  </ds:schemaRefs>
</ds:datastoreItem>
</file>

<file path=customXml/itemProps2.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3.xml><?xml version="1.0" encoding="utf-8"?>
<ds:datastoreItem xmlns:ds="http://schemas.openxmlformats.org/officeDocument/2006/customXml" ds:itemID="{906928AD-A5AE-4F57-95ED-934F7EF8E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f5569-23fa-4182-bd7d-adcf5fb2dc82"/>
    <ds:schemaRef ds:uri="855c8cab-b6f5-427e-b9dd-9f833f33f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8343B3-4298-4960-A64F-744048EE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2753</Words>
  <Characters>15698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Matthew Spencer</cp:lastModifiedBy>
  <cp:revision>2</cp:revision>
  <dcterms:created xsi:type="dcterms:W3CDTF">2020-11-24T08:38:00Z</dcterms:created>
  <dcterms:modified xsi:type="dcterms:W3CDTF">2020-11-24T08:38:00Z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0x010100AAF4FA5C3BDB6D4BA2DFF3A8333BBDE0</vt:lpwstr>
  </property>
  <property fmtid="{D5CDD505-2E9C-101B-9397-08002B2CF9AE}" pid="3" name="MSC Location">
    <vt:lpwstr>4;#UK|89e260ee-fd75-4404-94ce-2ecd0fcc0497</vt:lpwstr>
  </property>
  <property fmtid="{D5CDD505-2E9C-101B-9397-08002B2CF9AE}" pid="4" name="_dlc_DocIdItemGuid">
    <vt:lpwstr>a261f1fd-54aa-4f59-a2fb-3347c84ef2e2</vt:lpwstr>
  </property>
  <property fmtid="{D5CDD505-2E9C-101B-9397-08002B2CF9AE}" pid="5" name="Outreach Doc Type">
    <vt:lpwstr/>
  </property>
  <property fmtid="{D5CDD505-2E9C-101B-9397-08002B2CF9AE}" pid="6" name="Outreach Category">
    <vt:lpwstr/>
  </property>
</Properties>
</file>