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1D572" w14:textId="77777777" w:rsidR="00694402" w:rsidRPr="00E11FC2" w:rsidRDefault="00694402" w:rsidP="00694402">
      <w:pPr>
        <w:pStyle w:val="HITitle2"/>
        <w:rPr>
          <w:rFonts w:ascii="Helvetica" w:hAnsi="Helvetica"/>
          <w:sz w:val="72"/>
          <w:szCs w:val="72"/>
        </w:rPr>
      </w:pPr>
      <w:bookmarkStart w:id="0" w:name="_GoBack"/>
      <w:bookmarkEnd w:id="0"/>
    </w:p>
    <w:p w14:paraId="35EED0B0" w14:textId="1F4D3B1F" w:rsidR="00694402" w:rsidRPr="00E11FC2" w:rsidRDefault="00694402" w:rsidP="00694402">
      <w:pPr>
        <w:pStyle w:val="HITitle2"/>
        <w:rPr>
          <w:rFonts w:ascii="Helvetica" w:hAnsi="Helvetica"/>
        </w:rPr>
      </w:pPr>
      <w:r w:rsidRPr="00E11FC2">
        <w:rPr>
          <w:rFonts w:ascii="Helvetica" w:hAnsi="Helvetica"/>
          <w:sz w:val="72"/>
          <w:szCs w:val="72"/>
        </w:rPr>
        <w:t>MSC certification of Guyana’s industrial seabob fishery</w:t>
      </w:r>
    </w:p>
    <w:p w14:paraId="25C8D0BF" w14:textId="22C677AB" w:rsidR="00694402" w:rsidRPr="00E11FC2" w:rsidRDefault="00694402" w:rsidP="00694402">
      <w:pPr>
        <w:pStyle w:val="HITitle2"/>
        <w:rPr>
          <w:rFonts w:ascii="Helvetica" w:hAnsi="Helvetica"/>
        </w:rPr>
      </w:pPr>
    </w:p>
    <w:p w14:paraId="32E99B56" w14:textId="77777777" w:rsidR="00694402" w:rsidRPr="00E11FC2" w:rsidRDefault="00694402" w:rsidP="00694402">
      <w:pPr>
        <w:pStyle w:val="HITitle2"/>
        <w:rPr>
          <w:rFonts w:ascii="Helvetica" w:hAnsi="Helvetica"/>
        </w:rPr>
      </w:pPr>
    </w:p>
    <w:p w14:paraId="23FCFCF1" w14:textId="77777777" w:rsidR="00694402" w:rsidRPr="00E11FC2" w:rsidRDefault="00694402" w:rsidP="00694402">
      <w:pPr>
        <w:pStyle w:val="BodyText"/>
        <w:jc w:val="center"/>
        <w:rPr>
          <w:sz w:val="56"/>
          <w:szCs w:val="56"/>
          <w:lang w:val="en-GB"/>
        </w:rPr>
      </w:pPr>
    </w:p>
    <w:p w14:paraId="3B805CF4" w14:textId="15583244" w:rsidR="00694402" w:rsidRPr="00E11FC2" w:rsidRDefault="00694402" w:rsidP="00694402">
      <w:pPr>
        <w:pStyle w:val="BodyText"/>
        <w:jc w:val="center"/>
        <w:rPr>
          <w:sz w:val="56"/>
          <w:szCs w:val="56"/>
          <w:lang w:val="en-GB"/>
        </w:rPr>
      </w:pPr>
      <w:r w:rsidRPr="00E11FC2">
        <w:rPr>
          <w:sz w:val="56"/>
          <w:szCs w:val="56"/>
          <w:lang w:val="en-GB"/>
        </w:rPr>
        <w:t>Report 2: Mapping of benthic habitats on the Guyana shelf</w:t>
      </w:r>
    </w:p>
    <w:p w14:paraId="467AC758" w14:textId="77777777" w:rsidR="00694402" w:rsidRPr="00E11FC2" w:rsidRDefault="00694402" w:rsidP="00694402">
      <w:pPr>
        <w:pStyle w:val="BodyText"/>
        <w:jc w:val="center"/>
        <w:rPr>
          <w:sz w:val="56"/>
          <w:szCs w:val="56"/>
          <w:lang w:val="en-GB"/>
        </w:rPr>
      </w:pPr>
    </w:p>
    <w:p w14:paraId="6F3E587A" w14:textId="46F8FF45" w:rsidR="00694402" w:rsidRPr="00E11FC2" w:rsidRDefault="00694402" w:rsidP="00694402">
      <w:pPr>
        <w:pStyle w:val="BodyText"/>
        <w:jc w:val="center"/>
        <w:rPr>
          <w:sz w:val="56"/>
          <w:szCs w:val="56"/>
          <w:lang w:val="en-GB"/>
        </w:rPr>
      </w:pPr>
    </w:p>
    <w:p w14:paraId="5965C96A" w14:textId="77777777" w:rsidR="00694402" w:rsidRPr="00E11FC2" w:rsidRDefault="00694402" w:rsidP="00694402">
      <w:pPr>
        <w:pStyle w:val="BodyText"/>
        <w:jc w:val="center"/>
        <w:rPr>
          <w:sz w:val="56"/>
          <w:szCs w:val="56"/>
          <w:lang w:val="en-GB"/>
        </w:rPr>
      </w:pPr>
    </w:p>
    <w:p w14:paraId="2CCC5D06" w14:textId="45D53489" w:rsidR="00D071DE" w:rsidRPr="00E11FC2" w:rsidRDefault="00694402" w:rsidP="00694402">
      <w:pPr>
        <w:jc w:val="center"/>
        <w:rPr>
          <w:lang w:val="en-GB"/>
        </w:rPr>
      </w:pPr>
      <w:r w:rsidRPr="00E11FC2">
        <w:rPr>
          <w:sz w:val="56"/>
          <w:szCs w:val="56"/>
          <w:lang w:val="en-GB"/>
        </w:rPr>
        <w:t>Sustainable Fisheries</w:t>
      </w:r>
    </w:p>
    <w:p w14:paraId="37196FEB" w14:textId="77777777" w:rsidR="008D3DF3" w:rsidRPr="00E11FC2" w:rsidRDefault="008D3DF3">
      <w:pPr>
        <w:rPr>
          <w:lang w:val="en-GB"/>
        </w:rPr>
      </w:pPr>
    </w:p>
    <w:p w14:paraId="65E761CF" w14:textId="77777777" w:rsidR="008D3DF3" w:rsidRPr="00E11FC2" w:rsidRDefault="008D3DF3">
      <w:pPr>
        <w:rPr>
          <w:lang w:val="en-GB"/>
        </w:rPr>
      </w:pPr>
    </w:p>
    <w:p w14:paraId="78A0416D" w14:textId="77777777" w:rsidR="008D3DF3" w:rsidRPr="00E11FC2" w:rsidRDefault="008D3DF3">
      <w:pPr>
        <w:rPr>
          <w:lang w:val="en-GB"/>
        </w:rPr>
      </w:pPr>
    </w:p>
    <w:p w14:paraId="354A663B" w14:textId="77777777" w:rsidR="00A437B7" w:rsidRPr="00E11FC2" w:rsidRDefault="00A437B7">
      <w:pPr>
        <w:rPr>
          <w:lang w:val="en-GB"/>
        </w:rPr>
      </w:pPr>
    </w:p>
    <w:p w14:paraId="31BF7494" w14:textId="77777777" w:rsidR="00A437B7" w:rsidRPr="00E11FC2" w:rsidRDefault="00A437B7" w:rsidP="00A437B7">
      <w:pPr>
        <w:pStyle w:val="SectionHeading"/>
        <w:spacing w:before="120" w:after="120"/>
        <w:ind w:left="0" w:firstLine="0"/>
      </w:pPr>
      <w:r w:rsidRPr="00E11FC2">
        <w:lastRenderedPageBreak/>
        <w:t>Cefas Document Control</w:t>
      </w:r>
    </w:p>
    <w:tbl>
      <w:tblPr>
        <w:tblW w:w="8647" w:type="dxa"/>
        <w:tblInd w:w="-152" w:type="dxa"/>
        <w:tblCellMar>
          <w:left w:w="0" w:type="dxa"/>
          <w:right w:w="0" w:type="dxa"/>
        </w:tblCellMar>
        <w:tblLook w:val="04A0" w:firstRow="1" w:lastRow="0" w:firstColumn="1" w:lastColumn="0" w:noHBand="0" w:noVBand="1"/>
      </w:tblPr>
      <w:tblGrid>
        <w:gridCol w:w="2516"/>
        <w:gridCol w:w="6131"/>
      </w:tblGrid>
      <w:tr w:rsidR="00A437B7" w:rsidRPr="00E11FC2" w14:paraId="00231370" w14:textId="77777777" w:rsidTr="005C5190">
        <w:trPr>
          <w:trHeight w:val="794"/>
        </w:trPr>
        <w:tc>
          <w:tcPr>
            <w:tcW w:w="2516" w:type="dxa"/>
            <w:tcBorders>
              <w:top w:val="single" w:sz="8" w:space="0" w:color="002554"/>
              <w:left w:val="single" w:sz="8" w:space="0" w:color="002554"/>
              <w:bottom w:val="single" w:sz="8" w:space="0" w:color="002554"/>
              <w:right w:val="single" w:sz="8" w:space="0" w:color="002554"/>
            </w:tcBorders>
            <w:tcMar>
              <w:top w:w="0" w:type="dxa"/>
              <w:left w:w="108" w:type="dxa"/>
              <w:bottom w:w="0" w:type="dxa"/>
              <w:right w:w="108" w:type="dxa"/>
            </w:tcMar>
            <w:vAlign w:val="center"/>
            <w:hideMark/>
          </w:tcPr>
          <w:p w14:paraId="18E80E3C" w14:textId="77777777" w:rsidR="00A437B7" w:rsidRPr="00E11FC2" w:rsidRDefault="00A437B7" w:rsidP="005C5190">
            <w:pPr>
              <w:pStyle w:val="NoSpacing"/>
              <w:jc w:val="left"/>
              <w:rPr>
                <w:rFonts w:ascii="Verdana" w:hAnsi="Verdana"/>
                <w:sz w:val="21"/>
                <w:szCs w:val="21"/>
              </w:rPr>
            </w:pPr>
            <w:r w:rsidRPr="00E11FC2">
              <w:rPr>
                <w:rFonts w:ascii="Verdana" w:hAnsi="Verdana"/>
                <w:sz w:val="21"/>
                <w:szCs w:val="21"/>
              </w:rPr>
              <w:t xml:space="preserve">Submitted to: </w:t>
            </w:r>
          </w:p>
        </w:tc>
        <w:tc>
          <w:tcPr>
            <w:tcW w:w="6131" w:type="dxa"/>
            <w:tcBorders>
              <w:top w:val="single" w:sz="8" w:space="0" w:color="002554"/>
              <w:left w:val="nil"/>
              <w:bottom w:val="single" w:sz="8" w:space="0" w:color="002554"/>
              <w:right w:val="single" w:sz="8" w:space="0" w:color="002554"/>
            </w:tcBorders>
            <w:tcMar>
              <w:top w:w="0" w:type="dxa"/>
              <w:left w:w="108" w:type="dxa"/>
              <w:bottom w:w="0" w:type="dxa"/>
              <w:right w:w="108" w:type="dxa"/>
            </w:tcMar>
            <w:vAlign w:val="center"/>
          </w:tcPr>
          <w:p w14:paraId="1976DDAE" w14:textId="2B434DB3" w:rsidR="00A437B7" w:rsidRPr="00E11FC2" w:rsidRDefault="009C2B46" w:rsidP="005C5190">
            <w:pPr>
              <w:pStyle w:val="NoSpacing"/>
              <w:rPr>
                <w:rFonts w:ascii="Verdana" w:hAnsi="Verdana"/>
                <w:sz w:val="21"/>
                <w:szCs w:val="21"/>
              </w:rPr>
            </w:pPr>
            <w:r>
              <w:rPr>
                <w:rFonts w:ascii="Verdana" w:hAnsi="Verdana"/>
                <w:sz w:val="21"/>
                <w:szCs w:val="21"/>
              </w:rPr>
              <w:t>Ed McManus</w:t>
            </w:r>
          </w:p>
        </w:tc>
      </w:tr>
      <w:tr w:rsidR="00A437B7" w:rsidRPr="00E11FC2" w14:paraId="0E15C291" w14:textId="77777777" w:rsidTr="005C5190">
        <w:trPr>
          <w:trHeight w:val="794"/>
        </w:trPr>
        <w:tc>
          <w:tcPr>
            <w:tcW w:w="2516" w:type="dxa"/>
            <w:tcBorders>
              <w:top w:val="nil"/>
              <w:left w:val="single" w:sz="8" w:space="0" w:color="002554"/>
              <w:bottom w:val="single" w:sz="8" w:space="0" w:color="002554"/>
              <w:right w:val="single" w:sz="8" w:space="0" w:color="002554"/>
            </w:tcBorders>
            <w:tcMar>
              <w:top w:w="0" w:type="dxa"/>
              <w:left w:w="108" w:type="dxa"/>
              <w:bottom w:w="0" w:type="dxa"/>
              <w:right w:w="108" w:type="dxa"/>
            </w:tcMar>
            <w:vAlign w:val="center"/>
            <w:hideMark/>
          </w:tcPr>
          <w:p w14:paraId="5CAD5E24" w14:textId="77777777" w:rsidR="00A437B7" w:rsidRPr="00E11FC2" w:rsidRDefault="00A437B7" w:rsidP="005C5190">
            <w:pPr>
              <w:pStyle w:val="NoSpacing"/>
              <w:jc w:val="left"/>
              <w:rPr>
                <w:rFonts w:ascii="Verdana" w:hAnsi="Verdana"/>
                <w:sz w:val="21"/>
                <w:szCs w:val="21"/>
              </w:rPr>
            </w:pPr>
            <w:r w:rsidRPr="00E11FC2">
              <w:rPr>
                <w:rFonts w:ascii="Verdana" w:hAnsi="Verdana"/>
                <w:sz w:val="21"/>
                <w:szCs w:val="21"/>
              </w:rPr>
              <w:t xml:space="preserve">Date submitted: </w:t>
            </w:r>
          </w:p>
        </w:tc>
        <w:tc>
          <w:tcPr>
            <w:tcW w:w="6131" w:type="dxa"/>
            <w:tcBorders>
              <w:top w:val="nil"/>
              <w:left w:val="nil"/>
              <w:bottom w:val="single" w:sz="8" w:space="0" w:color="002554"/>
              <w:right w:val="single" w:sz="8" w:space="0" w:color="002554"/>
            </w:tcBorders>
            <w:tcMar>
              <w:top w:w="0" w:type="dxa"/>
              <w:left w:w="108" w:type="dxa"/>
              <w:bottom w:w="0" w:type="dxa"/>
              <w:right w:w="108" w:type="dxa"/>
            </w:tcMar>
            <w:vAlign w:val="center"/>
          </w:tcPr>
          <w:p w14:paraId="02017C9A" w14:textId="1AA9AD1E" w:rsidR="00A437B7" w:rsidRPr="00E11FC2" w:rsidRDefault="009C2B46" w:rsidP="005C5190">
            <w:pPr>
              <w:pStyle w:val="NoSpacing"/>
              <w:rPr>
                <w:rFonts w:ascii="Verdana" w:hAnsi="Verdana"/>
                <w:sz w:val="21"/>
                <w:szCs w:val="21"/>
              </w:rPr>
            </w:pPr>
            <w:r>
              <w:rPr>
                <w:rFonts w:ascii="Verdana" w:hAnsi="Verdana"/>
                <w:sz w:val="21"/>
                <w:szCs w:val="21"/>
              </w:rPr>
              <w:t>30/04/2018</w:t>
            </w:r>
          </w:p>
        </w:tc>
      </w:tr>
      <w:tr w:rsidR="00A437B7" w:rsidRPr="00E11FC2" w14:paraId="192AB776" w14:textId="77777777" w:rsidTr="005C5190">
        <w:trPr>
          <w:trHeight w:val="794"/>
        </w:trPr>
        <w:tc>
          <w:tcPr>
            <w:tcW w:w="2516" w:type="dxa"/>
            <w:tcBorders>
              <w:top w:val="nil"/>
              <w:left w:val="single" w:sz="8" w:space="0" w:color="002554"/>
              <w:bottom w:val="single" w:sz="8" w:space="0" w:color="002554"/>
              <w:right w:val="single" w:sz="8" w:space="0" w:color="002554"/>
            </w:tcBorders>
            <w:tcMar>
              <w:top w:w="0" w:type="dxa"/>
              <w:left w:w="108" w:type="dxa"/>
              <w:bottom w:w="0" w:type="dxa"/>
              <w:right w:w="108" w:type="dxa"/>
            </w:tcMar>
            <w:vAlign w:val="center"/>
            <w:hideMark/>
          </w:tcPr>
          <w:p w14:paraId="73D5E501" w14:textId="77777777" w:rsidR="00A437B7" w:rsidRPr="00E11FC2" w:rsidRDefault="00A437B7" w:rsidP="005C5190">
            <w:pPr>
              <w:pStyle w:val="NoSpacing"/>
              <w:jc w:val="left"/>
              <w:rPr>
                <w:rFonts w:ascii="Verdana" w:hAnsi="Verdana"/>
                <w:sz w:val="21"/>
                <w:szCs w:val="21"/>
              </w:rPr>
            </w:pPr>
            <w:r w:rsidRPr="00E11FC2">
              <w:rPr>
                <w:rFonts w:ascii="Verdana" w:hAnsi="Verdana"/>
                <w:sz w:val="21"/>
                <w:szCs w:val="21"/>
              </w:rPr>
              <w:t xml:space="preserve">Project Manager: </w:t>
            </w:r>
          </w:p>
        </w:tc>
        <w:tc>
          <w:tcPr>
            <w:tcW w:w="6131" w:type="dxa"/>
            <w:tcBorders>
              <w:top w:val="nil"/>
              <w:left w:val="nil"/>
              <w:bottom w:val="single" w:sz="8" w:space="0" w:color="002554"/>
              <w:right w:val="single" w:sz="8" w:space="0" w:color="002554"/>
            </w:tcBorders>
            <w:tcMar>
              <w:top w:w="0" w:type="dxa"/>
              <w:left w:w="108" w:type="dxa"/>
              <w:bottom w:w="0" w:type="dxa"/>
              <w:right w:w="108" w:type="dxa"/>
            </w:tcMar>
            <w:vAlign w:val="center"/>
          </w:tcPr>
          <w:p w14:paraId="6FBF4E46" w14:textId="5F6CBA66" w:rsidR="00A437B7" w:rsidRPr="00E11FC2" w:rsidRDefault="00694402" w:rsidP="005C5190">
            <w:pPr>
              <w:pStyle w:val="NoSpacing"/>
              <w:rPr>
                <w:rFonts w:ascii="Verdana" w:hAnsi="Verdana"/>
                <w:sz w:val="21"/>
                <w:szCs w:val="21"/>
              </w:rPr>
            </w:pPr>
            <w:r w:rsidRPr="00E11FC2">
              <w:rPr>
                <w:rFonts w:ascii="Verdana" w:hAnsi="Verdana"/>
                <w:sz w:val="21"/>
                <w:szCs w:val="21"/>
              </w:rPr>
              <w:t>Lyn Elvin</w:t>
            </w:r>
          </w:p>
        </w:tc>
      </w:tr>
      <w:tr w:rsidR="00A437B7" w:rsidRPr="00E11FC2" w14:paraId="66108B6A" w14:textId="77777777" w:rsidTr="005C5190">
        <w:trPr>
          <w:trHeight w:val="794"/>
        </w:trPr>
        <w:tc>
          <w:tcPr>
            <w:tcW w:w="2516" w:type="dxa"/>
            <w:tcBorders>
              <w:top w:val="nil"/>
              <w:left w:val="single" w:sz="8" w:space="0" w:color="002554"/>
              <w:bottom w:val="single" w:sz="8" w:space="0" w:color="002554"/>
              <w:right w:val="single" w:sz="8" w:space="0" w:color="002554"/>
            </w:tcBorders>
            <w:tcMar>
              <w:top w:w="0" w:type="dxa"/>
              <w:left w:w="108" w:type="dxa"/>
              <w:bottom w:w="0" w:type="dxa"/>
              <w:right w:w="108" w:type="dxa"/>
            </w:tcMar>
            <w:vAlign w:val="center"/>
            <w:hideMark/>
          </w:tcPr>
          <w:p w14:paraId="16CCF03A" w14:textId="77777777" w:rsidR="00A437B7" w:rsidRPr="00E11FC2" w:rsidRDefault="00A437B7" w:rsidP="005C5190">
            <w:pPr>
              <w:pStyle w:val="NoSpacing"/>
              <w:jc w:val="left"/>
              <w:rPr>
                <w:rFonts w:ascii="Verdana" w:hAnsi="Verdana"/>
                <w:sz w:val="21"/>
                <w:szCs w:val="21"/>
              </w:rPr>
            </w:pPr>
            <w:r w:rsidRPr="00E11FC2">
              <w:rPr>
                <w:rFonts w:ascii="Verdana" w:hAnsi="Verdana"/>
                <w:sz w:val="21"/>
                <w:szCs w:val="21"/>
              </w:rPr>
              <w:t>Report compiled by:</w:t>
            </w:r>
          </w:p>
        </w:tc>
        <w:tc>
          <w:tcPr>
            <w:tcW w:w="6131" w:type="dxa"/>
            <w:tcBorders>
              <w:top w:val="nil"/>
              <w:left w:val="nil"/>
              <w:bottom w:val="single" w:sz="8" w:space="0" w:color="002554"/>
              <w:right w:val="single" w:sz="8" w:space="0" w:color="002554"/>
            </w:tcBorders>
            <w:tcMar>
              <w:top w:w="0" w:type="dxa"/>
              <w:left w:w="108" w:type="dxa"/>
              <w:bottom w:w="0" w:type="dxa"/>
              <w:right w:w="108" w:type="dxa"/>
            </w:tcMar>
            <w:vAlign w:val="center"/>
          </w:tcPr>
          <w:p w14:paraId="4F28AA0D" w14:textId="4A8203BD" w:rsidR="00A437B7" w:rsidRPr="00E11FC2" w:rsidRDefault="00694402" w:rsidP="005C5190">
            <w:pPr>
              <w:pStyle w:val="NoSpacing"/>
              <w:rPr>
                <w:rFonts w:ascii="Verdana" w:hAnsi="Verdana"/>
                <w:sz w:val="21"/>
                <w:szCs w:val="21"/>
              </w:rPr>
            </w:pPr>
            <w:r w:rsidRPr="00E11FC2">
              <w:rPr>
                <w:rFonts w:ascii="Verdana" w:hAnsi="Verdana"/>
                <w:sz w:val="21"/>
                <w:szCs w:val="21"/>
              </w:rPr>
              <w:t>Anna Downie</w:t>
            </w:r>
          </w:p>
        </w:tc>
      </w:tr>
      <w:tr w:rsidR="00A437B7" w:rsidRPr="00E11FC2" w14:paraId="7A0B5BE5" w14:textId="77777777" w:rsidTr="005C5190">
        <w:trPr>
          <w:trHeight w:val="794"/>
        </w:trPr>
        <w:tc>
          <w:tcPr>
            <w:tcW w:w="2516" w:type="dxa"/>
            <w:tcBorders>
              <w:top w:val="nil"/>
              <w:left w:val="single" w:sz="8" w:space="0" w:color="002554"/>
              <w:bottom w:val="single" w:sz="8" w:space="0" w:color="002554"/>
              <w:right w:val="single" w:sz="8" w:space="0" w:color="002554"/>
            </w:tcBorders>
            <w:tcMar>
              <w:top w:w="0" w:type="dxa"/>
              <w:left w:w="108" w:type="dxa"/>
              <w:bottom w:w="0" w:type="dxa"/>
              <w:right w:w="108" w:type="dxa"/>
            </w:tcMar>
            <w:vAlign w:val="center"/>
            <w:hideMark/>
          </w:tcPr>
          <w:p w14:paraId="23C1416B" w14:textId="77777777" w:rsidR="00A437B7" w:rsidRPr="00E11FC2" w:rsidRDefault="00A437B7" w:rsidP="005C5190">
            <w:pPr>
              <w:pStyle w:val="NoSpacing"/>
              <w:jc w:val="left"/>
              <w:rPr>
                <w:rFonts w:ascii="Verdana" w:hAnsi="Verdana"/>
                <w:sz w:val="21"/>
                <w:szCs w:val="21"/>
              </w:rPr>
            </w:pPr>
            <w:r w:rsidRPr="00E11FC2">
              <w:rPr>
                <w:rFonts w:ascii="Verdana" w:hAnsi="Verdana"/>
                <w:sz w:val="21"/>
                <w:szCs w:val="21"/>
              </w:rPr>
              <w:t>Quality control by:</w:t>
            </w:r>
          </w:p>
        </w:tc>
        <w:tc>
          <w:tcPr>
            <w:tcW w:w="6131" w:type="dxa"/>
            <w:tcBorders>
              <w:top w:val="nil"/>
              <w:left w:val="nil"/>
              <w:bottom w:val="single" w:sz="8" w:space="0" w:color="002554"/>
              <w:right w:val="single" w:sz="8" w:space="0" w:color="002554"/>
            </w:tcBorders>
            <w:tcMar>
              <w:top w:w="0" w:type="dxa"/>
              <w:left w:w="108" w:type="dxa"/>
              <w:bottom w:w="0" w:type="dxa"/>
              <w:right w:w="108" w:type="dxa"/>
            </w:tcMar>
            <w:vAlign w:val="center"/>
          </w:tcPr>
          <w:p w14:paraId="47F76C87" w14:textId="57965A2F" w:rsidR="00A437B7" w:rsidRPr="00E11FC2" w:rsidRDefault="00694402" w:rsidP="005C5190">
            <w:pPr>
              <w:pStyle w:val="NoSpacing"/>
              <w:rPr>
                <w:rFonts w:ascii="Verdana" w:hAnsi="Verdana"/>
                <w:sz w:val="21"/>
                <w:szCs w:val="21"/>
              </w:rPr>
            </w:pPr>
            <w:r w:rsidRPr="00E11FC2">
              <w:rPr>
                <w:rFonts w:ascii="Verdana" w:hAnsi="Verdana"/>
                <w:sz w:val="21"/>
                <w:szCs w:val="21"/>
              </w:rPr>
              <w:t>Stephen Mangi</w:t>
            </w:r>
          </w:p>
        </w:tc>
      </w:tr>
      <w:tr w:rsidR="00A437B7" w:rsidRPr="00E11FC2" w14:paraId="36B14DB1" w14:textId="77777777" w:rsidTr="005C5190">
        <w:trPr>
          <w:trHeight w:val="794"/>
        </w:trPr>
        <w:tc>
          <w:tcPr>
            <w:tcW w:w="2516" w:type="dxa"/>
            <w:tcBorders>
              <w:top w:val="nil"/>
              <w:left w:val="single" w:sz="8" w:space="0" w:color="002554"/>
              <w:bottom w:val="single" w:sz="8" w:space="0" w:color="002554"/>
              <w:right w:val="single" w:sz="8" w:space="0" w:color="002554"/>
            </w:tcBorders>
            <w:tcMar>
              <w:top w:w="0" w:type="dxa"/>
              <w:left w:w="108" w:type="dxa"/>
              <w:bottom w:w="0" w:type="dxa"/>
              <w:right w:w="108" w:type="dxa"/>
            </w:tcMar>
            <w:vAlign w:val="center"/>
            <w:hideMark/>
          </w:tcPr>
          <w:p w14:paraId="20D14CC4" w14:textId="77777777" w:rsidR="00A437B7" w:rsidRPr="00E11FC2" w:rsidRDefault="00A437B7" w:rsidP="005C5190">
            <w:pPr>
              <w:pStyle w:val="NoSpacing"/>
              <w:jc w:val="left"/>
              <w:rPr>
                <w:rFonts w:ascii="Verdana" w:hAnsi="Verdana"/>
                <w:sz w:val="21"/>
                <w:szCs w:val="21"/>
              </w:rPr>
            </w:pPr>
            <w:r w:rsidRPr="00E11FC2">
              <w:rPr>
                <w:rFonts w:ascii="Verdana" w:hAnsi="Verdana"/>
                <w:sz w:val="21"/>
                <w:szCs w:val="21"/>
              </w:rPr>
              <w:t xml:space="preserve">Approved by and date: </w:t>
            </w:r>
          </w:p>
        </w:tc>
        <w:tc>
          <w:tcPr>
            <w:tcW w:w="6131" w:type="dxa"/>
            <w:tcBorders>
              <w:top w:val="nil"/>
              <w:left w:val="nil"/>
              <w:bottom w:val="single" w:sz="8" w:space="0" w:color="002554"/>
              <w:right w:val="single" w:sz="8" w:space="0" w:color="002554"/>
            </w:tcBorders>
            <w:tcMar>
              <w:top w:w="0" w:type="dxa"/>
              <w:left w:w="108" w:type="dxa"/>
              <w:bottom w:w="0" w:type="dxa"/>
              <w:right w:w="108" w:type="dxa"/>
            </w:tcMar>
            <w:vAlign w:val="center"/>
          </w:tcPr>
          <w:p w14:paraId="187AB653" w14:textId="6A71FCCD" w:rsidR="00A437B7" w:rsidRPr="00E11FC2" w:rsidRDefault="009C2B46" w:rsidP="005C5190">
            <w:pPr>
              <w:pStyle w:val="NoSpacing"/>
              <w:rPr>
                <w:rFonts w:ascii="Verdana" w:hAnsi="Verdana"/>
                <w:sz w:val="21"/>
                <w:szCs w:val="21"/>
              </w:rPr>
            </w:pPr>
            <w:r>
              <w:rPr>
                <w:rFonts w:ascii="Verdana" w:hAnsi="Verdana"/>
                <w:sz w:val="21"/>
                <w:szCs w:val="21"/>
              </w:rPr>
              <w:t>Ed McManus 30/04/2018</w:t>
            </w:r>
          </w:p>
        </w:tc>
      </w:tr>
      <w:tr w:rsidR="00A437B7" w:rsidRPr="00E11FC2" w14:paraId="199ABC65" w14:textId="77777777" w:rsidTr="005C5190">
        <w:trPr>
          <w:trHeight w:val="794"/>
        </w:trPr>
        <w:tc>
          <w:tcPr>
            <w:tcW w:w="2516" w:type="dxa"/>
            <w:tcBorders>
              <w:top w:val="nil"/>
              <w:left w:val="single" w:sz="8" w:space="0" w:color="002554"/>
              <w:bottom w:val="single" w:sz="8" w:space="0" w:color="002554"/>
              <w:right w:val="single" w:sz="8" w:space="0" w:color="002554"/>
            </w:tcBorders>
            <w:tcMar>
              <w:top w:w="0" w:type="dxa"/>
              <w:left w:w="108" w:type="dxa"/>
              <w:bottom w:w="0" w:type="dxa"/>
              <w:right w:w="108" w:type="dxa"/>
            </w:tcMar>
            <w:vAlign w:val="center"/>
            <w:hideMark/>
          </w:tcPr>
          <w:p w14:paraId="4AFE5A57" w14:textId="77777777" w:rsidR="00A437B7" w:rsidRPr="00E11FC2" w:rsidRDefault="00A437B7" w:rsidP="005C5190">
            <w:pPr>
              <w:pStyle w:val="NoSpacing"/>
              <w:jc w:val="left"/>
              <w:rPr>
                <w:rFonts w:ascii="Verdana" w:hAnsi="Verdana"/>
                <w:sz w:val="21"/>
                <w:szCs w:val="21"/>
              </w:rPr>
            </w:pPr>
            <w:r w:rsidRPr="00E11FC2">
              <w:rPr>
                <w:rFonts w:ascii="Verdana" w:hAnsi="Verdana"/>
                <w:sz w:val="21"/>
                <w:szCs w:val="21"/>
              </w:rPr>
              <w:t xml:space="preserve">Version: </w:t>
            </w:r>
          </w:p>
        </w:tc>
        <w:tc>
          <w:tcPr>
            <w:tcW w:w="6131" w:type="dxa"/>
            <w:tcBorders>
              <w:top w:val="nil"/>
              <w:left w:val="nil"/>
              <w:bottom w:val="single" w:sz="8" w:space="0" w:color="002554"/>
              <w:right w:val="single" w:sz="8" w:space="0" w:color="002554"/>
            </w:tcBorders>
            <w:tcMar>
              <w:top w:w="0" w:type="dxa"/>
              <w:left w:w="108" w:type="dxa"/>
              <w:bottom w:w="0" w:type="dxa"/>
              <w:right w:w="108" w:type="dxa"/>
            </w:tcMar>
            <w:vAlign w:val="center"/>
          </w:tcPr>
          <w:p w14:paraId="1ADC89AF" w14:textId="52B9C2D0" w:rsidR="00A437B7" w:rsidRPr="00E11FC2" w:rsidRDefault="009C2B46" w:rsidP="005C5190">
            <w:pPr>
              <w:pStyle w:val="NoSpacing"/>
              <w:rPr>
                <w:rFonts w:ascii="Verdana" w:hAnsi="Verdana"/>
                <w:sz w:val="21"/>
                <w:szCs w:val="21"/>
              </w:rPr>
            </w:pPr>
            <w:r>
              <w:rPr>
                <w:rFonts w:ascii="Verdana" w:hAnsi="Verdana"/>
                <w:sz w:val="21"/>
                <w:szCs w:val="21"/>
              </w:rPr>
              <w:t>3</w:t>
            </w:r>
          </w:p>
        </w:tc>
      </w:tr>
    </w:tbl>
    <w:p w14:paraId="603A1C8C" w14:textId="77777777" w:rsidR="00A437B7" w:rsidRPr="00E11FC2" w:rsidRDefault="00A437B7" w:rsidP="00A437B7">
      <w:pPr>
        <w:pStyle w:val="SectionHeading"/>
        <w:spacing w:before="120" w:after="120"/>
        <w:rPr>
          <w:rFonts w:ascii="Verdana" w:hAnsi="Verdana"/>
          <w:sz w:val="21"/>
          <w:szCs w:val="21"/>
        </w:rPr>
      </w:pPr>
      <w:r w:rsidRPr="00E11FC2">
        <w:t>Version Control History</w:t>
      </w:r>
    </w:p>
    <w:tbl>
      <w:tblPr>
        <w:tblW w:w="858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10"/>
        <w:gridCol w:w="1701"/>
        <w:gridCol w:w="2835"/>
        <w:gridCol w:w="1535"/>
      </w:tblGrid>
      <w:tr w:rsidR="00A437B7" w:rsidRPr="00E11FC2" w14:paraId="128990D5" w14:textId="77777777" w:rsidTr="005C5190">
        <w:trPr>
          <w:trHeight w:val="801"/>
        </w:trPr>
        <w:tc>
          <w:tcPr>
            <w:tcW w:w="2510" w:type="dxa"/>
          </w:tcPr>
          <w:p w14:paraId="306606FE" w14:textId="77777777" w:rsidR="00A437B7" w:rsidRPr="00E11FC2" w:rsidRDefault="00A437B7" w:rsidP="005C5190">
            <w:pPr>
              <w:pStyle w:val="TableText"/>
              <w:rPr>
                <w:b/>
                <w:bCs/>
              </w:rPr>
            </w:pPr>
            <w:r w:rsidRPr="00E11FC2">
              <w:rPr>
                <w:b/>
                <w:bCs/>
              </w:rPr>
              <w:t>Author</w:t>
            </w:r>
          </w:p>
        </w:tc>
        <w:tc>
          <w:tcPr>
            <w:tcW w:w="1701" w:type="dxa"/>
          </w:tcPr>
          <w:p w14:paraId="552719D6" w14:textId="77777777" w:rsidR="00A437B7" w:rsidRPr="00E11FC2" w:rsidRDefault="00A437B7" w:rsidP="005C5190">
            <w:pPr>
              <w:pStyle w:val="TableText"/>
              <w:rPr>
                <w:b/>
                <w:bCs/>
              </w:rPr>
            </w:pPr>
            <w:r w:rsidRPr="00E11FC2">
              <w:rPr>
                <w:b/>
                <w:bCs/>
              </w:rPr>
              <w:t>Date</w:t>
            </w:r>
          </w:p>
        </w:tc>
        <w:tc>
          <w:tcPr>
            <w:tcW w:w="2835" w:type="dxa"/>
          </w:tcPr>
          <w:p w14:paraId="5816FF3B" w14:textId="77777777" w:rsidR="00A437B7" w:rsidRPr="00E11FC2" w:rsidRDefault="00A437B7" w:rsidP="005C5190">
            <w:pPr>
              <w:pStyle w:val="TableText"/>
              <w:rPr>
                <w:b/>
                <w:bCs/>
              </w:rPr>
            </w:pPr>
            <w:r w:rsidRPr="00E11FC2">
              <w:rPr>
                <w:b/>
                <w:bCs/>
              </w:rPr>
              <w:t>Comment</w:t>
            </w:r>
          </w:p>
        </w:tc>
        <w:tc>
          <w:tcPr>
            <w:tcW w:w="1535" w:type="dxa"/>
          </w:tcPr>
          <w:p w14:paraId="054A6822" w14:textId="77777777" w:rsidR="00A437B7" w:rsidRPr="00E11FC2" w:rsidRDefault="00A437B7" w:rsidP="005C5190">
            <w:pPr>
              <w:pStyle w:val="TableText"/>
              <w:rPr>
                <w:b/>
                <w:bCs/>
              </w:rPr>
            </w:pPr>
            <w:r w:rsidRPr="00E11FC2">
              <w:rPr>
                <w:b/>
                <w:bCs/>
              </w:rPr>
              <w:t>Version</w:t>
            </w:r>
          </w:p>
        </w:tc>
      </w:tr>
      <w:tr w:rsidR="00A437B7" w:rsidRPr="00E11FC2" w14:paraId="0D670C17" w14:textId="77777777" w:rsidTr="005C5190">
        <w:trPr>
          <w:trHeight w:val="412"/>
        </w:trPr>
        <w:tc>
          <w:tcPr>
            <w:tcW w:w="2510" w:type="dxa"/>
          </w:tcPr>
          <w:p w14:paraId="428602DC" w14:textId="246ADAC3" w:rsidR="00A437B7" w:rsidRPr="00E11FC2" w:rsidRDefault="007A31F7" w:rsidP="005C5190">
            <w:pPr>
              <w:pStyle w:val="TableText"/>
              <w:spacing w:before="60" w:after="60"/>
            </w:pPr>
            <w:r w:rsidRPr="00E11FC2">
              <w:t>Anna Downie</w:t>
            </w:r>
          </w:p>
        </w:tc>
        <w:tc>
          <w:tcPr>
            <w:tcW w:w="1701" w:type="dxa"/>
          </w:tcPr>
          <w:p w14:paraId="2A2896B4" w14:textId="31AC51F4" w:rsidR="00A437B7" w:rsidRPr="00E11FC2" w:rsidRDefault="007A31F7" w:rsidP="005C5190">
            <w:pPr>
              <w:pStyle w:val="TableText"/>
              <w:spacing w:before="60" w:after="60"/>
            </w:pPr>
            <w:r w:rsidRPr="00E11FC2">
              <w:t>26/04/2018</w:t>
            </w:r>
          </w:p>
        </w:tc>
        <w:tc>
          <w:tcPr>
            <w:tcW w:w="2835" w:type="dxa"/>
          </w:tcPr>
          <w:p w14:paraId="722A36A1" w14:textId="56626D2B" w:rsidR="00A437B7" w:rsidRPr="00E11FC2" w:rsidRDefault="007A31F7" w:rsidP="005C5190">
            <w:pPr>
              <w:pStyle w:val="TableText"/>
              <w:spacing w:before="60" w:after="60"/>
            </w:pPr>
            <w:r w:rsidRPr="00E11FC2">
              <w:t>Initial version</w:t>
            </w:r>
          </w:p>
        </w:tc>
        <w:tc>
          <w:tcPr>
            <w:tcW w:w="1535" w:type="dxa"/>
          </w:tcPr>
          <w:p w14:paraId="587EA404" w14:textId="1902E909" w:rsidR="00A437B7" w:rsidRPr="00E11FC2" w:rsidRDefault="007A31F7" w:rsidP="005C5190">
            <w:pPr>
              <w:pStyle w:val="TableText"/>
              <w:spacing w:before="60" w:after="60"/>
            </w:pPr>
            <w:r w:rsidRPr="00E11FC2">
              <w:t>1</w:t>
            </w:r>
          </w:p>
        </w:tc>
      </w:tr>
      <w:tr w:rsidR="00A437B7" w:rsidRPr="00E11FC2" w14:paraId="08A38387" w14:textId="77777777" w:rsidTr="005C5190">
        <w:trPr>
          <w:trHeight w:val="400"/>
        </w:trPr>
        <w:tc>
          <w:tcPr>
            <w:tcW w:w="2510" w:type="dxa"/>
          </w:tcPr>
          <w:p w14:paraId="454791A4" w14:textId="1FC76DF3" w:rsidR="00A437B7" w:rsidRPr="00E11FC2" w:rsidRDefault="007A31F7" w:rsidP="005C5190">
            <w:pPr>
              <w:pStyle w:val="TableText"/>
              <w:spacing w:before="60" w:after="60"/>
            </w:pPr>
            <w:r w:rsidRPr="00E11FC2">
              <w:t>Stephen Mangi</w:t>
            </w:r>
          </w:p>
        </w:tc>
        <w:tc>
          <w:tcPr>
            <w:tcW w:w="1701" w:type="dxa"/>
          </w:tcPr>
          <w:p w14:paraId="65AB1EC3" w14:textId="46BDADC6" w:rsidR="00A437B7" w:rsidRPr="00E11FC2" w:rsidRDefault="007A31F7" w:rsidP="005C5190">
            <w:pPr>
              <w:pStyle w:val="TableText"/>
              <w:spacing w:before="60" w:after="60"/>
            </w:pPr>
            <w:r w:rsidRPr="00E11FC2">
              <w:t>27/04/2018</w:t>
            </w:r>
          </w:p>
        </w:tc>
        <w:tc>
          <w:tcPr>
            <w:tcW w:w="2835" w:type="dxa"/>
          </w:tcPr>
          <w:p w14:paraId="70C8050A" w14:textId="765B05E4" w:rsidR="00A437B7" w:rsidRPr="00E11FC2" w:rsidRDefault="007A31F7" w:rsidP="005C5190">
            <w:pPr>
              <w:pStyle w:val="TableText"/>
              <w:spacing w:before="60" w:after="60"/>
            </w:pPr>
            <w:r w:rsidRPr="00E11FC2">
              <w:t>Edits</w:t>
            </w:r>
          </w:p>
        </w:tc>
        <w:tc>
          <w:tcPr>
            <w:tcW w:w="1535" w:type="dxa"/>
          </w:tcPr>
          <w:p w14:paraId="4476478B" w14:textId="1CFDF331" w:rsidR="00A437B7" w:rsidRPr="00E11FC2" w:rsidRDefault="007A31F7" w:rsidP="005C5190">
            <w:pPr>
              <w:pStyle w:val="TableText"/>
              <w:spacing w:before="60" w:after="60"/>
            </w:pPr>
            <w:r w:rsidRPr="00E11FC2">
              <w:t>2</w:t>
            </w:r>
          </w:p>
        </w:tc>
      </w:tr>
      <w:tr w:rsidR="00A437B7" w:rsidRPr="00E11FC2" w14:paraId="2E95FCE7" w14:textId="77777777" w:rsidTr="005C5190">
        <w:trPr>
          <w:trHeight w:val="400"/>
        </w:trPr>
        <w:tc>
          <w:tcPr>
            <w:tcW w:w="2510" w:type="dxa"/>
          </w:tcPr>
          <w:p w14:paraId="03F99854" w14:textId="49FBF004" w:rsidR="00A437B7" w:rsidRPr="00E11FC2" w:rsidRDefault="009C2B46" w:rsidP="005C5190">
            <w:pPr>
              <w:pStyle w:val="TableText"/>
              <w:spacing w:before="60" w:after="60"/>
            </w:pPr>
            <w:r>
              <w:t>Ed McManus</w:t>
            </w:r>
          </w:p>
        </w:tc>
        <w:tc>
          <w:tcPr>
            <w:tcW w:w="1701" w:type="dxa"/>
          </w:tcPr>
          <w:p w14:paraId="19559088" w14:textId="22034C6E" w:rsidR="00A437B7" w:rsidRPr="00E11FC2" w:rsidRDefault="009C2B46" w:rsidP="005C5190">
            <w:pPr>
              <w:pStyle w:val="TableText"/>
              <w:spacing w:before="60" w:after="60"/>
            </w:pPr>
            <w:r>
              <w:t>30/04/2018</w:t>
            </w:r>
          </w:p>
        </w:tc>
        <w:tc>
          <w:tcPr>
            <w:tcW w:w="2835" w:type="dxa"/>
          </w:tcPr>
          <w:p w14:paraId="029665DC" w14:textId="68319F51" w:rsidR="00A437B7" w:rsidRPr="00E11FC2" w:rsidRDefault="009C2B46" w:rsidP="005C5190">
            <w:pPr>
              <w:pStyle w:val="TableText"/>
              <w:spacing w:before="60" w:after="60"/>
            </w:pPr>
            <w:r>
              <w:t>Sign off report</w:t>
            </w:r>
          </w:p>
        </w:tc>
        <w:tc>
          <w:tcPr>
            <w:tcW w:w="1535" w:type="dxa"/>
          </w:tcPr>
          <w:p w14:paraId="5ECE6217" w14:textId="5552E540" w:rsidR="00A437B7" w:rsidRPr="00E11FC2" w:rsidRDefault="009C2B46" w:rsidP="005C5190">
            <w:pPr>
              <w:pStyle w:val="TableText"/>
              <w:spacing w:before="60" w:after="60"/>
            </w:pPr>
            <w:r>
              <w:t>3</w:t>
            </w:r>
          </w:p>
        </w:tc>
      </w:tr>
    </w:tbl>
    <w:p w14:paraId="67F61FBA" w14:textId="77777777" w:rsidR="008D3DF3" w:rsidRPr="00E11FC2" w:rsidRDefault="008D3DF3">
      <w:pPr>
        <w:rPr>
          <w:lang w:val="en-GB"/>
        </w:rPr>
      </w:pPr>
    </w:p>
    <w:p w14:paraId="682C004E" w14:textId="77777777" w:rsidR="008D3DF3" w:rsidRPr="00E11FC2" w:rsidRDefault="008D3DF3">
      <w:pPr>
        <w:rPr>
          <w:lang w:val="en-GB"/>
        </w:rPr>
      </w:pPr>
    </w:p>
    <w:p w14:paraId="7B149317" w14:textId="77777777" w:rsidR="008D3DF3" w:rsidRPr="00E11FC2" w:rsidRDefault="008D3DF3">
      <w:pPr>
        <w:rPr>
          <w:lang w:val="en-GB"/>
        </w:rPr>
      </w:pPr>
    </w:p>
    <w:p w14:paraId="5F5BC2A1" w14:textId="77777777" w:rsidR="008D3DF3" w:rsidRPr="00E11FC2" w:rsidRDefault="008D3DF3">
      <w:pPr>
        <w:rPr>
          <w:lang w:val="en-GB"/>
        </w:rPr>
      </w:pPr>
    </w:p>
    <w:p w14:paraId="5E467C45" w14:textId="77777777" w:rsidR="008D3DF3" w:rsidRPr="00E11FC2" w:rsidRDefault="008D3DF3">
      <w:pPr>
        <w:rPr>
          <w:lang w:val="en-GB"/>
        </w:rPr>
      </w:pPr>
    </w:p>
    <w:p w14:paraId="511A3E7A" w14:textId="55675FEA" w:rsidR="008D3DF3" w:rsidRPr="00E11FC2" w:rsidRDefault="008D3DF3">
      <w:pPr>
        <w:rPr>
          <w:lang w:val="en-GB"/>
        </w:rPr>
      </w:pPr>
    </w:p>
    <w:p w14:paraId="79D767ED" w14:textId="57BAD9B8" w:rsidR="007A31F7" w:rsidRPr="00E11FC2" w:rsidRDefault="007A31F7">
      <w:pPr>
        <w:rPr>
          <w:lang w:val="en-GB"/>
        </w:rPr>
      </w:pPr>
    </w:p>
    <w:p w14:paraId="363F53F7" w14:textId="368508B1" w:rsidR="007A31F7" w:rsidRPr="00E11FC2" w:rsidRDefault="007A31F7">
      <w:pPr>
        <w:rPr>
          <w:lang w:val="en-GB"/>
        </w:rPr>
      </w:pPr>
    </w:p>
    <w:p w14:paraId="28AB3F9A" w14:textId="4CB3AD7E" w:rsidR="007A31F7" w:rsidRPr="00E11FC2" w:rsidRDefault="007A31F7">
      <w:pPr>
        <w:rPr>
          <w:lang w:val="en-GB"/>
        </w:rPr>
      </w:pPr>
    </w:p>
    <w:p w14:paraId="24139D9B" w14:textId="69A7458C" w:rsidR="007A31F7" w:rsidRDefault="007A31F7">
      <w:pPr>
        <w:rPr>
          <w:lang w:val="en-GB"/>
        </w:rPr>
      </w:pPr>
    </w:p>
    <w:p w14:paraId="5123EE64" w14:textId="6A7D46B2" w:rsidR="009F1190" w:rsidRDefault="009F1190">
      <w:pPr>
        <w:rPr>
          <w:lang w:val="en-GB"/>
        </w:rPr>
      </w:pPr>
    </w:p>
    <w:p w14:paraId="630E08BB" w14:textId="77777777" w:rsidR="009F1190" w:rsidRPr="00E11FC2" w:rsidRDefault="009F1190">
      <w:pPr>
        <w:rPr>
          <w:lang w:val="en-GB"/>
        </w:rPr>
      </w:pPr>
    </w:p>
    <w:p w14:paraId="4110C806" w14:textId="3BD66300" w:rsidR="007A31F7" w:rsidRPr="00E11FC2" w:rsidRDefault="007A31F7">
      <w:pPr>
        <w:rPr>
          <w:lang w:val="en-GB"/>
        </w:rPr>
      </w:pPr>
    </w:p>
    <w:p w14:paraId="2AA0C228" w14:textId="7445331F" w:rsidR="007A31F7" w:rsidRPr="00E11FC2" w:rsidRDefault="007A31F7">
      <w:pPr>
        <w:rPr>
          <w:lang w:val="en-GB"/>
        </w:rPr>
      </w:pPr>
    </w:p>
    <w:p w14:paraId="1DC72E1D" w14:textId="7D40E021" w:rsidR="007A31F7" w:rsidRPr="00E11FC2" w:rsidRDefault="007A31F7">
      <w:pPr>
        <w:rPr>
          <w:lang w:val="en-GB"/>
        </w:rPr>
      </w:pPr>
    </w:p>
    <w:p w14:paraId="3CE34AC6" w14:textId="76B86046" w:rsidR="007A31F7" w:rsidRPr="00E11FC2" w:rsidRDefault="007A31F7">
      <w:pPr>
        <w:rPr>
          <w:lang w:val="en-GB"/>
        </w:rPr>
      </w:pPr>
    </w:p>
    <w:p w14:paraId="1A524F2C" w14:textId="62B41AA2" w:rsidR="007A31F7" w:rsidRPr="00E11FC2" w:rsidRDefault="007A31F7">
      <w:pPr>
        <w:rPr>
          <w:lang w:val="en-GB"/>
        </w:rPr>
      </w:pPr>
    </w:p>
    <w:p w14:paraId="1D9495C9" w14:textId="1A2C26A4" w:rsidR="007A31F7" w:rsidRPr="00E11FC2" w:rsidRDefault="007A31F7" w:rsidP="005C5190">
      <w:pPr>
        <w:pStyle w:val="Heading1"/>
        <w:rPr>
          <w:lang w:val="en-GB"/>
        </w:rPr>
      </w:pPr>
      <w:bookmarkStart w:id="1" w:name="_Toc512867193"/>
      <w:r w:rsidRPr="00E11FC2">
        <w:rPr>
          <w:lang w:val="en-GB"/>
        </w:rPr>
        <w:lastRenderedPageBreak/>
        <w:t>Executive Summary</w:t>
      </w:r>
      <w:bookmarkEnd w:id="1"/>
    </w:p>
    <w:p w14:paraId="326E95EA" w14:textId="70526974" w:rsidR="007A31F7" w:rsidRPr="00E11FC2" w:rsidRDefault="007A31F7" w:rsidP="00890214">
      <w:pPr>
        <w:spacing w:before="120" w:line="360" w:lineRule="auto"/>
        <w:jc w:val="both"/>
        <w:rPr>
          <w:rFonts w:ascii="Verdana" w:hAnsi="Verdana"/>
          <w:sz w:val="20"/>
          <w:szCs w:val="20"/>
          <w:lang w:val="en-GB"/>
        </w:rPr>
      </w:pPr>
      <w:r w:rsidRPr="00E11FC2">
        <w:rPr>
          <w:rFonts w:ascii="Verdana" w:hAnsi="Verdana"/>
          <w:sz w:val="20"/>
          <w:szCs w:val="20"/>
          <w:lang w:val="en-GB"/>
        </w:rPr>
        <w:t>For a fishery to achieve Marine Stewardship Council (MSC) certification, it needs to be underpinned by rigorous and scientifically credible data and information. Local stakeholders in Guyana have requested technical support from Cefas towards completing specific analyses and producing reports on stock assessment, habitat and ecosystem impacts, and training in the setting up and running of an observer programme. The Seabob Working Group (our main local stakeholder group/research partner) has indicated that it intends to include these reports in their application for MSC certification. Report 1 in this CME Project presents findings from exploratory analyses on Guyana’s commercial sampling scheme and the results of a stock assessment that was done on three key commercial species. Report 2 (this report) is focused on vessel monitoring system (VMS) data analysis and habitat mapping of seabed within the seabob trawl zone along with sampling of seabed communities and their structure in trawled and less trawled areas. It builds on the habitat mapping exercise that formed part of the training provided by Cefas to the Guyana Fisheries Department in CME Year I. It lays out the steps taken to produce a basic physical habitat map using only spatial data that are freely available for download and use on the internet and ground truth data consisting of sediment grain size and taxon biomass and/or abundance. It further demonstrates a quick assessment of the amount of each habitat currently impacted by the Seabob fishery. It is concluded that although there are some observations of sensitive species occurring on the edges of the fishing footprint, they do not overlap with the main fished area.</w:t>
      </w:r>
    </w:p>
    <w:p w14:paraId="24A487CB" w14:textId="56FA4BF0" w:rsidR="007A31F7" w:rsidRPr="00E11FC2" w:rsidRDefault="007A31F7" w:rsidP="007A31F7">
      <w:pPr>
        <w:rPr>
          <w:lang w:val="en-GB"/>
        </w:rPr>
      </w:pPr>
    </w:p>
    <w:p w14:paraId="5B40242E" w14:textId="46B8EB6D" w:rsidR="007A31F7" w:rsidRPr="00E11FC2" w:rsidRDefault="007A31F7" w:rsidP="007A31F7">
      <w:pPr>
        <w:rPr>
          <w:lang w:val="en-GB"/>
        </w:rPr>
      </w:pPr>
    </w:p>
    <w:p w14:paraId="3F2C91F5" w14:textId="2BE84A48" w:rsidR="007A31F7" w:rsidRPr="00E11FC2" w:rsidRDefault="007A31F7" w:rsidP="007A31F7">
      <w:pPr>
        <w:rPr>
          <w:lang w:val="en-GB"/>
        </w:rPr>
      </w:pPr>
    </w:p>
    <w:p w14:paraId="097683AD" w14:textId="5783B3B0" w:rsidR="007A31F7" w:rsidRPr="00E11FC2" w:rsidRDefault="007A31F7" w:rsidP="007A31F7">
      <w:pPr>
        <w:rPr>
          <w:lang w:val="en-GB"/>
        </w:rPr>
      </w:pPr>
    </w:p>
    <w:p w14:paraId="72915D2C" w14:textId="4DB052F3" w:rsidR="005C5190" w:rsidRPr="00E11FC2" w:rsidRDefault="005C5190" w:rsidP="007A31F7">
      <w:pPr>
        <w:rPr>
          <w:lang w:val="en-GB"/>
        </w:rPr>
      </w:pPr>
    </w:p>
    <w:p w14:paraId="006B18C3" w14:textId="27A19435" w:rsidR="005C5190" w:rsidRPr="00E11FC2" w:rsidRDefault="005C5190" w:rsidP="007A31F7">
      <w:pPr>
        <w:rPr>
          <w:lang w:val="en-GB"/>
        </w:rPr>
      </w:pPr>
    </w:p>
    <w:p w14:paraId="7CBF84E7" w14:textId="5A5A7A7B" w:rsidR="005C5190" w:rsidRPr="00E11FC2" w:rsidRDefault="005C5190" w:rsidP="007A31F7">
      <w:pPr>
        <w:rPr>
          <w:lang w:val="en-GB"/>
        </w:rPr>
      </w:pPr>
    </w:p>
    <w:p w14:paraId="5C1999C6" w14:textId="5D2D19A5" w:rsidR="005C5190" w:rsidRPr="00E11FC2" w:rsidRDefault="005C5190" w:rsidP="007A31F7">
      <w:pPr>
        <w:rPr>
          <w:lang w:val="en-GB"/>
        </w:rPr>
      </w:pPr>
    </w:p>
    <w:p w14:paraId="263DAB2E" w14:textId="26DCCE31" w:rsidR="005C5190" w:rsidRPr="00E11FC2" w:rsidRDefault="005C5190" w:rsidP="007A31F7">
      <w:pPr>
        <w:rPr>
          <w:lang w:val="en-GB"/>
        </w:rPr>
      </w:pPr>
    </w:p>
    <w:p w14:paraId="7FDEF667" w14:textId="279FCDFF" w:rsidR="005C5190" w:rsidRPr="00E11FC2" w:rsidRDefault="005C5190" w:rsidP="007A31F7">
      <w:pPr>
        <w:rPr>
          <w:lang w:val="en-GB"/>
        </w:rPr>
      </w:pPr>
    </w:p>
    <w:p w14:paraId="38AE7DCA" w14:textId="191C732B" w:rsidR="005C5190" w:rsidRPr="00E11FC2" w:rsidRDefault="005C5190" w:rsidP="007A31F7">
      <w:pPr>
        <w:rPr>
          <w:lang w:val="en-GB"/>
        </w:rPr>
      </w:pPr>
    </w:p>
    <w:p w14:paraId="737B08B7" w14:textId="520A5B5A" w:rsidR="005C5190" w:rsidRPr="00E11FC2" w:rsidRDefault="005C5190" w:rsidP="007A31F7">
      <w:pPr>
        <w:rPr>
          <w:lang w:val="en-GB"/>
        </w:rPr>
      </w:pPr>
    </w:p>
    <w:p w14:paraId="725F63BC" w14:textId="50820D8B" w:rsidR="005C5190" w:rsidRPr="00E11FC2" w:rsidRDefault="005C5190" w:rsidP="007A31F7">
      <w:pPr>
        <w:rPr>
          <w:lang w:val="en-GB"/>
        </w:rPr>
      </w:pPr>
    </w:p>
    <w:p w14:paraId="284E7D37" w14:textId="66267A26" w:rsidR="005C5190" w:rsidRPr="00E11FC2" w:rsidRDefault="005C5190" w:rsidP="007A31F7">
      <w:pPr>
        <w:rPr>
          <w:lang w:val="en-GB"/>
        </w:rPr>
      </w:pPr>
    </w:p>
    <w:p w14:paraId="6D28F578" w14:textId="575DEB7D" w:rsidR="005C5190" w:rsidRPr="00E11FC2" w:rsidRDefault="005C5190" w:rsidP="007A31F7">
      <w:pPr>
        <w:rPr>
          <w:lang w:val="en-GB"/>
        </w:rPr>
      </w:pPr>
    </w:p>
    <w:p w14:paraId="491FEDA8" w14:textId="68ED184D" w:rsidR="005C5190" w:rsidRPr="00E11FC2" w:rsidRDefault="005C5190" w:rsidP="007A31F7">
      <w:pPr>
        <w:rPr>
          <w:lang w:val="en-GB"/>
        </w:rPr>
      </w:pPr>
    </w:p>
    <w:p w14:paraId="6ACA2CBE" w14:textId="69236F01" w:rsidR="005C5190" w:rsidRPr="00E11FC2" w:rsidRDefault="005C5190" w:rsidP="007A31F7">
      <w:pPr>
        <w:rPr>
          <w:lang w:val="en-GB"/>
        </w:rPr>
      </w:pPr>
    </w:p>
    <w:p w14:paraId="0F666E7B" w14:textId="67A9147C" w:rsidR="005C5190" w:rsidRPr="00E11FC2" w:rsidRDefault="005C5190" w:rsidP="007A31F7">
      <w:pPr>
        <w:rPr>
          <w:lang w:val="en-GB"/>
        </w:rPr>
      </w:pPr>
    </w:p>
    <w:p w14:paraId="5C83D4E7" w14:textId="488B856C" w:rsidR="005C5190" w:rsidRPr="00E11FC2" w:rsidRDefault="005C5190" w:rsidP="007A31F7">
      <w:pPr>
        <w:rPr>
          <w:lang w:val="en-GB"/>
        </w:rPr>
      </w:pPr>
    </w:p>
    <w:p w14:paraId="2B8A6278" w14:textId="76F04E16" w:rsidR="005C5190" w:rsidRPr="00E11FC2" w:rsidRDefault="005C5190" w:rsidP="007A31F7">
      <w:pPr>
        <w:rPr>
          <w:lang w:val="en-GB"/>
        </w:rPr>
      </w:pPr>
    </w:p>
    <w:p w14:paraId="7BF0A08B" w14:textId="594BECC1" w:rsidR="005C5190" w:rsidRPr="00E11FC2" w:rsidRDefault="005C5190" w:rsidP="007A31F7">
      <w:pPr>
        <w:rPr>
          <w:lang w:val="en-GB"/>
        </w:rPr>
      </w:pPr>
    </w:p>
    <w:p w14:paraId="50C6967B" w14:textId="6D87DBE0" w:rsidR="005C5190" w:rsidRPr="00E11FC2" w:rsidRDefault="005C5190" w:rsidP="007A31F7">
      <w:pPr>
        <w:rPr>
          <w:lang w:val="en-GB"/>
        </w:rPr>
      </w:pPr>
    </w:p>
    <w:p w14:paraId="100B0F7F" w14:textId="135E3D00" w:rsidR="005C5190" w:rsidRPr="00E11FC2" w:rsidRDefault="005C5190" w:rsidP="007A31F7">
      <w:pPr>
        <w:rPr>
          <w:lang w:val="en-GB"/>
        </w:rPr>
      </w:pPr>
    </w:p>
    <w:p w14:paraId="2156F5E1" w14:textId="20237A27" w:rsidR="005C5190" w:rsidRPr="00E11FC2" w:rsidRDefault="005C5190" w:rsidP="007A31F7">
      <w:pPr>
        <w:rPr>
          <w:lang w:val="en-GB"/>
        </w:rPr>
      </w:pPr>
    </w:p>
    <w:sdt>
      <w:sdtPr>
        <w:rPr>
          <w:rFonts w:ascii="Helvetica" w:eastAsia="Helvetica" w:hAnsi="Helvetica" w:cs="Helvetica"/>
          <w:color w:val="auto"/>
          <w:sz w:val="22"/>
          <w:szCs w:val="22"/>
        </w:rPr>
        <w:id w:val="1325394108"/>
        <w:docPartObj>
          <w:docPartGallery w:val="Table of Contents"/>
          <w:docPartUnique/>
        </w:docPartObj>
      </w:sdtPr>
      <w:sdtEndPr>
        <w:rPr>
          <w:b/>
          <w:bCs/>
          <w:noProof/>
        </w:rPr>
      </w:sdtEndPr>
      <w:sdtContent>
        <w:p w14:paraId="1EFB5322" w14:textId="3F7FDE4D" w:rsidR="00CD09F9" w:rsidRDefault="00CD09F9">
          <w:pPr>
            <w:pStyle w:val="TOCHeading"/>
          </w:pPr>
          <w:r>
            <w:t>Contents</w:t>
          </w:r>
        </w:p>
        <w:p w14:paraId="05C47B0D" w14:textId="6CDF9AD2" w:rsidR="00CD09F9" w:rsidRPr="0037100D" w:rsidRDefault="00CD09F9">
          <w:pPr>
            <w:pStyle w:val="TOC1"/>
            <w:tabs>
              <w:tab w:val="right" w:leader="dot" w:pos="9016"/>
            </w:tabs>
            <w:rPr>
              <w:rFonts w:ascii="Verdana" w:eastAsiaTheme="minorEastAsia" w:hAnsi="Verdana" w:cstheme="minorBidi"/>
              <w:noProof/>
              <w:lang w:val="en-GB" w:eastAsia="en-GB"/>
            </w:rPr>
          </w:pPr>
          <w:r w:rsidRPr="0037100D">
            <w:rPr>
              <w:rFonts w:ascii="Verdana" w:hAnsi="Verdana"/>
            </w:rPr>
            <w:fldChar w:fldCharType="begin"/>
          </w:r>
          <w:r w:rsidRPr="0037100D">
            <w:rPr>
              <w:rFonts w:ascii="Verdana" w:hAnsi="Verdana"/>
            </w:rPr>
            <w:instrText xml:space="preserve"> TOC \o "1-3" \h \z \u </w:instrText>
          </w:r>
          <w:r w:rsidRPr="0037100D">
            <w:rPr>
              <w:rFonts w:ascii="Verdana" w:hAnsi="Verdana"/>
            </w:rPr>
            <w:fldChar w:fldCharType="separate"/>
          </w:r>
          <w:hyperlink w:anchor="_Toc512867193" w:history="1">
            <w:r w:rsidRPr="0037100D">
              <w:rPr>
                <w:rStyle w:val="Hyperlink"/>
                <w:rFonts w:ascii="Verdana" w:hAnsi="Verdana"/>
                <w:noProof/>
                <w:lang w:val="en-GB"/>
              </w:rPr>
              <w:t>Executive Summary</w:t>
            </w:r>
            <w:r w:rsidRPr="0037100D">
              <w:rPr>
                <w:rFonts w:ascii="Verdana" w:hAnsi="Verdana"/>
                <w:noProof/>
                <w:webHidden/>
              </w:rPr>
              <w:tab/>
            </w:r>
            <w:r w:rsidRPr="0037100D">
              <w:rPr>
                <w:rFonts w:ascii="Verdana" w:hAnsi="Verdana"/>
                <w:noProof/>
                <w:webHidden/>
              </w:rPr>
              <w:fldChar w:fldCharType="begin"/>
            </w:r>
            <w:r w:rsidRPr="0037100D">
              <w:rPr>
                <w:rFonts w:ascii="Verdana" w:hAnsi="Verdana"/>
                <w:noProof/>
                <w:webHidden/>
              </w:rPr>
              <w:instrText xml:space="preserve"> PAGEREF _Toc512867193 \h </w:instrText>
            </w:r>
            <w:r w:rsidRPr="0037100D">
              <w:rPr>
                <w:rFonts w:ascii="Verdana" w:hAnsi="Verdana"/>
                <w:noProof/>
                <w:webHidden/>
              </w:rPr>
            </w:r>
            <w:r w:rsidRPr="0037100D">
              <w:rPr>
                <w:rFonts w:ascii="Verdana" w:hAnsi="Verdana"/>
                <w:noProof/>
                <w:webHidden/>
              </w:rPr>
              <w:fldChar w:fldCharType="separate"/>
            </w:r>
            <w:r w:rsidR="0037100D">
              <w:rPr>
                <w:rFonts w:ascii="Verdana" w:hAnsi="Verdana"/>
                <w:noProof/>
                <w:webHidden/>
              </w:rPr>
              <w:t>3</w:t>
            </w:r>
            <w:r w:rsidRPr="0037100D">
              <w:rPr>
                <w:rFonts w:ascii="Verdana" w:hAnsi="Verdana"/>
                <w:noProof/>
                <w:webHidden/>
              </w:rPr>
              <w:fldChar w:fldCharType="end"/>
            </w:r>
          </w:hyperlink>
        </w:p>
        <w:p w14:paraId="5DB16070" w14:textId="3B88E831" w:rsidR="00CD09F9" w:rsidRPr="0037100D" w:rsidRDefault="00A55FB1">
          <w:pPr>
            <w:pStyle w:val="TOC1"/>
            <w:tabs>
              <w:tab w:val="right" w:leader="dot" w:pos="9016"/>
            </w:tabs>
            <w:rPr>
              <w:rFonts w:ascii="Verdana" w:eastAsiaTheme="minorEastAsia" w:hAnsi="Verdana" w:cstheme="minorBidi"/>
              <w:noProof/>
              <w:lang w:val="en-GB" w:eastAsia="en-GB"/>
            </w:rPr>
          </w:pPr>
          <w:hyperlink w:anchor="_Toc512867194" w:history="1">
            <w:r w:rsidR="00CD09F9" w:rsidRPr="0037100D">
              <w:rPr>
                <w:rStyle w:val="Hyperlink"/>
                <w:rFonts w:ascii="Verdana" w:hAnsi="Verdana"/>
                <w:noProof/>
                <w:lang w:val="en-GB"/>
              </w:rPr>
              <w:t>1. Scope</w:t>
            </w:r>
            <w:r w:rsidR="00CD09F9" w:rsidRPr="0037100D">
              <w:rPr>
                <w:rFonts w:ascii="Verdana" w:hAnsi="Verdana"/>
                <w:noProof/>
                <w:webHidden/>
              </w:rPr>
              <w:tab/>
            </w:r>
            <w:r w:rsidR="00CD09F9" w:rsidRPr="0037100D">
              <w:rPr>
                <w:rFonts w:ascii="Verdana" w:hAnsi="Verdana"/>
                <w:noProof/>
                <w:webHidden/>
              </w:rPr>
              <w:fldChar w:fldCharType="begin"/>
            </w:r>
            <w:r w:rsidR="00CD09F9" w:rsidRPr="0037100D">
              <w:rPr>
                <w:rFonts w:ascii="Verdana" w:hAnsi="Verdana"/>
                <w:noProof/>
                <w:webHidden/>
              </w:rPr>
              <w:instrText xml:space="preserve"> PAGEREF _Toc512867194 \h </w:instrText>
            </w:r>
            <w:r w:rsidR="00CD09F9" w:rsidRPr="0037100D">
              <w:rPr>
                <w:rFonts w:ascii="Verdana" w:hAnsi="Verdana"/>
                <w:noProof/>
                <w:webHidden/>
              </w:rPr>
            </w:r>
            <w:r w:rsidR="00CD09F9" w:rsidRPr="0037100D">
              <w:rPr>
                <w:rFonts w:ascii="Verdana" w:hAnsi="Verdana"/>
                <w:noProof/>
                <w:webHidden/>
              </w:rPr>
              <w:fldChar w:fldCharType="separate"/>
            </w:r>
            <w:r w:rsidR="0037100D">
              <w:rPr>
                <w:rFonts w:ascii="Verdana" w:hAnsi="Verdana"/>
                <w:noProof/>
                <w:webHidden/>
              </w:rPr>
              <w:t>5</w:t>
            </w:r>
            <w:r w:rsidR="00CD09F9" w:rsidRPr="0037100D">
              <w:rPr>
                <w:rFonts w:ascii="Verdana" w:hAnsi="Verdana"/>
                <w:noProof/>
                <w:webHidden/>
              </w:rPr>
              <w:fldChar w:fldCharType="end"/>
            </w:r>
          </w:hyperlink>
        </w:p>
        <w:p w14:paraId="78CD83CC" w14:textId="73D3A045" w:rsidR="00CD09F9" w:rsidRPr="0037100D" w:rsidRDefault="00A55FB1">
          <w:pPr>
            <w:pStyle w:val="TOC1"/>
            <w:tabs>
              <w:tab w:val="right" w:leader="dot" w:pos="9016"/>
            </w:tabs>
            <w:rPr>
              <w:rFonts w:ascii="Verdana" w:eastAsiaTheme="minorEastAsia" w:hAnsi="Verdana" w:cstheme="minorBidi"/>
              <w:noProof/>
              <w:lang w:val="en-GB" w:eastAsia="en-GB"/>
            </w:rPr>
          </w:pPr>
          <w:hyperlink w:anchor="_Toc512867195" w:history="1">
            <w:r w:rsidR="00CD09F9" w:rsidRPr="0037100D">
              <w:rPr>
                <w:rStyle w:val="Hyperlink"/>
                <w:rFonts w:ascii="Verdana" w:hAnsi="Verdana"/>
                <w:noProof/>
                <w:lang w:val="en-GB"/>
              </w:rPr>
              <w:t>2. The Marine Stewardship Council (MSC) certification process</w:t>
            </w:r>
            <w:r w:rsidR="00CD09F9" w:rsidRPr="0037100D">
              <w:rPr>
                <w:rFonts w:ascii="Verdana" w:hAnsi="Verdana"/>
                <w:noProof/>
                <w:webHidden/>
              </w:rPr>
              <w:tab/>
            </w:r>
            <w:r w:rsidR="00CD09F9" w:rsidRPr="0037100D">
              <w:rPr>
                <w:rFonts w:ascii="Verdana" w:hAnsi="Verdana"/>
                <w:noProof/>
                <w:webHidden/>
              </w:rPr>
              <w:fldChar w:fldCharType="begin"/>
            </w:r>
            <w:r w:rsidR="00CD09F9" w:rsidRPr="0037100D">
              <w:rPr>
                <w:rFonts w:ascii="Verdana" w:hAnsi="Verdana"/>
                <w:noProof/>
                <w:webHidden/>
              </w:rPr>
              <w:instrText xml:space="preserve"> PAGEREF _Toc512867195 \h </w:instrText>
            </w:r>
            <w:r w:rsidR="00CD09F9" w:rsidRPr="0037100D">
              <w:rPr>
                <w:rFonts w:ascii="Verdana" w:hAnsi="Verdana"/>
                <w:noProof/>
                <w:webHidden/>
              </w:rPr>
            </w:r>
            <w:r w:rsidR="00CD09F9" w:rsidRPr="0037100D">
              <w:rPr>
                <w:rFonts w:ascii="Verdana" w:hAnsi="Verdana"/>
                <w:noProof/>
                <w:webHidden/>
              </w:rPr>
              <w:fldChar w:fldCharType="separate"/>
            </w:r>
            <w:r w:rsidR="0037100D">
              <w:rPr>
                <w:rFonts w:ascii="Verdana" w:hAnsi="Verdana"/>
                <w:noProof/>
                <w:webHidden/>
              </w:rPr>
              <w:t>6</w:t>
            </w:r>
            <w:r w:rsidR="00CD09F9" w:rsidRPr="0037100D">
              <w:rPr>
                <w:rFonts w:ascii="Verdana" w:hAnsi="Verdana"/>
                <w:noProof/>
                <w:webHidden/>
              </w:rPr>
              <w:fldChar w:fldCharType="end"/>
            </w:r>
          </w:hyperlink>
        </w:p>
        <w:p w14:paraId="7F462483" w14:textId="3CF4EA1E" w:rsidR="00CD09F9" w:rsidRPr="0037100D" w:rsidRDefault="00A55FB1">
          <w:pPr>
            <w:pStyle w:val="TOC1"/>
            <w:tabs>
              <w:tab w:val="right" w:leader="dot" w:pos="9016"/>
            </w:tabs>
            <w:rPr>
              <w:rFonts w:ascii="Verdana" w:eastAsiaTheme="minorEastAsia" w:hAnsi="Verdana" w:cstheme="minorBidi"/>
              <w:noProof/>
              <w:lang w:val="en-GB" w:eastAsia="en-GB"/>
            </w:rPr>
          </w:pPr>
          <w:hyperlink w:anchor="_Toc512867196" w:history="1">
            <w:r w:rsidR="00CD09F9" w:rsidRPr="0037100D">
              <w:rPr>
                <w:rStyle w:val="Hyperlink"/>
                <w:rFonts w:ascii="Verdana" w:hAnsi="Verdana"/>
                <w:noProof/>
                <w:lang w:val="en-GB"/>
              </w:rPr>
              <w:t>3. Input datasets</w:t>
            </w:r>
            <w:r w:rsidR="00CD09F9" w:rsidRPr="0037100D">
              <w:rPr>
                <w:rFonts w:ascii="Verdana" w:hAnsi="Verdana"/>
                <w:noProof/>
                <w:webHidden/>
              </w:rPr>
              <w:tab/>
            </w:r>
            <w:r w:rsidR="00CD09F9" w:rsidRPr="0037100D">
              <w:rPr>
                <w:rFonts w:ascii="Verdana" w:hAnsi="Verdana"/>
                <w:noProof/>
                <w:webHidden/>
              </w:rPr>
              <w:fldChar w:fldCharType="begin"/>
            </w:r>
            <w:r w:rsidR="00CD09F9" w:rsidRPr="0037100D">
              <w:rPr>
                <w:rFonts w:ascii="Verdana" w:hAnsi="Verdana"/>
                <w:noProof/>
                <w:webHidden/>
              </w:rPr>
              <w:instrText xml:space="preserve"> PAGEREF _Toc512867196 \h </w:instrText>
            </w:r>
            <w:r w:rsidR="00CD09F9" w:rsidRPr="0037100D">
              <w:rPr>
                <w:rFonts w:ascii="Verdana" w:hAnsi="Verdana"/>
                <w:noProof/>
                <w:webHidden/>
              </w:rPr>
            </w:r>
            <w:r w:rsidR="00CD09F9" w:rsidRPr="0037100D">
              <w:rPr>
                <w:rFonts w:ascii="Verdana" w:hAnsi="Verdana"/>
                <w:noProof/>
                <w:webHidden/>
              </w:rPr>
              <w:fldChar w:fldCharType="separate"/>
            </w:r>
            <w:r w:rsidR="0037100D">
              <w:rPr>
                <w:rFonts w:ascii="Verdana" w:hAnsi="Verdana"/>
                <w:noProof/>
                <w:webHidden/>
              </w:rPr>
              <w:t>9</w:t>
            </w:r>
            <w:r w:rsidR="00CD09F9" w:rsidRPr="0037100D">
              <w:rPr>
                <w:rFonts w:ascii="Verdana" w:hAnsi="Verdana"/>
                <w:noProof/>
                <w:webHidden/>
              </w:rPr>
              <w:fldChar w:fldCharType="end"/>
            </w:r>
          </w:hyperlink>
        </w:p>
        <w:p w14:paraId="40F3BC16" w14:textId="4AC14662" w:rsidR="00CD09F9" w:rsidRPr="0037100D" w:rsidRDefault="00A55FB1">
          <w:pPr>
            <w:pStyle w:val="TOC2"/>
            <w:tabs>
              <w:tab w:val="right" w:leader="dot" w:pos="9016"/>
            </w:tabs>
            <w:rPr>
              <w:rFonts w:ascii="Verdana" w:eastAsiaTheme="minorEastAsia" w:hAnsi="Verdana" w:cstheme="minorBidi"/>
              <w:bCs w:val="0"/>
              <w:noProof/>
              <w:sz w:val="22"/>
              <w:szCs w:val="22"/>
              <w:lang w:eastAsia="en-GB"/>
            </w:rPr>
          </w:pPr>
          <w:hyperlink w:anchor="_Toc512867197" w:history="1">
            <w:r w:rsidR="00CD09F9" w:rsidRPr="0037100D">
              <w:rPr>
                <w:rStyle w:val="Hyperlink"/>
                <w:rFonts w:ascii="Verdana" w:eastAsiaTheme="majorEastAsia" w:hAnsi="Verdana"/>
                <w:noProof/>
                <w:sz w:val="22"/>
                <w:szCs w:val="22"/>
              </w:rPr>
              <w:t>3.1 GIS Layers</w:t>
            </w:r>
            <w:r w:rsidR="00CD09F9" w:rsidRPr="0037100D">
              <w:rPr>
                <w:rFonts w:ascii="Verdana" w:hAnsi="Verdana"/>
                <w:noProof/>
                <w:webHidden/>
                <w:sz w:val="22"/>
                <w:szCs w:val="22"/>
              </w:rPr>
              <w:tab/>
            </w:r>
            <w:r w:rsidR="00CD09F9" w:rsidRPr="0037100D">
              <w:rPr>
                <w:rFonts w:ascii="Verdana" w:hAnsi="Verdana"/>
                <w:noProof/>
                <w:webHidden/>
                <w:sz w:val="22"/>
                <w:szCs w:val="22"/>
              </w:rPr>
              <w:fldChar w:fldCharType="begin"/>
            </w:r>
            <w:r w:rsidR="00CD09F9" w:rsidRPr="0037100D">
              <w:rPr>
                <w:rFonts w:ascii="Verdana" w:hAnsi="Verdana"/>
                <w:noProof/>
                <w:webHidden/>
                <w:sz w:val="22"/>
                <w:szCs w:val="22"/>
              </w:rPr>
              <w:instrText xml:space="preserve"> PAGEREF _Toc512867197 \h </w:instrText>
            </w:r>
            <w:r w:rsidR="00CD09F9" w:rsidRPr="0037100D">
              <w:rPr>
                <w:rFonts w:ascii="Verdana" w:hAnsi="Verdana"/>
                <w:noProof/>
                <w:webHidden/>
                <w:sz w:val="22"/>
                <w:szCs w:val="22"/>
              </w:rPr>
            </w:r>
            <w:r w:rsidR="00CD09F9" w:rsidRPr="0037100D">
              <w:rPr>
                <w:rFonts w:ascii="Verdana" w:hAnsi="Verdana"/>
                <w:noProof/>
                <w:webHidden/>
                <w:sz w:val="22"/>
                <w:szCs w:val="22"/>
              </w:rPr>
              <w:fldChar w:fldCharType="separate"/>
            </w:r>
            <w:r w:rsidR="0037100D">
              <w:rPr>
                <w:rFonts w:ascii="Verdana" w:hAnsi="Verdana"/>
                <w:noProof/>
                <w:webHidden/>
                <w:sz w:val="22"/>
                <w:szCs w:val="22"/>
              </w:rPr>
              <w:t>9</w:t>
            </w:r>
            <w:r w:rsidR="00CD09F9" w:rsidRPr="0037100D">
              <w:rPr>
                <w:rFonts w:ascii="Verdana" w:hAnsi="Verdana"/>
                <w:noProof/>
                <w:webHidden/>
                <w:sz w:val="22"/>
                <w:szCs w:val="22"/>
              </w:rPr>
              <w:fldChar w:fldCharType="end"/>
            </w:r>
          </w:hyperlink>
        </w:p>
        <w:p w14:paraId="618373A1" w14:textId="3E75373E" w:rsidR="00CD09F9" w:rsidRPr="0037100D" w:rsidRDefault="00A55FB1">
          <w:pPr>
            <w:pStyle w:val="TOC2"/>
            <w:tabs>
              <w:tab w:val="right" w:leader="dot" w:pos="9016"/>
            </w:tabs>
            <w:rPr>
              <w:rFonts w:ascii="Verdana" w:eastAsiaTheme="minorEastAsia" w:hAnsi="Verdana" w:cstheme="minorBidi"/>
              <w:bCs w:val="0"/>
              <w:noProof/>
              <w:sz w:val="22"/>
              <w:szCs w:val="22"/>
              <w:lang w:eastAsia="en-GB"/>
            </w:rPr>
          </w:pPr>
          <w:hyperlink w:anchor="_Toc512867198" w:history="1">
            <w:r w:rsidR="00CD09F9" w:rsidRPr="0037100D">
              <w:rPr>
                <w:rStyle w:val="Hyperlink"/>
                <w:rFonts w:ascii="Verdana" w:eastAsiaTheme="majorEastAsia" w:hAnsi="Verdana"/>
                <w:noProof/>
                <w:sz w:val="22"/>
                <w:szCs w:val="22"/>
              </w:rPr>
              <w:t>3.2 Field observations</w:t>
            </w:r>
            <w:r w:rsidR="00CD09F9" w:rsidRPr="0037100D">
              <w:rPr>
                <w:rFonts w:ascii="Verdana" w:hAnsi="Verdana"/>
                <w:noProof/>
                <w:webHidden/>
                <w:sz w:val="22"/>
                <w:szCs w:val="22"/>
              </w:rPr>
              <w:tab/>
            </w:r>
            <w:r w:rsidR="00CD09F9" w:rsidRPr="0037100D">
              <w:rPr>
                <w:rFonts w:ascii="Verdana" w:hAnsi="Verdana"/>
                <w:noProof/>
                <w:webHidden/>
                <w:sz w:val="22"/>
                <w:szCs w:val="22"/>
              </w:rPr>
              <w:fldChar w:fldCharType="begin"/>
            </w:r>
            <w:r w:rsidR="00CD09F9" w:rsidRPr="0037100D">
              <w:rPr>
                <w:rFonts w:ascii="Verdana" w:hAnsi="Verdana"/>
                <w:noProof/>
                <w:webHidden/>
                <w:sz w:val="22"/>
                <w:szCs w:val="22"/>
              </w:rPr>
              <w:instrText xml:space="preserve"> PAGEREF _Toc512867198 \h </w:instrText>
            </w:r>
            <w:r w:rsidR="00CD09F9" w:rsidRPr="0037100D">
              <w:rPr>
                <w:rFonts w:ascii="Verdana" w:hAnsi="Verdana"/>
                <w:noProof/>
                <w:webHidden/>
                <w:sz w:val="22"/>
                <w:szCs w:val="22"/>
              </w:rPr>
            </w:r>
            <w:r w:rsidR="00CD09F9" w:rsidRPr="0037100D">
              <w:rPr>
                <w:rFonts w:ascii="Verdana" w:hAnsi="Verdana"/>
                <w:noProof/>
                <w:webHidden/>
                <w:sz w:val="22"/>
                <w:szCs w:val="22"/>
              </w:rPr>
              <w:fldChar w:fldCharType="separate"/>
            </w:r>
            <w:r w:rsidR="0037100D">
              <w:rPr>
                <w:rFonts w:ascii="Verdana" w:hAnsi="Verdana"/>
                <w:noProof/>
                <w:webHidden/>
                <w:sz w:val="22"/>
                <w:szCs w:val="22"/>
              </w:rPr>
              <w:t>11</w:t>
            </w:r>
            <w:r w:rsidR="00CD09F9" w:rsidRPr="0037100D">
              <w:rPr>
                <w:rFonts w:ascii="Verdana" w:hAnsi="Verdana"/>
                <w:noProof/>
                <w:webHidden/>
                <w:sz w:val="22"/>
                <w:szCs w:val="22"/>
              </w:rPr>
              <w:fldChar w:fldCharType="end"/>
            </w:r>
          </w:hyperlink>
        </w:p>
        <w:p w14:paraId="0AF7C6F3" w14:textId="62228C91" w:rsidR="00CD09F9" w:rsidRPr="0037100D" w:rsidRDefault="00A55FB1">
          <w:pPr>
            <w:pStyle w:val="TOC1"/>
            <w:tabs>
              <w:tab w:val="right" w:leader="dot" w:pos="9016"/>
            </w:tabs>
            <w:rPr>
              <w:rFonts w:ascii="Verdana" w:eastAsiaTheme="minorEastAsia" w:hAnsi="Verdana" w:cstheme="minorBidi"/>
              <w:noProof/>
              <w:lang w:val="en-GB" w:eastAsia="en-GB"/>
            </w:rPr>
          </w:pPr>
          <w:hyperlink w:anchor="_Toc512867199" w:history="1">
            <w:r w:rsidR="00CD09F9" w:rsidRPr="0037100D">
              <w:rPr>
                <w:rStyle w:val="Hyperlink"/>
                <w:rFonts w:ascii="Verdana" w:hAnsi="Verdana"/>
                <w:noProof/>
                <w:lang w:val="en-GB"/>
              </w:rPr>
              <w:t>4. Bottom sediment type classification and map</w:t>
            </w:r>
            <w:r w:rsidR="00CD09F9" w:rsidRPr="0037100D">
              <w:rPr>
                <w:rFonts w:ascii="Verdana" w:hAnsi="Verdana"/>
                <w:noProof/>
                <w:webHidden/>
              </w:rPr>
              <w:tab/>
            </w:r>
            <w:r w:rsidR="00CD09F9" w:rsidRPr="0037100D">
              <w:rPr>
                <w:rFonts w:ascii="Verdana" w:hAnsi="Verdana"/>
                <w:noProof/>
                <w:webHidden/>
              </w:rPr>
              <w:fldChar w:fldCharType="begin"/>
            </w:r>
            <w:r w:rsidR="00CD09F9" w:rsidRPr="0037100D">
              <w:rPr>
                <w:rFonts w:ascii="Verdana" w:hAnsi="Verdana"/>
                <w:noProof/>
                <w:webHidden/>
              </w:rPr>
              <w:instrText xml:space="preserve"> PAGEREF _Toc512867199 \h </w:instrText>
            </w:r>
            <w:r w:rsidR="00CD09F9" w:rsidRPr="0037100D">
              <w:rPr>
                <w:rFonts w:ascii="Verdana" w:hAnsi="Verdana"/>
                <w:noProof/>
                <w:webHidden/>
              </w:rPr>
            </w:r>
            <w:r w:rsidR="00CD09F9" w:rsidRPr="0037100D">
              <w:rPr>
                <w:rFonts w:ascii="Verdana" w:hAnsi="Verdana"/>
                <w:noProof/>
                <w:webHidden/>
              </w:rPr>
              <w:fldChar w:fldCharType="separate"/>
            </w:r>
            <w:r w:rsidR="0037100D">
              <w:rPr>
                <w:rFonts w:ascii="Verdana" w:hAnsi="Verdana"/>
                <w:noProof/>
                <w:webHidden/>
              </w:rPr>
              <w:t>13</w:t>
            </w:r>
            <w:r w:rsidR="00CD09F9" w:rsidRPr="0037100D">
              <w:rPr>
                <w:rFonts w:ascii="Verdana" w:hAnsi="Verdana"/>
                <w:noProof/>
                <w:webHidden/>
              </w:rPr>
              <w:fldChar w:fldCharType="end"/>
            </w:r>
          </w:hyperlink>
        </w:p>
        <w:p w14:paraId="5E981B7D" w14:textId="63ABCCD5" w:rsidR="00CD09F9" w:rsidRPr="0037100D" w:rsidRDefault="00A55FB1">
          <w:pPr>
            <w:pStyle w:val="TOC2"/>
            <w:tabs>
              <w:tab w:val="right" w:leader="dot" w:pos="9016"/>
            </w:tabs>
            <w:rPr>
              <w:rFonts w:ascii="Verdana" w:eastAsiaTheme="minorEastAsia" w:hAnsi="Verdana" w:cstheme="minorBidi"/>
              <w:bCs w:val="0"/>
              <w:noProof/>
              <w:sz w:val="22"/>
              <w:szCs w:val="22"/>
              <w:lang w:eastAsia="en-GB"/>
            </w:rPr>
          </w:pPr>
          <w:hyperlink w:anchor="_Toc512867200" w:history="1">
            <w:r w:rsidR="00CD09F9" w:rsidRPr="0037100D">
              <w:rPr>
                <w:rStyle w:val="Hyperlink"/>
                <w:rFonts w:ascii="Verdana" w:eastAsiaTheme="majorEastAsia" w:hAnsi="Verdana"/>
                <w:noProof/>
                <w:sz w:val="22"/>
                <w:szCs w:val="22"/>
              </w:rPr>
              <w:t>4.1 Sediment types</w:t>
            </w:r>
            <w:r w:rsidR="00CD09F9" w:rsidRPr="0037100D">
              <w:rPr>
                <w:rFonts w:ascii="Verdana" w:hAnsi="Verdana"/>
                <w:noProof/>
                <w:webHidden/>
                <w:sz w:val="22"/>
                <w:szCs w:val="22"/>
              </w:rPr>
              <w:tab/>
            </w:r>
            <w:r w:rsidR="00CD09F9" w:rsidRPr="0037100D">
              <w:rPr>
                <w:rFonts w:ascii="Verdana" w:hAnsi="Verdana"/>
                <w:noProof/>
                <w:webHidden/>
                <w:sz w:val="22"/>
                <w:szCs w:val="22"/>
              </w:rPr>
              <w:fldChar w:fldCharType="begin"/>
            </w:r>
            <w:r w:rsidR="00CD09F9" w:rsidRPr="0037100D">
              <w:rPr>
                <w:rFonts w:ascii="Verdana" w:hAnsi="Verdana"/>
                <w:noProof/>
                <w:webHidden/>
                <w:sz w:val="22"/>
                <w:szCs w:val="22"/>
              </w:rPr>
              <w:instrText xml:space="preserve"> PAGEREF _Toc512867200 \h </w:instrText>
            </w:r>
            <w:r w:rsidR="00CD09F9" w:rsidRPr="0037100D">
              <w:rPr>
                <w:rFonts w:ascii="Verdana" w:hAnsi="Verdana"/>
                <w:noProof/>
                <w:webHidden/>
                <w:sz w:val="22"/>
                <w:szCs w:val="22"/>
              </w:rPr>
            </w:r>
            <w:r w:rsidR="00CD09F9" w:rsidRPr="0037100D">
              <w:rPr>
                <w:rFonts w:ascii="Verdana" w:hAnsi="Verdana"/>
                <w:noProof/>
                <w:webHidden/>
                <w:sz w:val="22"/>
                <w:szCs w:val="22"/>
              </w:rPr>
              <w:fldChar w:fldCharType="separate"/>
            </w:r>
            <w:r w:rsidR="0037100D">
              <w:rPr>
                <w:rFonts w:ascii="Verdana" w:hAnsi="Verdana"/>
                <w:noProof/>
                <w:webHidden/>
                <w:sz w:val="22"/>
                <w:szCs w:val="22"/>
              </w:rPr>
              <w:t>13</w:t>
            </w:r>
            <w:r w:rsidR="00CD09F9" w:rsidRPr="0037100D">
              <w:rPr>
                <w:rFonts w:ascii="Verdana" w:hAnsi="Verdana"/>
                <w:noProof/>
                <w:webHidden/>
                <w:sz w:val="22"/>
                <w:szCs w:val="22"/>
              </w:rPr>
              <w:fldChar w:fldCharType="end"/>
            </w:r>
          </w:hyperlink>
        </w:p>
        <w:p w14:paraId="0C6361A1" w14:textId="222F1A5F" w:rsidR="00CD09F9" w:rsidRPr="0037100D" w:rsidRDefault="00A55FB1">
          <w:pPr>
            <w:pStyle w:val="TOC2"/>
            <w:tabs>
              <w:tab w:val="right" w:leader="dot" w:pos="9016"/>
            </w:tabs>
            <w:rPr>
              <w:rFonts w:ascii="Verdana" w:eastAsiaTheme="minorEastAsia" w:hAnsi="Verdana" w:cstheme="minorBidi"/>
              <w:bCs w:val="0"/>
              <w:noProof/>
              <w:sz w:val="22"/>
              <w:szCs w:val="22"/>
              <w:lang w:eastAsia="en-GB"/>
            </w:rPr>
          </w:pPr>
          <w:hyperlink w:anchor="_Toc512867201" w:history="1">
            <w:r w:rsidR="00CD09F9" w:rsidRPr="0037100D">
              <w:rPr>
                <w:rStyle w:val="Hyperlink"/>
                <w:rFonts w:ascii="Verdana" w:eastAsiaTheme="majorEastAsia" w:hAnsi="Verdana"/>
                <w:noProof/>
                <w:sz w:val="22"/>
                <w:szCs w:val="22"/>
              </w:rPr>
              <w:t>4.2 Sediment grain size fractions</w:t>
            </w:r>
            <w:r w:rsidR="00CD09F9" w:rsidRPr="0037100D">
              <w:rPr>
                <w:rFonts w:ascii="Verdana" w:hAnsi="Verdana"/>
                <w:noProof/>
                <w:webHidden/>
                <w:sz w:val="22"/>
                <w:szCs w:val="22"/>
              </w:rPr>
              <w:tab/>
            </w:r>
            <w:r w:rsidR="00CD09F9" w:rsidRPr="0037100D">
              <w:rPr>
                <w:rFonts w:ascii="Verdana" w:hAnsi="Verdana"/>
                <w:noProof/>
                <w:webHidden/>
                <w:sz w:val="22"/>
                <w:szCs w:val="22"/>
              </w:rPr>
              <w:fldChar w:fldCharType="begin"/>
            </w:r>
            <w:r w:rsidR="00CD09F9" w:rsidRPr="0037100D">
              <w:rPr>
                <w:rFonts w:ascii="Verdana" w:hAnsi="Verdana"/>
                <w:noProof/>
                <w:webHidden/>
                <w:sz w:val="22"/>
                <w:szCs w:val="22"/>
              </w:rPr>
              <w:instrText xml:space="preserve"> PAGEREF _Toc512867201 \h </w:instrText>
            </w:r>
            <w:r w:rsidR="00CD09F9" w:rsidRPr="0037100D">
              <w:rPr>
                <w:rFonts w:ascii="Verdana" w:hAnsi="Verdana"/>
                <w:noProof/>
                <w:webHidden/>
                <w:sz w:val="22"/>
                <w:szCs w:val="22"/>
              </w:rPr>
            </w:r>
            <w:r w:rsidR="00CD09F9" w:rsidRPr="0037100D">
              <w:rPr>
                <w:rFonts w:ascii="Verdana" w:hAnsi="Verdana"/>
                <w:noProof/>
                <w:webHidden/>
                <w:sz w:val="22"/>
                <w:szCs w:val="22"/>
              </w:rPr>
              <w:fldChar w:fldCharType="separate"/>
            </w:r>
            <w:r w:rsidR="0037100D">
              <w:rPr>
                <w:rFonts w:ascii="Verdana" w:hAnsi="Verdana"/>
                <w:noProof/>
                <w:webHidden/>
                <w:sz w:val="22"/>
                <w:szCs w:val="22"/>
              </w:rPr>
              <w:t>16</w:t>
            </w:r>
            <w:r w:rsidR="00CD09F9" w:rsidRPr="0037100D">
              <w:rPr>
                <w:rFonts w:ascii="Verdana" w:hAnsi="Verdana"/>
                <w:noProof/>
                <w:webHidden/>
                <w:sz w:val="22"/>
                <w:szCs w:val="22"/>
              </w:rPr>
              <w:fldChar w:fldCharType="end"/>
            </w:r>
          </w:hyperlink>
        </w:p>
        <w:p w14:paraId="5BA52172" w14:textId="39DA4ED5" w:rsidR="00CD09F9" w:rsidRPr="0037100D" w:rsidRDefault="00A55FB1">
          <w:pPr>
            <w:pStyle w:val="TOC1"/>
            <w:tabs>
              <w:tab w:val="right" w:leader="dot" w:pos="9016"/>
            </w:tabs>
            <w:rPr>
              <w:rFonts w:ascii="Verdana" w:eastAsiaTheme="minorEastAsia" w:hAnsi="Verdana" w:cstheme="minorBidi"/>
              <w:noProof/>
              <w:lang w:val="en-GB" w:eastAsia="en-GB"/>
            </w:rPr>
          </w:pPr>
          <w:hyperlink w:anchor="_Toc512867202" w:history="1">
            <w:r w:rsidR="00CD09F9" w:rsidRPr="0037100D">
              <w:rPr>
                <w:rStyle w:val="Hyperlink"/>
                <w:rFonts w:ascii="Verdana" w:hAnsi="Verdana"/>
                <w:noProof/>
                <w:lang w:val="en-GB"/>
              </w:rPr>
              <w:t>5. Habitats and species</w:t>
            </w:r>
            <w:r w:rsidR="00CD09F9" w:rsidRPr="0037100D">
              <w:rPr>
                <w:rFonts w:ascii="Verdana" w:hAnsi="Verdana"/>
                <w:noProof/>
                <w:webHidden/>
              </w:rPr>
              <w:tab/>
            </w:r>
            <w:r w:rsidR="00CD09F9" w:rsidRPr="0037100D">
              <w:rPr>
                <w:rFonts w:ascii="Verdana" w:hAnsi="Verdana"/>
                <w:noProof/>
                <w:webHidden/>
              </w:rPr>
              <w:fldChar w:fldCharType="begin"/>
            </w:r>
            <w:r w:rsidR="00CD09F9" w:rsidRPr="0037100D">
              <w:rPr>
                <w:rFonts w:ascii="Verdana" w:hAnsi="Verdana"/>
                <w:noProof/>
                <w:webHidden/>
              </w:rPr>
              <w:instrText xml:space="preserve"> PAGEREF _Toc512867202 \h </w:instrText>
            </w:r>
            <w:r w:rsidR="00CD09F9" w:rsidRPr="0037100D">
              <w:rPr>
                <w:rFonts w:ascii="Verdana" w:hAnsi="Verdana"/>
                <w:noProof/>
                <w:webHidden/>
              </w:rPr>
            </w:r>
            <w:r w:rsidR="00CD09F9" w:rsidRPr="0037100D">
              <w:rPr>
                <w:rFonts w:ascii="Verdana" w:hAnsi="Verdana"/>
                <w:noProof/>
                <w:webHidden/>
              </w:rPr>
              <w:fldChar w:fldCharType="separate"/>
            </w:r>
            <w:r w:rsidR="0037100D">
              <w:rPr>
                <w:rFonts w:ascii="Verdana" w:hAnsi="Verdana"/>
                <w:noProof/>
                <w:webHidden/>
              </w:rPr>
              <w:t>17</w:t>
            </w:r>
            <w:r w:rsidR="00CD09F9" w:rsidRPr="0037100D">
              <w:rPr>
                <w:rFonts w:ascii="Verdana" w:hAnsi="Verdana"/>
                <w:noProof/>
                <w:webHidden/>
              </w:rPr>
              <w:fldChar w:fldCharType="end"/>
            </w:r>
          </w:hyperlink>
        </w:p>
        <w:p w14:paraId="690108F3" w14:textId="3FB4BF3E" w:rsidR="00CD09F9" w:rsidRPr="0037100D" w:rsidRDefault="00A55FB1">
          <w:pPr>
            <w:pStyle w:val="TOC2"/>
            <w:tabs>
              <w:tab w:val="right" w:leader="dot" w:pos="9016"/>
            </w:tabs>
            <w:rPr>
              <w:rFonts w:ascii="Verdana" w:eastAsiaTheme="minorEastAsia" w:hAnsi="Verdana" w:cstheme="minorBidi"/>
              <w:bCs w:val="0"/>
              <w:noProof/>
              <w:sz w:val="22"/>
              <w:szCs w:val="22"/>
              <w:lang w:eastAsia="en-GB"/>
            </w:rPr>
          </w:pPr>
          <w:hyperlink w:anchor="_Toc512867203" w:history="1">
            <w:r w:rsidR="00CD09F9" w:rsidRPr="0037100D">
              <w:rPr>
                <w:rStyle w:val="Hyperlink"/>
                <w:rFonts w:ascii="Verdana" w:eastAsiaTheme="majorEastAsia" w:hAnsi="Verdana"/>
                <w:noProof/>
                <w:sz w:val="22"/>
                <w:szCs w:val="22"/>
              </w:rPr>
              <w:t>5.1 Basic benthic habitat map</w:t>
            </w:r>
            <w:r w:rsidR="00CD09F9" w:rsidRPr="0037100D">
              <w:rPr>
                <w:rFonts w:ascii="Verdana" w:hAnsi="Verdana"/>
                <w:noProof/>
                <w:webHidden/>
                <w:sz w:val="22"/>
                <w:szCs w:val="22"/>
              </w:rPr>
              <w:tab/>
            </w:r>
            <w:r w:rsidR="00CD09F9" w:rsidRPr="0037100D">
              <w:rPr>
                <w:rFonts w:ascii="Verdana" w:hAnsi="Verdana"/>
                <w:noProof/>
                <w:webHidden/>
                <w:sz w:val="22"/>
                <w:szCs w:val="22"/>
              </w:rPr>
              <w:fldChar w:fldCharType="begin"/>
            </w:r>
            <w:r w:rsidR="00CD09F9" w:rsidRPr="0037100D">
              <w:rPr>
                <w:rFonts w:ascii="Verdana" w:hAnsi="Verdana"/>
                <w:noProof/>
                <w:webHidden/>
                <w:sz w:val="22"/>
                <w:szCs w:val="22"/>
              </w:rPr>
              <w:instrText xml:space="preserve"> PAGEREF _Toc512867203 \h </w:instrText>
            </w:r>
            <w:r w:rsidR="00CD09F9" w:rsidRPr="0037100D">
              <w:rPr>
                <w:rFonts w:ascii="Verdana" w:hAnsi="Verdana"/>
                <w:noProof/>
                <w:webHidden/>
                <w:sz w:val="22"/>
                <w:szCs w:val="22"/>
              </w:rPr>
            </w:r>
            <w:r w:rsidR="00CD09F9" w:rsidRPr="0037100D">
              <w:rPr>
                <w:rFonts w:ascii="Verdana" w:hAnsi="Verdana"/>
                <w:noProof/>
                <w:webHidden/>
                <w:sz w:val="22"/>
                <w:szCs w:val="22"/>
              </w:rPr>
              <w:fldChar w:fldCharType="separate"/>
            </w:r>
            <w:r w:rsidR="0037100D">
              <w:rPr>
                <w:rFonts w:ascii="Verdana" w:hAnsi="Verdana"/>
                <w:noProof/>
                <w:webHidden/>
                <w:sz w:val="22"/>
                <w:szCs w:val="22"/>
              </w:rPr>
              <w:t>17</w:t>
            </w:r>
            <w:r w:rsidR="00CD09F9" w:rsidRPr="0037100D">
              <w:rPr>
                <w:rFonts w:ascii="Verdana" w:hAnsi="Verdana"/>
                <w:noProof/>
                <w:webHidden/>
                <w:sz w:val="22"/>
                <w:szCs w:val="22"/>
              </w:rPr>
              <w:fldChar w:fldCharType="end"/>
            </w:r>
          </w:hyperlink>
        </w:p>
        <w:p w14:paraId="67C139C0" w14:textId="30E959DF" w:rsidR="00CD09F9" w:rsidRPr="0037100D" w:rsidRDefault="00A55FB1">
          <w:pPr>
            <w:pStyle w:val="TOC2"/>
            <w:tabs>
              <w:tab w:val="right" w:leader="dot" w:pos="9016"/>
            </w:tabs>
            <w:rPr>
              <w:rFonts w:ascii="Verdana" w:eastAsiaTheme="minorEastAsia" w:hAnsi="Verdana" w:cstheme="minorBidi"/>
              <w:bCs w:val="0"/>
              <w:noProof/>
              <w:sz w:val="22"/>
              <w:szCs w:val="22"/>
              <w:lang w:eastAsia="en-GB"/>
            </w:rPr>
          </w:pPr>
          <w:hyperlink w:anchor="_Toc512867204" w:history="1">
            <w:r w:rsidR="00CD09F9" w:rsidRPr="0037100D">
              <w:rPr>
                <w:rStyle w:val="Hyperlink"/>
                <w:rFonts w:ascii="Verdana" w:eastAsiaTheme="majorEastAsia" w:hAnsi="Verdana"/>
                <w:noProof/>
                <w:sz w:val="22"/>
                <w:szCs w:val="22"/>
              </w:rPr>
              <w:t>5.2 Biological relevance of the habitat map</w:t>
            </w:r>
            <w:r w:rsidR="00CD09F9" w:rsidRPr="0037100D">
              <w:rPr>
                <w:rFonts w:ascii="Verdana" w:hAnsi="Verdana"/>
                <w:noProof/>
                <w:webHidden/>
                <w:sz w:val="22"/>
                <w:szCs w:val="22"/>
              </w:rPr>
              <w:tab/>
            </w:r>
            <w:r w:rsidR="00CD09F9" w:rsidRPr="0037100D">
              <w:rPr>
                <w:rFonts w:ascii="Verdana" w:hAnsi="Verdana"/>
                <w:noProof/>
                <w:webHidden/>
                <w:sz w:val="22"/>
                <w:szCs w:val="22"/>
              </w:rPr>
              <w:fldChar w:fldCharType="begin"/>
            </w:r>
            <w:r w:rsidR="00CD09F9" w:rsidRPr="0037100D">
              <w:rPr>
                <w:rFonts w:ascii="Verdana" w:hAnsi="Verdana"/>
                <w:noProof/>
                <w:webHidden/>
                <w:sz w:val="22"/>
                <w:szCs w:val="22"/>
              </w:rPr>
              <w:instrText xml:space="preserve"> PAGEREF _Toc512867204 \h </w:instrText>
            </w:r>
            <w:r w:rsidR="00CD09F9" w:rsidRPr="0037100D">
              <w:rPr>
                <w:rFonts w:ascii="Verdana" w:hAnsi="Verdana"/>
                <w:noProof/>
                <w:webHidden/>
                <w:sz w:val="22"/>
                <w:szCs w:val="22"/>
              </w:rPr>
            </w:r>
            <w:r w:rsidR="00CD09F9" w:rsidRPr="0037100D">
              <w:rPr>
                <w:rFonts w:ascii="Verdana" w:hAnsi="Verdana"/>
                <w:noProof/>
                <w:webHidden/>
                <w:sz w:val="22"/>
                <w:szCs w:val="22"/>
              </w:rPr>
              <w:fldChar w:fldCharType="separate"/>
            </w:r>
            <w:r w:rsidR="0037100D">
              <w:rPr>
                <w:rFonts w:ascii="Verdana" w:hAnsi="Verdana"/>
                <w:noProof/>
                <w:webHidden/>
                <w:sz w:val="22"/>
                <w:szCs w:val="22"/>
              </w:rPr>
              <w:t>19</w:t>
            </w:r>
            <w:r w:rsidR="00CD09F9" w:rsidRPr="0037100D">
              <w:rPr>
                <w:rFonts w:ascii="Verdana" w:hAnsi="Verdana"/>
                <w:noProof/>
                <w:webHidden/>
                <w:sz w:val="22"/>
                <w:szCs w:val="22"/>
              </w:rPr>
              <w:fldChar w:fldCharType="end"/>
            </w:r>
          </w:hyperlink>
        </w:p>
        <w:p w14:paraId="7AD17508" w14:textId="7E5209E8" w:rsidR="00CD09F9" w:rsidRPr="0037100D" w:rsidRDefault="00A55FB1">
          <w:pPr>
            <w:pStyle w:val="TOC2"/>
            <w:tabs>
              <w:tab w:val="right" w:leader="dot" w:pos="9016"/>
            </w:tabs>
            <w:rPr>
              <w:rFonts w:ascii="Verdana" w:eastAsiaTheme="minorEastAsia" w:hAnsi="Verdana" w:cstheme="minorBidi"/>
              <w:bCs w:val="0"/>
              <w:noProof/>
              <w:sz w:val="22"/>
              <w:szCs w:val="22"/>
              <w:lang w:eastAsia="en-GB"/>
            </w:rPr>
          </w:pPr>
          <w:hyperlink w:anchor="_Toc512867205" w:history="1">
            <w:r w:rsidR="00CD09F9" w:rsidRPr="0037100D">
              <w:rPr>
                <w:rStyle w:val="Hyperlink"/>
                <w:rFonts w:ascii="Verdana" w:eastAsiaTheme="majorEastAsia" w:hAnsi="Verdana"/>
                <w:noProof/>
                <w:sz w:val="22"/>
                <w:szCs w:val="22"/>
              </w:rPr>
              <w:t>5.3 Sensitive taxa</w:t>
            </w:r>
            <w:r w:rsidR="00CD09F9" w:rsidRPr="0037100D">
              <w:rPr>
                <w:rFonts w:ascii="Verdana" w:hAnsi="Verdana"/>
                <w:noProof/>
                <w:webHidden/>
                <w:sz w:val="22"/>
                <w:szCs w:val="22"/>
              </w:rPr>
              <w:tab/>
            </w:r>
            <w:r w:rsidR="00CD09F9" w:rsidRPr="0037100D">
              <w:rPr>
                <w:rFonts w:ascii="Verdana" w:hAnsi="Verdana"/>
                <w:noProof/>
                <w:webHidden/>
                <w:sz w:val="22"/>
                <w:szCs w:val="22"/>
              </w:rPr>
              <w:fldChar w:fldCharType="begin"/>
            </w:r>
            <w:r w:rsidR="00CD09F9" w:rsidRPr="0037100D">
              <w:rPr>
                <w:rFonts w:ascii="Verdana" w:hAnsi="Verdana"/>
                <w:noProof/>
                <w:webHidden/>
                <w:sz w:val="22"/>
                <w:szCs w:val="22"/>
              </w:rPr>
              <w:instrText xml:space="preserve"> PAGEREF _Toc512867205 \h </w:instrText>
            </w:r>
            <w:r w:rsidR="00CD09F9" w:rsidRPr="0037100D">
              <w:rPr>
                <w:rFonts w:ascii="Verdana" w:hAnsi="Verdana"/>
                <w:noProof/>
                <w:webHidden/>
                <w:sz w:val="22"/>
                <w:szCs w:val="22"/>
              </w:rPr>
            </w:r>
            <w:r w:rsidR="00CD09F9" w:rsidRPr="0037100D">
              <w:rPr>
                <w:rFonts w:ascii="Verdana" w:hAnsi="Verdana"/>
                <w:noProof/>
                <w:webHidden/>
                <w:sz w:val="22"/>
                <w:szCs w:val="22"/>
              </w:rPr>
              <w:fldChar w:fldCharType="separate"/>
            </w:r>
            <w:r w:rsidR="0037100D">
              <w:rPr>
                <w:rFonts w:ascii="Verdana" w:hAnsi="Verdana"/>
                <w:noProof/>
                <w:webHidden/>
                <w:sz w:val="22"/>
                <w:szCs w:val="22"/>
              </w:rPr>
              <w:t>23</w:t>
            </w:r>
            <w:r w:rsidR="00CD09F9" w:rsidRPr="0037100D">
              <w:rPr>
                <w:rFonts w:ascii="Verdana" w:hAnsi="Verdana"/>
                <w:noProof/>
                <w:webHidden/>
                <w:sz w:val="22"/>
                <w:szCs w:val="22"/>
              </w:rPr>
              <w:fldChar w:fldCharType="end"/>
            </w:r>
          </w:hyperlink>
        </w:p>
        <w:p w14:paraId="50839E87" w14:textId="0C27CCDB" w:rsidR="00CD09F9" w:rsidRPr="0037100D" w:rsidRDefault="00A55FB1">
          <w:pPr>
            <w:pStyle w:val="TOC1"/>
            <w:tabs>
              <w:tab w:val="right" w:leader="dot" w:pos="9016"/>
            </w:tabs>
            <w:rPr>
              <w:rFonts w:ascii="Verdana" w:eastAsiaTheme="minorEastAsia" w:hAnsi="Verdana" w:cstheme="minorBidi"/>
              <w:noProof/>
              <w:lang w:val="en-GB" w:eastAsia="en-GB"/>
            </w:rPr>
          </w:pPr>
          <w:hyperlink w:anchor="_Toc512867206" w:history="1">
            <w:r w:rsidR="00CD09F9" w:rsidRPr="0037100D">
              <w:rPr>
                <w:rStyle w:val="Hyperlink"/>
                <w:rFonts w:ascii="Verdana" w:hAnsi="Verdana"/>
                <w:noProof/>
                <w:lang w:val="en-GB"/>
              </w:rPr>
              <w:t>6. Seabob fishery impact on habitats</w:t>
            </w:r>
            <w:r w:rsidR="00CD09F9" w:rsidRPr="0037100D">
              <w:rPr>
                <w:rFonts w:ascii="Verdana" w:hAnsi="Verdana"/>
                <w:noProof/>
                <w:webHidden/>
              </w:rPr>
              <w:tab/>
            </w:r>
            <w:r w:rsidR="00CD09F9" w:rsidRPr="0037100D">
              <w:rPr>
                <w:rFonts w:ascii="Verdana" w:hAnsi="Verdana"/>
                <w:noProof/>
                <w:webHidden/>
              </w:rPr>
              <w:fldChar w:fldCharType="begin"/>
            </w:r>
            <w:r w:rsidR="00CD09F9" w:rsidRPr="0037100D">
              <w:rPr>
                <w:rFonts w:ascii="Verdana" w:hAnsi="Verdana"/>
                <w:noProof/>
                <w:webHidden/>
              </w:rPr>
              <w:instrText xml:space="preserve"> PAGEREF _Toc512867206 \h </w:instrText>
            </w:r>
            <w:r w:rsidR="00CD09F9" w:rsidRPr="0037100D">
              <w:rPr>
                <w:rFonts w:ascii="Verdana" w:hAnsi="Verdana"/>
                <w:noProof/>
                <w:webHidden/>
              </w:rPr>
            </w:r>
            <w:r w:rsidR="00CD09F9" w:rsidRPr="0037100D">
              <w:rPr>
                <w:rFonts w:ascii="Verdana" w:hAnsi="Verdana"/>
                <w:noProof/>
                <w:webHidden/>
              </w:rPr>
              <w:fldChar w:fldCharType="separate"/>
            </w:r>
            <w:r w:rsidR="0037100D">
              <w:rPr>
                <w:rFonts w:ascii="Verdana" w:hAnsi="Verdana"/>
                <w:noProof/>
                <w:webHidden/>
              </w:rPr>
              <w:t>26</w:t>
            </w:r>
            <w:r w:rsidR="00CD09F9" w:rsidRPr="0037100D">
              <w:rPr>
                <w:rFonts w:ascii="Verdana" w:hAnsi="Verdana"/>
                <w:noProof/>
                <w:webHidden/>
              </w:rPr>
              <w:fldChar w:fldCharType="end"/>
            </w:r>
          </w:hyperlink>
        </w:p>
        <w:p w14:paraId="64658D2A" w14:textId="4FB775AB" w:rsidR="00CD09F9" w:rsidRPr="0037100D" w:rsidRDefault="00A55FB1">
          <w:pPr>
            <w:pStyle w:val="TOC2"/>
            <w:tabs>
              <w:tab w:val="right" w:leader="dot" w:pos="9016"/>
            </w:tabs>
            <w:rPr>
              <w:rFonts w:ascii="Verdana" w:eastAsiaTheme="minorEastAsia" w:hAnsi="Verdana" w:cstheme="minorBidi"/>
              <w:bCs w:val="0"/>
              <w:noProof/>
              <w:sz w:val="22"/>
              <w:szCs w:val="22"/>
              <w:lang w:eastAsia="en-GB"/>
            </w:rPr>
          </w:pPr>
          <w:hyperlink w:anchor="_Toc512867207" w:history="1">
            <w:r w:rsidR="00CD09F9" w:rsidRPr="0037100D">
              <w:rPr>
                <w:rStyle w:val="Hyperlink"/>
                <w:rFonts w:ascii="Verdana" w:eastAsiaTheme="majorEastAsia" w:hAnsi="Verdana"/>
                <w:noProof/>
                <w:sz w:val="22"/>
                <w:szCs w:val="22"/>
              </w:rPr>
              <w:t>6.1 Distribution of fishing activity</w:t>
            </w:r>
            <w:r w:rsidR="00CD09F9" w:rsidRPr="0037100D">
              <w:rPr>
                <w:rFonts w:ascii="Verdana" w:hAnsi="Verdana"/>
                <w:noProof/>
                <w:webHidden/>
                <w:sz w:val="22"/>
                <w:szCs w:val="22"/>
              </w:rPr>
              <w:tab/>
            </w:r>
            <w:r w:rsidR="00CD09F9" w:rsidRPr="0037100D">
              <w:rPr>
                <w:rFonts w:ascii="Verdana" w:hAnsi="Verdana"/>
                <w:noProof/>
                <w:webHidden/>
                <w:sz w:val="22"/>
                <w:szCs w:val="22"/>
              </w:rPr>
              <w:fldChar w:fldCharType="begin"/>
            </w:r>
            <w:r w:rsidR="00CD09F9" w:rsidRPr="0037100D">
              <w:rPr>
                <w:rFonts w:ascii="Verdana" w:hAnsi="Verdana"/>
                <w:noProof/>
                <w:webHidden/>
                <w:sz w:val="22"/>
                <w:szCs w:val="22"/>
              </w:rPr>
              <w:instrText xml:space="preserve"> PAGEREF _Toc512867207 \h </w:instrText>
            </w:r>
            <w:r w:rsidR="00CD09F9" w:rsidRPr="0037100D">
              <w:rPr>
                <w:rFonts w:ascii="Verdana" w:hAnsi="Verdana"/>
                <w:noProof/>
                <w:webHidden/>
                <w:sz w:val="22"/>
                <w:szCs w:val="22"/>
              </w:rPr>
            </w:r>
            <w:r w:rsidR="00CD09F9" w:rsidRPr="0037100D">
              <w:rPr>
                <w:rFonts w:ascii="Verdana" w:hAnsi="Verdana"/>
                <w:noProof/>
                <w:webHidden/>
                <w:sz w:val="22"/>
                <w:szCs w:val="22"/>
              </w:rPr>
              <w:fldChar w:fldCharType="separate"/>
            </w:r>
            <w:r w:rsidR="0037100D">
              <w:rPr>
                <w:rFonts w:ascii="Verdana" w:hAnsi="Verdana"/>
                <w:noProof/>
                <w:webHidden/>
                <w:sz w:val="22"/>
                <w:szCs w:val="22"/>
              </w:rPr>
              <w:t>26</w:t>
            </w:r>
            <w:r w:rsidR="00CD09F9" w:rsidRPr="0037100D">
              <w:rPr>
                <w:rFonts w:ascii="Verdana" w:hAnsi="Verdana"/>
                <w:noProof/>
                <w:webHidden/>
                <w:sz w:val="22"/>
                <w:szCs w:val="22"/>
              </w:rPr>
              <w:fldChar w:fldCharType="end"/>
            </w:r>
          </w:hyperlink>
        </w:p>
        <w:p w14:paraId="26E56238" w14:textId="73A1AB90" w:rsidR="00CD09F9" w:rsidRPr="0037100D" w:rsidRDefault="00A55FB1">
          <w:pPr>
            <w:pStyle w:val="TOC2"/>
            <w:tabs>
              <w:tab w:val="right" w:leader="dot" w:pos="9016"/>
            </w:tabs>
            <w:rPr>
              <w:rFonts w:ascii="Verdana" w:eastAsiaTheme="minorEastAsia" w:hAnsi="Verdana" w:cstheme="minorBidi"/>
              <w:bCs w:val="0"/>
              <w:noProof/>
              <w:sz w:val="22"/>
              <w:szCs w:val="22"/>
              <w:lang w:eastAsia="en-GB"/>
            </w:rPr>
          </w:pPr>
          <w:hyperlink w:anchor="_Toc512867208" w:history="1">
            <w:r w:rsidR="00CD09F9" w:rsidRPr="0037100D">
              <w:rPr>
                <w:rStyle w:val="Hyperlink"/>
                <w:rFonts w:ascii="Verdana" w:eastAsiaTheme="majorEastAsia" w:hAnsi="Verdana"/>
                <w:noProof/>
                <w:sz w:val="22"/>
                <w:szCs w:val="22"/>
              </w:rPr>
              <w:t>6.2 Area of habitat types fished</w:t>
            </w:r>
            <w:r w:rsidR="00CD09F9" w:rsidRPr="0037100D">
              <w:rPr>
                <w:rFonts w:ascii="Verdana" w:hAnsi="Verdana"/>
                <w:noProof/>
                <w:webHidden/>
                <w:sz w:val="22"/>
                <w:szCs w:val="22"/>
              </w:rPr>
              <w:tab/>
            </w:r>
            <w:r w:rsidR="00CD09F9" w:rsidRPr="0037100D">
              <w:rPr>
                <w:rFonts w:ascii="Verdana" w:hAnsi="Verdana"/>
                <w:noProof/>
                <w:webHidden/>
                <w:sz w:val="22"/>
                <w:szCs w:val="22"/>
              </w:rPr>
              <w:fldChar w:fldCharType="begin"/>
            </w:r>
            <w:r w:rsidR="00CD09F9" w:rsidRPr="0037100D">
              <w:rPr>
                <w:rFonts w:ascii="Verdana" w:hAnsi="Verdana"/>
                <w:noProof/>
                <w:webHidden/>
                <w:sz w:val="22"/>
                <w:szCs w:val="22"/>
              </w:rPr>
              <w:instrText xml:space="preserve"> PAGEREF _Toc512867208 \h </w:instrText>
            </w:r>
            <w:r w:rsidR="00CD09F9" w:rsidRPr="0037100D">
              <w:rPr>
                <w:rFonts w:ascii="Verdana" w:hAnsi="Verdana"/>
                <w:noProof/>
                <w:webHidden/>
                <w:sz w:val="22"/>
                <w:szCs w:val="22"/>
              </w:rPr>
            </w:r>
            <w:r w:rsidR="00CD09F9" w:rsidRPr="0037100D">
              <w:rPr>
                <w:rFonts w:ascii="Verdana" w:hAnsi="Verdana"/>
                <w:noProof/>
                <w:webHidden/>
                <w:sz w:val="22"/>
                <w:szCs w:val="22"/>
              </w:rPr>
              <w:fldChar w:fldCharType="separate"/>
            </w:r>
            <w:r w:rsidR="0037100D">
              <w:rPr>
                <w:rFonts w:ascii="Verdana" w:hAnsi="Verdana"/>
                <w:noProof/>
                <w:webHidden/>
                <w:sz w:val="22"/>
                <w:szCs w:val="22"/>
              </w:rPr>
              <w:t>27</w:t>
            </w:r>
            <w:r w:rsidR="00CD09F9" w:rsidRPr="0037100D">
              <w:rPr>
                <w:rFonts w:ascii="Verdana" w:hAnsi="Verdana"/>
                <w:noProof/>
                <w:webHidden/>
                <w:sz w:val="22"/>
                <w:szCs w:val="22"/>
              </w:rPr>
              <w:fldChar w:fldCharType="end"/>
            </w:r>
          </w:hyperlink>
        </w:p>
        <w:p w14:paraId="48F5CFA4" w14:textId="3BE77628" w:rsidR="00CD09F9" w:rsidRPr="0037100D" w:rsidRDefault="00A55FB1">
          <w:pPr>
            <w:pStyle w:val="TOC2"/>
            <w:tabs>
              <w:tab w:val="right" w:leader="dot" w:pos="9016"/>
            </w:tabs>
            <w:rPr>
              <w:rFonts w:ascii="Verdana" w:eastAsiaTheme="minorEastAsia" w:hAnsi="Verdana" w:cstheme="minorBidi"/>
              <w:bCs w:val="0"/>
              <w:noProof/>
              <w:sz w:val="22"/>
              <w:szCs w:val="22"/>
              <w:lang w:eastAsia="en-GB"/>
            </w:rPr>
          </w:pPr>
          <w:hyperlink w:anchor="_Toc512867209" w:history="1">
            <w:r w:rsidR="00CD09F9" w:rsidRPr="0037100D">
              <w:rPr>
                <w:rStyle w:val="Hyperlink"/>
                <w:rFonts w:ascii="Verdana" w:eastAsiaTheme="majorEastAsia" w:hAnsi="Verdana"/>
                <w:noProof/>
                <w:sz w:val="22"/>
                <w:szCs w:val="22"/>
              </w:rPr>
              <w:t>6.3 Sensitive taxa and the fishing footprint</w:t>
            </w:r>
            <w:r w:rsidR="00CD09F9" w:rsidRPr="0037100D">
              <w:rPr>
                <w:rFonts w:ascii="Verdana" w:hAnsi="Verdana"/>
                <w:noProof/>
                <w:webHidden/>
                <w:sz w:val="22"/>
                <w:szCs w:val="22"/>
              </w:rPr>
              <w:tab/>
            </w:r>
            <w:r w:rsidR="00CD09F9" w:rsidRPr="0037100D">
              <w:rPr>
                <w:rFonts w:ascii="Verdana" w:hAnsi="Verdana"/>
                <w:noProof/>
                <w:webHidden/>
                <w:sz w:val="22"/>
                <w:szCs w:val="22"/>
              </w:rPr>
              <w:fldChar w:fldCharType="begin"/>
            </w:r>
            <w:r w:rsidR="00CD09F9" w:rsidRPr="0037100D">
              <w:rPr>
                <w:rFonts w:ascii="Verdana" w:hAnsi="Verdana"/>
                <w:noProof/>
                <w:webHidden/>
                <w:sz w:val="22"/>
                <w:szCs w:val="22"/>
              </w:rPr>
              <w:instrText xml:space="preserve"> PAGEREF _Toc512867209 \h </w:instrText>
            </w:r>
            <w:r w:rsidR="00CD09F9" w:rsidRPr="0037100D">
              <w:rPr>
                <w:rFonts w:ascii="Verdana" w:hAnsi="Verdana"/>
                <w:noProof/>
                <w:webHidden/>
                <w:sz w:val="22"/>
                <w:szCs w:val="22"/>
              </w:rPr>
            </w:r>
            <w:r w:rsidR="00CD09F9" w:rsidRPr="0037100D">
              <w:rPr>
                <w:rFonts w:ascii="Verdana" w:hAnsi="Verdana"/>
                <w:noProof/>
                <w:webHidden/>
                <w:sz w:val="22"/>
                <w:szCs w:val="22"/>
              </w:rPr>
              <w:fldChar w:fldCharType="separate"/>
            </w:r>
            <w:r w:rsidR="0037100D">
              <w:rPr>
                <w:rFonts w:ascii="Verdana" w:hAnsi="Verdana"/>
                <w:noProof/>
                <w:webHidden/>
                <w:sz w:val="22"/>
                <w:szCs w:val="22"/>
              </w:rPr>
              <w:t>28</w:t>
            </w:r>
            <w:r w:rsidR="00CD09F9" w:rsidRPr="0037100D">
              <w:rPr>
                <w:rFonts w:ascii="Verdana" w:hAnsi="Verdana"/>
                <w:noProof/>
                <w:webHidden/>
                <w:sz w:val="22"/>
                <w:szCs w:val="22"/>
              </w:rPr>
              <w:fldChar w:fldCharType="end"/>
            </w:r>
          </w:hyperlink>
        </w:p>
        <w:p w14:paraId="192BA37E" w14:textId="3C0F9F48" w:rsidR="00CD09F9" w:rsidRPr="0037100D" w:rsidRDefault="00A55FB1">
          <w:pPr>
            <w:pStyle w:val="TOC1"/>
            <w:tabs>
              <w:tab w:val="right" w:leader="dot" w:pos="9016"/>
            </w:tabs>
            <w:rPr>
              <w:rFonts w:ascii="Verdana" w:eastAsiaTheme="minorEastAsia" w:hAnsi="Verdana" w:cstheme="minorBidi"/>
              <w:noProof/>
              <w:lang w:val="en-GB" w:eastAsia="en-GB"/>
            </w:rPr>
          </w:pPr>
          <w:hyperlink w:anchor="_Toc512867210" w:history="1">
            <w:r w:rsidR="00CD09F9" w:rsidRPr="0037100D">
              <w:rPr>
                <w:rStyle w:val="Hyperlink"/>
                <w:rFonts w:ascii="Verdana" w:hAnsi="Verdana"/>
                <w:noProof/>
                <w:lang w:val="en-GB"/>
              </w:rPr>
              <w:t>7. Next steps</w:t>
            </w:r>
            <w:r w:rsidR="00CD09F9" w:rsidRPr="0037100D">
              <w:rPr>
                <w:rFonts w:ascii="Verdana" w:hAnsi="Verdana"/>
                <w:noProof/>
                <w:webHidden/>
              </w:rPr>
              <w:tab/>
            </w:r>
            <w:r w:rsidR="00CD09F9" w:rsidRPr="0037100D">
              <w:rPr>
                <w:rFonts w:ascii="Verdana" w:hAnsi="Verdana"/>
                <w:noProof/>
                <w:webHidden/>
              </w:rPr>
              <w:fldChar w:fldCharType="begin"/>
            </w:r>
            <w:r w:rsidR="00CD09F9" w:rsidRPr="0037100D">
              <w:rPr>
                <w:rFonts w:ascii="Verdana" w:hAnsi="Verdana"/>
                <w:noProof/>
                <w:webHidden/>
              </w:rPr>
              <w:instrText xml:space="preserve"> PAGEREF _Toc512867210 \h </w:instrText>
            </w:r>
            <w:r w:rsidR="00CD09F9" w:rsidRPr="0037100D">
              <w:rPr>
                <w:rFonts w:ascii="Verdana" w:hAnsi="Verdana"/>
                <w:noProof/>
                <w:webHidden/>
              </w:rPr>
            </w:r>
            <w:r w:rsidR="00CD09F9" w:rsidRPr="0037100D">
              <w:rPr>
                <w:rFonts w:ascii="Verdana" w:hAnsi="Verdana"/>
                <w:noProof/>
                <w:webHidden/>
              </w:rPr>
              <w:fldChar w:fldCharType="separate"/>
            </w:r>
            <w:r w:rsidR="0037100D">
              <w:rPr>
                <w:rFonts w:ascii="Verdana" w:hAnsi="Verdana"/>
                <w:noProof/>
                <w:webHidden/>
              </w:rPr>
              <w:t>28</w:t>
            </w:r>
            <w:r w:rsidR="00CD09F9" w:rsidRPr="0037100D">
              <w:rPr>
                <w:rFonts w:ascii="Verdana" w:hAnsi="Verdana"/>
                <w:noProof/>
                <w:webHidden/>
              </w:rPr>
              <w:fldChar w:fldCharType="end"/>
            </w:r>
          </w:hyperlink>
        </w:p>
        <w:p w14:paraId="3A2BD53E" w14:textId="6D4E8318" w:rsidR="00CD09F9" w:rsidRPr="0037100D" w:rsidRDefault="00A55FB1">
          <w:pPr>
            <w:pStyle w:val="TOC1"/>
            <w:tabs>
              <w:tab w:val="right" w:leader="dot" w:pos="9016"/>
            </w:tabs>
            <w:rPr>
              <w:rFonts w:ascii="Verdana" w:eastAsiaTheme="minorEastAsia" w:hAnsi="Verdana" w:cstheme="minorBidi"/>
              <w:noProof/>
              <w:lang w:val="en-GB" w:eastAsia="en-GB"/>
            </w:rPr>
          </w:pPr>
          <w:hyperlink w:anchor="_Toc512867211" w:history="1">
            <w:r w:rsidR="00CD09F9" w:rsidRPr="0037100D">
              <w:rPr>
                <w:rStyle w:val="Hyperlink"/>
                <w:rFonts w:ascii="Verdana" w:hAnsi="Verdana"/>
                <w:noProof/>
                <w:lang w:val="en-GB"/>
              </w:rPr>
              <w:t>References</w:t>
            </w:r>
            <w:r w:rsidR="00CD09F9" w:rsidRPr="0037100D">
              <w:rPr>
                <w:rFonts w:ascii="Verdana" w:hAnsi="Verdana"/>
                <w:noProof/>
                <w:webHidden/>
              </w:rPr>
              <w:tab/>
            </w:r>
            <w:r w:rsidR="00CD09F9" w:rsidRPr="0037100D">
              <w:rPr>
                <w:rFonts w:ascii="Verdana" w:hAnsi="Verdana"/>
                <w:noProof/>
                <w:webHidden/>
              </w:rPr>
              <w:fldChar w:fldCharType="begin"/>
            </w:r>
            <w:r w:rsidR="00CD09F9" w:rsidRPr="0037100D">
              <w:rPr>
                <w:rFonts w:ascii="Verdana" w:hAnsi="Verdana"/>
                <w:noProof/>
                <w:webHidden/>
              </w:rPr>
              <w:instrText xml:space="preserve"> PAGEREF _Toc512867211 \h </w:instrText>
            </w:r>
            <w:r w:rsidR="00CD09F9" w:rsidRPr="0037100D">
              <w:rPr>
                <w:rFonts w:ascii="Verdana" w:hAnsi="Verdana"/>
                <w:noProof/>
                <w:webHidden/>
              </w:rPr>
            </w:r>
            <w:r w:rsidR="00CD09F9" w:rsidRPr="0037100D">
              <w:rPr>
                <w:rFonts w:ascii="Verdana" w:hAnsi="Verdana"/>
                <w:noProof/>
                <w:webHidden/>
              </w:rPr>
              <w:fldChar w:fldCharType="separate"/>
            </w:r>
            <w:r w:rsidR="0037100D">
              <w:rPr>
                <w:rFonts w:ascii="Verdana" w:hAnsi="Verdana"/>
                <w:noProof/>
                <w:webHidden/>
              </w:rPr>
              <w:t>29</w:t>
            </w:r>
            <w:r w:rsidR="00CD09F9" w:rsidRPr="0037100D">
              <w:rPr>
                <w:rFonts w:ascii="Verdana" w:hAnsi="Verdana"/>
                <w:noProof/>
                <w:webHidden/>
              </w:rPr>
              <w:fldChar w:fldCharType="end"/>
            </w:r>
          </w:hyperlink>
        </w:p>
        <w:p w14:paraId="2AB0FC92" w14:textId="19EBCA81" w:rsidR="00CD09F9" w:rsidRDefault="00CD09F9">
          <w:r w:rsidRPr="0037100D">
            <w:rPr>
              <w:rFonts w:ascii="Verdana" w:hAnsi="Verdana"/>
              <w:b/>
              <w:bCs/>
              <w:noProof/>
            </w:rPr>
            <w:fldChar w:fldCharType="end"/>
          </w:r>
        </w:p>
      </w:sdtContent>
    </w:sdt>
    <w:p w14:paraId="1B6C3972" w14:textId="21E48D7A" w:rsidR="005C5190" w:rsidRPr="00E11FC2" w:rsidRDefault="005C5190" w:rsidP="007A31F7">
      <w:pPr>
        <w:rPr>
          <w:lang w:val="en-GB"/>
        </w:rPr>
      </w:pPr>
    </w:p>
    <w:p w14:paraId="58144A99" w14:textId="1D7EC226" w:rsidR="005C5190" w:rsidRPr="00E11FC2" w:rsidRDefault="005C5190" w:rsidP="007A31F7">
      <w:pPr>
        <w:rPr>
          <w:lang w:val="en-GB"/>
        </w:rPr>
      </w:pPr>
    </w:p>
    <w:p w14:paraId="22EAFB3B" w14:textId="2BB4CE97" w:rsidR="005C5190" w:rsidRPr="00E11FC2" w:rsidRDefault="005C5190" w:rsidP="007A31F7">
      <w:pPr>
        <w:rPr>
          <w:lang w:val="en-GB"/>
        </w:rPr>
      </w:pPr>
    </w:p>
    <w:p w14:paraId="52664D9F" w14:textId="39BCB3A4" w:rsidR="005C5190" w:rsidRPr="00E11FC2" w:rsidRDefault="005C5190" w:rsidP="007A31F7">
      <w:pPr>
        <w:rPr>
          <w:lang w:val="en-GB"/>
        </w:rPr>
      </w:pPr>
    </w:p>
    <w:p w14:paraId="17445D1E" w14:textId="34B506C4" w:rsidR="005C5190" w:rsidRPr="00E11FC2" w:rsidRDefault="005C5190" w:rsidP="007A31F7">
      <w:pPr>
        <w:rPr>
          <w:lang w:val="en-GB"/>
        </w:rPr>
      </w:pPr>
    </w:p>
    <w:p w14:paraId="1FD14FE4" w14:textId="3BF2AAA1" w:rsidR="005C5190" w:rsidRPr="00E11FC2" w:rsidRDefault="005C5190" w:rsidP="007A31F7">
      <w:pPr>
        <w:rPr>
          <w:lang w:val="en-GB"/>
        </w:rPr>
      </w:pPr>
    </w:p>
    <w:p w14:paraId="6788C34B" w14:textId="04B9082A" w:rsidR="005C5190" w:rsidRPr="00E11FC2" w:rsidRDefault="005C5190" w:rsidP="007A31F7">
      <w:pPr>
        <w:rPr>
          <w:lang w:val="en-GB"/>
        </w:rPr>
      </w:pPr>
    </w:p>
    <w:p w14:paraId="497AE6A9" w14:textId="0AEFAC1A" w:rsidR="005C5190" w:rsidRPr="00E11FC2" w:rsidRDefault="005C5190" w:rsidP="007A31F7">
      <w:pPr>
        <w:rPr>
          <w:lang w:val="en-GB"/>
        </w:rPr>
      </w:pPr>
    </w:p>
    <w:p w14:paraId="27AA1898" w14:textId="437E4D12" w:rsidR="005C5190" w:rsidRPr="00E11FC2" w:rsidRDefault="005C5190" w:rsidP="007A31F7">
      <w:pPr>
        <w:rPr>
          <w:lang w:val="en-GB"/>
        </w:rPr>
      </w:pPr>
    </w:p>
    <w:p w14:paraId="5F5F7AD0" w14:textId="6CF75E25" w:rsidR="005C5190" w:rsidRPr="00E11FC2" w:rsidRDefault="005C5190" w:rsidP="007A31F7">
      <w:pPr>
        <w:rPr>
          <w:lang w:val="en-GB"/>
        </w:rPr>
      </w:pPr>
    </w:p>
    <w:p w14:paraId="68E39073" w14:textId="7D2971E7" w:rsidR="005C5190" w:rsidRPr="00E11FC2" w:rsidRDefault="005C5190" w:rsidP="007A31F7">
      <w:pPr>
        <w:rPr>
          <w:lang w:val="en-GB"/>
        </w:rPr>
      </w:pPr>
    </w:p>
    <w:p w14:paraId="3A039ADD" w14:textId="3758D226" w:rsidR="005C5190" w:rsidRPr="00E11FC2" w:rsidRDefault="005C5190" w:rsidP="007A31F7">
      <w:pPr>
        <w:rPr>
          <w:lang w:val="en-GB"/>
        </w:rPr>
      </w:pPr>
    </w:p>
    <w:p w14:paraId="6582C8AE" w14:textId="6559A2FC" w:rsidR="005C5190" w:rsidRPr="00E11FC2" w:rsidRDefault="005C5190" w:rsidP="007A31F7">
      <w:pPr>
        <w:rPr>
          <w:lang w:val="en-GB"/>
        </w:rPr>
      </w:pPr>
    </w:p>
    <w:p w14:paraId="3ACE8D57" w14:textId="21111CBF" w:rsidR="005C5190" w:rsidRPr="00E11FC2" w:rsidRDefault="005C5190" w:rsidP="007A31F7">
      <w:pPr>
        <w:rPr>
          <w:lang w:val="en-GB"/>
        </w:rPr>
      </w:pPr>
    </w:p>
    <w:p w14:paraId="28889292" w14:textId="1A6BB3F2" w:rsidR="005C5190" w:rsidRPr="00E11FC2" w:rsidRDefault="005C5190" w:rsidP="007A31F7">
      <w:pPr>
        <w:rPr>
          <w:lang w:val="en-GB"/>
        </w:rPr>
      </w:pPr>
    </w:p>
    <w:p w14:paraId="30E31AA4" w14:textId="1381C33F" w:rsidR="005C5190" w:rsidRPr="00E11FC2" w:rsidRDefault="005C5190" w:rsidP="007A31F7">
      <w:pPr>
        <w:rPr>
          <w:lang w:val="en-GB"/>
        </w:rPr>
      </w:pPr>
    </w:p>
    <w:p w14:paraId="742C0E2B" w14:textId="59286FFF" w:rsidR="005C5190" w:rsidRPr="00E11FC2" w:rsidRDefault="005C5190" w:rsidP="007A31F7">
      <w:pPr>
        <w:rPr>
          <w:lang w:val="en-GB"/>
        </w:rPr>
      </w:pPr>
    </w:p>
    <w:p w14:paraId="7F5D6485" w14:textId="3CE64F2F" w:rsidR="005C5190" w:rsidRPr="00E11FC2" w:rsidRDefault="005C5190" w:rsidP="007A31F7">
      <w:pPr>
        <w:rPr>
          <w:lang w:val="en-GB"/>
        </w:rPr>
      </w:pPr>
    </w:p>
    <w:p w14:paraId="6A788421" w14:textId="2C71DFD3" w:rsidR="005C5190" w:rsidRPr="00E11FC2" w:rsidRDefault="005C5190" w:rsidP="007A31F7">
      <w:pPr>
        <w:rPr>
          <w:lang w:val="en-GB"/>
        </w:rPr>
      </w:pPr>
    </w:p>
    <w:p w14:paraId="27A46278" w14:textId="68624DA3" w:rsidR="005C5190" w:rsidRPr="00E11FC2" w:rsidRDefault="005C5190" w:rsidP="007A31F7">
      <w:pPr>
        <w:rPr>
          <w:lang w:val="en-GB"/>
        </w:rPr>
      </w:pPr>
    </w:p>
    <w:p w14:paraId="1E496153" w14:textId="00277157" w:rsidR="005C5190" w:rsidRPr="00E11FC2" w:rsidRDefault="005C5190" w:rsidP="007A31F7">
      <w:pPr>
        <w:rPr>
          <w:lang w:val="en-GB"/>
        </w:rPr>
      </w:pPr>
    </w:p>
    <w:p w14:paraId="0433D553" w14:textId="538B85E7" w:rsidR="005C5190" w:rsidRPr="00E11FC2" w:rsidRDefault="005C5190" w:rsidP="007A31F7">
      <w:pPr>
        <w:rPr>
          <w:lang w:val="en-GB"/>
        </w:rPr>
      </w:pPr>
    </w:p>
    <w:p w14:paraId="2A9CD256" w14:textId="5D3DF1A6" w:rsidR="005C5190" w:rsidRPr="00E11FC2" w:rsidRDefault="005C5190" w:rsidP="007A31F7">
      <w:pPr>
        <w:rPr>
          <w:lang w:val="en-GB"/>
        </w:rPr>
      </w:pPr>
    </w:p>
    <w:p w14:paraId="2C6C674A" w14:textId="55C350A2" w:rsidR="005C5190" w:rsidRPr="00E11FC2" w:rsidRDefault="005C5190" w:rsidP="007A31F7">
      <w:pPr>
        <w:rPr>
          <w:lang w:val="en-GB"/>
        </w:rPr>
      </w:pPr>
    </w:p>
    <w:p w14:paraId="40F92D05" w14:textId="3240EE50" w:rsidR="005C5190" w:rsidRPr="00E11FC2" w:rsidRDefault="005C5190" w:rsidP="007A31F7">
      <w:pPr>
        <w:rPr>
          <w:lang w:val="en-GB"/>
        </w:rPr>
      </w:pPr>
    </w:p>
    <w:p w14:paraId="00033035" w14:textId="30330D20" w:rsidR="005C5190" w:rsidRPr="00E11FC2" w:rsidRDefault="005C5190" w:rsidP="007A31F7">
      <w:pPr>
        <w:rPr>
          <w:lang w:val="en-GB"/>
        </w:rPr>
      </w:pPr>
    </w:p>
    <w:p w14:paraId="1AA1C8CE" w14:textId="77777777" w:rsidR="005C5190" w:rsidRPr="00E11FC2" w:rsidRDefault="005C5190" w:rsidP="007A31F7">
      <w:pPr>
        <w:rPr>
          <w:lang w:val="en-GB"/>
        </w:rPr>
      </w:pPr>
    </w:p>
    <w:p w14:paraId="63E73871" w14:textId="386D2BFB" w:rsidR="007A31F7" w:rsidRPr="00E11FC2" w:rsidRDefault="007A31F7" w:rsidP="007A31F7">
      <w:pPr>
        <w:rPr>
          <w:lang w:val="en-GB"/>
        </w:rPr>
      </w:pPr>
    </w:p>
    <w:p w14:paraId="0FAED7FC" w14:textId="512865B0" w:rsidR="007A31F7" w:rsidRPr="00E11FC2" w:rsidRDefault="005C5190" w:rsidP="000215ED">
      <w:pPr>
        <w:pStyle w:val="Heading1"/>
        <w:rPr>
          <w:lang w:val="en-GB"/>
        </w:rPr>
      </w:pPr>
      <w:bookmarkStart w:id="2" w:name="_Toc512867194"/>
      <w:r w:rsidRPr="00E11FC2">
        <w:rPr>
          <w:lang w:val="en-GB"/>
        </w:rPr>
        <w:lastRenderedPageBreak/>
        <w:t xml:space="preserve">1. </w:t>
      </w:r>
      <w:r w:rsidR="007A31F7" w:rsidRPr="00E11FC2">
        <w:rPr>
          <w:lang w:val="en-GB"/>
        </w:rPr>
        <w:t>Scope</w:t>
      </w:r>
      <w:bookmarkEnd w:id="2"/>
    </w:p>
    <w:p w14:paraId="41A08D27" w14:textId="4F80E171" w:rsidR="007A31F7" w:rsidRPr="00E11FC2" w:rsidRDefault="007A31F7" w:rsidP="00890214">
      <w:pPr>
        <w:spacing w:before="120" w:line="360" w:lineRule="auto"/>
        <w:jc w:val="both"/>
        <w:rPr>
          <w:rFonts w:ascii="Verdana" w:hAnsi="Verdana"/>
          <w:sz w:val="20"/>
          <w:szCs w:val="20"/>
          <w:lang w:val="en-GB"/>
        </w:rPr>
      </w:pPr>
      <w:r w:rsidRPr="00E11FC2">
        <w:rPr>
          <w:rFonts w:ascii="Verdana" w:hAnsi="Verdana"/>
          <w:sz w:val="20"/>
          <w:szCs w:val="20"/>
          <w:lang w:val="en-GB"/>
        </w:rPr>
        <w:t>Seabob, a short-lived shallow water shrimp found in the western central Atlantic, is Guyana’s most valuable seafood export and ranks fifth among exports overall. Almost all seabob harvested by the industrial fishery is exported to the US with a value of ~ US$45 million annually. Increasingly, customers of Guyana’s seabob are demanding Marine Stewardship Council (MSC) certification. The MSC is an international non-profit organisation established to address the problem of unsustainable fishing and safeguard seafood supplies for the future. It runs a certification and eco-labelling program for wild-capture fisheries. For a fishery to attain MSC certification, it must meet the MSC Fisheries Standard, which is based upon the United Nations Food and Agriculture Organization (FAO) Code of Conduct for Responsible Fisheries.</w:t>
      </w:r>
    </w:p>
    <w:p w14:paraId="1E558BBD" w14:textId="77777777" w:rsidR="005C5190" w:rsidRPr="00E11FC2" w:rsidRDefault="005C5190" w:rsidP="005C5190">
      <w:pPr>
        <w:spacing w:line="360" w:lineRule="auto"/>
        <w:jc w:val="both"/>
        <w:rPr>
          <w:rFonts w:ascii="Verdana" w:hAnsi="Verdana"/>
          <w:sz w:val="20"/>
          <w:szCs w:val="20"/>
          <w:lang w:val="en-GB"/>
        </w:rPr>
      </w:pPr>
    </w:p>
    <w:p w14:paraId="4753EA42" w14:textId="52DE8369" w:rsidR="007A31F7" w:rsidRPr="00E11FC2" w:rsidRDefault="007A31F7" w:rsidP="005C5190">
      <w:pPr>
        <w:spacing w:line="360" w:lineRule="auto"/>
        <w:jc w:val="both"/>
        <w:rPr>
          <w:rFonts w:ascii="Verdana" w:hAnsi="Verdana"/>
          <w:sz w:val="20"/>
          <w:szCs w:val="20"/>
          <w:lang w:val="en-GB"/>
        </w:rPr>
      </w:pPr>
      <w:r w:rsidRPr="00E11FC2">
        <w:rPr>
          <w:rFonts w:ascii="Verdana" w:hAnsi="Verdana"/>
          <w:sz w:val="20"/>
          <w:szCs w:val="20"/>
          <w:lang w:val="en-GB"/>
        </w:rPr>
        <w:t>In Year I of the Commonwealth Marine Economies (CME) Programme, Cefas i) provided an expert external review of key documents required for MSC certification; ii) reviewed existing data for key by-catch species and habitats (for both by-catch species and seabob) and their suitability for stock assessment; and iii) provided general and specialist training to Fisheries Department personnel in stock assessment, habitat mapping and other key science areas in fisheries management. Building on this initial assessment, reviews and training, work in Year II focused on completing specific analyses and producing reports on stock assessment, habitat and ecosystem impacts, and training in the setting up and running of an observer programme. The Seabob Working Group (our main local stakeholder group/research partner) has indicated that it intends to include these in their application for MSC certification.</w:t>
      </w:r>
    </w:p>
    <w:p w14:paraId="3D64445D" w14:textId="77777777" w:rsidR="005C5190" w:rsidRPr="00E11FC2" w:rsidRDefault="005C5190" w:rsidP="005C5190">
      <w:pPr>
        <w:spacing w:line="360" w:lineRule="auto"/>
        <w:jc w:val="both"/>
        <w:rPr>
          <w:rFonts w:ascii="Verdana" w:hAnsi="Verdana"/>
          <w:sz w:val="20"/>
          <w:szCs w:val="20"/>
          <w:lang w:val="en-GB"/>
        </w:rPr>
      </w:pPr>
    </w:p>
    <w:p w14:paraId="794EBEB0" w14:textId="77777777" w:rsidR="007A31F7" w:rsidRPr="00E11FC2" w:rsidRDefault="007A31F7" w:rsidP="005C5190">
      <w:pPr>
        <w:spacing w:line="360" w:lineRule="auto"/>
        <w:jc w:val="both"/>
        <w:rPr>
          <w:rFonts w:ascii="Verdana" w:hAnsi="Verdana"/>
          <w:sz w:val="20"/>
          <w:szCs w:val="20"/>
          <w:lang w:val="en-GB"/>
        </w:rPr>
      </w:pPr>
      <w:r w:rsidRPr="00E11FC2">
        <w:rPr>
          <w:rFonts w:ascii="Verdana" w:hAnsi="Verdana"/>
          <w:sz w:val="20"/>
          <w:szCs w:val="20"/>
          <w:lang w:val="en-GB"/>
        </w:rPr>
        <w:t>The main objective of this work is to provide expert technical support to Guyana towards attaining MSC certification for the seabob trawl fishery and in the process build the Fisheries Department’s capacity for more efficient independent future progress on the ongoing fisheries improvement project (FIP) and in fisheries management.</w:t>
      </w:r>
    </w:p>
    <w:p w14:paraId="5CF66889" w14:textId="77777777" w:rsidR="007A31F7" w:rsidRPr="00E11FC2" w:rsidRDefault="007A31F7" w:rsidP="005C5190">
      <w:pPr>
        <w:spacing w:line="360" w:lineRule="auto"/>
        <w:jc w:val="both"/>
        <w:rPr>
          <w:rFonts w:ascii="Verdana" w:hAnsi="Verdana"/>
          <w:sz w:val="20"/>
          <w:szCs w:val="20"/>
          <w:lang w:val="en-GB"/>
        </w:rPr>
      </w:pPr>
      <w:r w:rsidRPr="00E11FC2">
        <w:rPr>
          <w:rFonts w:ascii="Verdana" w:hAnsi="Verdana"/>
          <w:sz w:val="20"/>
          <w:szCs w:val="20"/>
          <w:lang w:val="en-GB"/>
        </w:rPr>
        <w:t>Specifically, the project focuses on three main areas:</w:t>
      </w:r>
    </w:p>
    <w:p w14:paraId="20C63FA2" w14:textId="77777777" w:rsidR="005C5190" w:rsidRPr="00E11FC2" w:rsidRDefault="007A31F7" w:rsidP="005C5190">
      <w:pPr>
        <w:pStyle w:val="ListParagraph"/>
        <w:numPr>
          <w:ilvl w:val="0"/>
          <w:numId w:val="7"/>
        </w:numPr>
        <w:spacing w:line="360" w:lineRule="auto"/>
        <w:jc w:val="both"/>
        <w:rPr>
          <w:rFonts w:ascii="Verdana" w:hAnsi="Verdana"/>
          <w:sz w:val="20"/>
          <w:szCs w:val="20"/>
          <w:lang w:val="en-GB"/>
        </w:rPr>
      </w:pPr>
      <w:r w:rsidRPr="00E11FC2">
        <w:rPr>
          <w:rFonts w:ascii="Verdana" w:hAnsi="Verdana"/>
          <w:sz w:val="20"/>
          <w:szCs w:val="20"/>
          <w:lang w:val="en-GB"/>
        </w:rPr>
        <w:t xml:space="preserve">Ecosystems and habitat mapping. Technical support is being provided towards vessel monitoring system (VMS) data analysis and habitat mapping of seabed within the seabob trawl zone along with sampling of seabed communities and their structure in trawled and less trawled areas. </w:t>
      </w:r>
    </w:p>
    <w:p w14:paraId="5591F76A" w14:textId="77777777" w:rsidR="005C5190" w:rsidRPr="00E11FC2" w:rsidRDefault="007A31F7" w:rsidP="005C5190">
      <w:pPr>
        <w:pStyle w:val="ListParagraph"/>
        <w:numPr>
          <w:ilvl w:val="0"/>
          <w:numId w:val="7"/>
        </w:numPr>
        <w:spacing w:line="360" w:lineRule="auto"/>
        <w:jc w:val="both"/>
        <w:rPr>
          <w:rFonts w:ascii="Verdana" w:hAnsi="Verdana"/>
          <w:sz w:val="20"/>
          <w:szCs w:val="20"/>
          <w:lang w:val="en-GB"/>
        </w:rPr>
      </w:pPr>
      <w:r w:rsidRPr="00E11FC2">
        <w:rPr>
          <w:rFonts w:ascii="Verdana" w:hAnsi="Verdana"/>
          <w:sz w:val="20"/>
          <w:szCs w:val="20"/>
          <w:lang w:val="en-GB"/>
        </w:rPr>
        <w:t>Stock assessment. Length-based stock assessment (suitable for data poor stocks) is being carried out on the key bycatch species (Bangamary, Seatrout and Butterfish) using datasets that Cefas helped the Fisheries Department clean, sort and prepare last year.</w:t>
      </w:r>
    </w:p>
    <w:p w14:paraId="4F3D095C" w14:textId="2BAFBF40" w:rsidR="007A31F7" w:rsidRDefault="007A31F7" w:rsidP="005C5190">
      <w:pPr>
        <w:pStyle w:val="ListParagraph"/>
        <w:numPr>
          <w:ilvl w:val="0"/>
          <w:numId w:val="7"/>
        </w:numPr>
        <w:spacing w:line="360" w:lineRule="auto"/>
        <w:jc w:val="both"/>
        <w:rPr>
          <w:rFonts w:ascii="Verdana" w:hAnsi="Verdana"/>
          <w:sz w:val="20"/>
          <w:szCs w:val="20"/>
          <w:lang w:val="en-GB"/>
        </w:rPr>
      </w:pPr>
      <w:r w:rsidRPr="00E11FC2">
        <w:rPr>
          <w:rFonts w:ascii="Verdana" w:hAnsi="Verdana"/>
          <w:sz w:val="20"/>
          <w:szCs w:val="20"/>
          <w:lang w:val="en-GB"/>
        </w:rPr>
        <w:t xml:space="preserve">Observer programme. To support the Fisheries Department (FD) in Guyana develop </w:t>
      </w:r>
      <w:r w:rsidRPr="00E11FC2">
        <w:rPr>
          <w:rFonts w:ascii="Verdana" w:hAnsi="Verdana"/>
          <w:sz w:val="20"/>
          <w:szCs w:val="20"/>
          <w:lang w:val="en-GB"/>
        </w:rPr>
        <w:lastRenderedPageBreak/>
        <w:t>and run an observer programme for trawlers targeting seabob to demonstrate awareness of impacts of their fishery on ecosystems including levels of by-catch/discards. This information is needed to achieve MSC certification of the Industrial Seabob Fishery.</w:t>
      </w:r>
    </w:p>
    <w:p w14:paraId="70CA5624" w14:textId="77777777" w:rsidR="00CD09F9" w:rsidRPr="0037100D" w:rsidRDefault="00CD09F9" w:rsidP="0037100D">
      <w:pPr>
        <w:spacing w:line="360" w:lineRule="auto"/>
        <w:jc w:val="both"/>
        <w:rPr>
          <w:rFonts w:ascii="Verdana" w:hAnsi="Verdana"/>
          <w:sz w:val="20"/>
          <w:szCs w:val="20"/>
          <w:lang w:val="en-GB"/>
        </w:rPr>
      </w:pPr>
    </w:p>
    <w:p w14:paraId="5B52DFEC" w14:textId="4D491831" w:rsidR="007A31F7" w:rsidRPr="00E11FC2" w:rsidRDefault="00D16189" w:rsidP="000215ED">
      <w:pPr>
        <w:pStyle w:val="Heading1"/>
        <w:rPr>
          <w:lang w:val="en-GB"/>
        </w:rPr>
      </w:pPr>
      <w:bookmarkStart w:id="3" w:name="_Toc512867195"/>
      <w:r w:rsidRPr="00E11FC2">
        <w:rPr>
          <w:lang w:val="en-GB"/>
        </w:rPr>
        <w:t>2. T</w:t>
      </w:r>
      <w:r w:rsidR="007A31F7" w:rsidRPr="00E11FC2">
        <w:rPr>
          <w:lang w:val="en-GB"/>
        </w:rPr>
        <w:t>he Marine Stewardship Council (MSC) certification process</w:t>
      </w:r>
      <w:bookmarkEnd w:id="3"/>
    </w:p>
    <w:p w14:paraId="15653B67" w14:textId="77777777" w:rsidR="007A31F7" w:rsidRPr="00E11FC2" w:rsidRDefault="007A31F7" w:rsidP="00890214">
      <w:pPr>
        <w:widowControl/>
        <w:spacing w:before="120"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 xml:space="preserve">Ecolabels (seals of approval) are a growing feature of international fish trade and marketing.  They are recognised by consumers, producers and suppliers who use them to indicate that they are purchasing / selling a seafood product that originates from a sustainable source. A range of ecolabelling and certification schemes exists in the fisheries sector, with each scheme having its own criteria, assessment processes, levels of transparency and sponsors. For instance, the </w:t>
      </w:r>
    </w:p>
    <w:p w14:paraId="67A489A6" w14:textId="77777777" w:rsidR="007A31F7" w:rsidRPr="00E11FC2" w:rsidRDefault="007A31F7" w:rsidP="00D16189">
      <w:pPr>
        <w:widowControl/>
        <w:numPr>
          <w:ilvl w:val="0"/>
          <w:numId w:val="1"/>
        </w:numPr>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Dolphin Safe was developed by the Non-Governmental Organisation (NGO) Earth Island Institute in 1990 and is concerned mainly with Dolphin bycatch.</w:t>
      </w:r>
    </w:p>
    <w:p w14:paraId="2E419E17" w14:textId="77777777" w:rsidR="007A31F7" w:rsidRPr="00E11FC2" w:rsidRDefault="007A31F7" w:rsidP="00D16189">
      <w:pPr>
        <w:widowControl/>
        <w:numPr>
          <w:ilvl w:val="0"/>
          <w:numId w:val="1"/>
        </w:numPr>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Friend of the Sea (FoS), was also developed by the Earth Island Institute in 2006. It covers both wild and farmed fish and its criteria also include requirements related to carbon footprint and “social accountability”.</w:t>
      </w:r>
    </w:p>
    <w:p w14:paraId="265AAAB4" w14:textId="77777777" w:rsidR="007A31F7" w:rsidRPr="00E11FC2" w:rsidRDefault="007A31F7" w:rsidP="00D16189">
      <w:pPr>
        <w:widowControl/>
        <w:numPr>
          <w:ilvl w:val="0"/>
          <w:numId w:val="1"/>
        </w:numPr>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The MSC was set up by the World Wild Fund for Nature (WWF) and Unilever in 1997 but is independent of them now. The MSC is arguably the most comprehensive fisheries certification scheme in that it covers a range of species and deals with all aspects of the management of a fishery (Sainsbury, 2010). It is an international non-profit organisation established to address the problem of unsustainable fishing and safeguard seafood supplies for the future. For a fishery to attain MSC certification, it must meet the MSC Fisheries Standard which is based upon the Food and Agriculture Organization (FAO) Code of Conduct for Responsible Fisheries. The MSC Fisheries Standard has three core principles: sustainable fish stocks; minimising environmental impact; and effective management, (Table 1). MSC therefore, certifies the fishery as being both sustainable and sustainably managed.</w:t>
      </w:r>
    </w:p>
    <w:p w14:paraId="56719888" w14:textId="5EF58D0E" w:rsidR="00CD09F9" w:rsidRDefault="00CD09F9" w:rsidP="007A31F7">
      <w:pPr>
        <w:widowControl/>
        <w:jc w:val="both"/>
        <w:rPr>
          <w:rFonts w:ascii="Verdana" w:eastAsia="Times New Roman" w:hAnsi="Verdana" w:cs="Arial"/>
          <w:bCs/>
          <w:lang w:val="en-GB"/>
        </w:rPr>
      </w:pPr>
    </w:p>
    <w:p w14:paraId="0D314CF9" w14:textId="15814D2A" w:rsidR="00CD09F9" w:rsidRDefault="00CD09F9" w:rsidP="007A31F7">
      <w:pPr>
        <w:widowControl/>
        <w:jc w:val="both"/>
        <w:rPr>
          <w:rFonts w:ascii="Verdana" w:eastAsia="Times New Roman" w:hAnsi="Verdana" w:cs="Arial"/>
          <w:bCs/>
          <w:lang w:val="en-GB"/>
        </w:rPr>
      </w:pPr>
    </w:p>
    <w:p w14:paraId="1C79F0C5" w14:textId="0D166500" w:rsidR="0037100D" w:rsidRDefault="0037100D" w:rsidP="007A31F7">
      <w:pPr>
        <w:widowControl/>
        <w:jc w:val="both"/>
        <w:rPr>
          <w:rFonts w:ascii="Verdana" w:eastAsia="Times New Roman" w:hAnsi="Verdana" w:cs="Arial"/>
          <w:bCs/>
          <w:lang w:val="en-GB"/>
        </w:rPr>
      </w:pPr>
    </w:p>
    <w:p w14:paraId="2F2D63A7" w14:textId="2C71E79E" w:rsidR="0037100D" w:rsidRDefault="0037100D" w:rsidP="007A31F7">
      <w:pPr>
        <w:widowControl/>
        <w:jc w:val="both"/>
        <w:rPr>
          <w:rFonts w:ascii="Verdana" w:eastAsia="Times New Roman" w:hAnsi="Verdana" w:cs="Arial"/>
          <w:bCs/>
          <w:lang w:val="en-GB"/>
        </w:rPr>
      </w:pPr>
    </w:p>
    <w:p w14:paraId="28CF71A4" w14:textId="394760DE" w:rsidR="009F1190" w:rsidRDefault="009F1190" w:rsidP="007A31F7">
      <w:pPr>
        <w:widowControl/>
        <w:jc w:val="both"/>
        <w:rPr>
          <w:rFonts w:ascii="Verdana" w:eastAsia="Times New Roman" w:hAnsi="Verdana" w:cs="Arial"/>
          <w:bCs/>
          <w:lang w:val="en-GB"/>
        </w:rPr>
      </w:pPr>
    </w:p>
    <w:p w14:paraId="025BF8A6" w14:textId="1D5E9D2C" w:rsidR="009F1190" w:rsidRDefault="009F1190" w:rsidP="007A31F7">
      <w:pPr>
        <w:widowControl/>
        <w:jc w:val="both"/>
        <w:rPr>
          <w:rFonts w:ascii="Verdana" w:eastAsia="Times New Roman" w:hAnsi="Verdana" w:cs="Arial"/>
          <w:bCs/>
          <w:lang w:val="en-GB"/>
        </w:rPr>
      </w:pPr>
    </w:p>
    <w:p w14:paraId="51C0628C" w14:textId="5C91833A" w:rsidR="009F1190" w:rsidRDefault="009F1190" w:rsidP="007A31F7">
      <w:pPr>
        <w:widowControl/>
        <w:jc w:val="both"/>
        <w:rPr>
          <w:rFonts w:ascii="Verdana" w:eastAsia="Times New Roman" w:hAnsi="Verdana" w:cs="Arial"/>
          <w:bCs/>
          <w:lang w:val="en-GB"/>
        </w:rPr>
      </w:pPr>
    </w:p>
    <w:p w14:paraId="55643743" w14:textId="00A8F476" w:rsidR="009F1190" w:rsidRDefault="009F1190" w:rsidP="007A31F7">
      <w:pPr>
        <w:widowControl/>
        <w:jc w:val="both"/>
        <w:rPr>
          <w:rFonts w:ascii="Verdana" w:eastAsia="Times New Roman" w:hAnsi="Verdana" w:cs="Arial"/>
          <w:bCs/>
          <w:lang w:val="en-GB"/>
        </w:rPr>
      </w:pPr>
    </w:p>
    <w:p w14:paraId="6CB714A7" w14:textId="46A036F1" w:rsidR="009F1190" w:rsidRDefault="009F1190" w:rsidP="007A31F7">
      <w:pPr>
        <w:widowControl/>
        <w:jc w:val="both"/>
        <w:rPr>
          <w:rFonts w:ascii="Verdana" w:eastAsia="Times New Roman" w:hAnsi="Verdana" w:cs="Arial"/>
          <w:bCs/>
          <w:lang w:val="en-GB"/>
        </w:rPr>
      </w:pPr>
    </w:p>
    <w:p w14:paraId="0B688CB4" w14:textId="77777777" w:rsidR="009F1190" w:rsidRDefault="009F1190" w:rsidP="007A31F7">
      <w:pPr>
        <w:widowControl/>
        <w:jc w:val="both"/>
        <w:rPr>
          <w:rFonts w:ascii="Verdana" w:eastAsia="Times New Roman" w:hAnsi="Verdana" w:cs="Arial"/>
          <w:bCs/>
          <w:lang w:val="en-GB"/>
        </w:rPr>
      </w:pPr>
    </w:p>
    <w:p w14:paraId="7FA5F5DD" w14:textId="1CD60FE8" w:rsidR="0037100D" w:rsidRDefault="0037100D" w:rsidP="007A31F7">
      <w:pPr>
        <w:widowControl/>
        <w:jc w:val="both"/>
        <w:rPr>
          <w:rFonts w:ascii="Verdana" w:eastAsia="Times New Roman" w:hAnsi="Verdana" w:cs="Arial"/>
          <w:bCs/>
          <w:lang w:val="en-GB"/>
        </w:rPr>
      </w:pPr>
    </w:p>
    <w:p w14:paraId="5B2CEB0E" w14:textId="77777777" w:rsidR="0037100D" w:rsidRPr="00E11FC2" w:rsidRDefault="0037100D" w:rsidP="007A31F7">
      <w:pPr>
        <w:widowControl/>
        <w:jc w:val="both"/>
        <w:rPr>
          <w:rFonts w:ascii="Verdana" w:eastAsia="Times New Roman" w:hAnsi="Verdana" w:cs="Arial"/>
          <w:bCs/>
          <w:lang w:val="en-GB"/>
        </w:rPr>
      </w:pPr>
    </w:p>
    <w:p w14:paraId="6680A67D" w14:textId="77777777" w:rsidR="007A31F7" w:rsidRPr="00E11FC2" w:rsidRDefault="007A31F7" w:rsidP="007A31F7">
      <w:pPr>
        <w:widowControl/>
        <w:jc w:val="both"/>
        <w:rPr>
          <w:rFonts w:asciiTheme="minorHAnsi" w:eastAsia="Times New Roman" w:hAnsiTheme="minorHAnsi" w:cstheme="minorHAnsi"/>
          <w:bCs/>
          <w:lang w:val="en-GB"/>
        </w:rPr>
      </w:pPr>
      <w:r w:rsidRPr="00E11FC2">
        <w:rPr>
          <w:rFonts w:asciiTheme="minorHAnsi" w:eastAsia="Times New Roman" w:hAnsiTheme="minorHAnsi" w:cstheme="minorHAnsi"/>
          <w:bCs/>
          <w:lang w:val="en-GB"/>
        </w:rPr>
        <w:lastRenderedPageBreak/>
        <w:t>Table 1: Principles that make up the MSC Fisheries Standard</w:t>
      </w:r>
    </w:p>
    <w:p w14:paraId="707FEC8A" w14:textId="77777777" w:rsidR="007A31F7" w:rsidRPr="00E11FC2" w:rsidRDefault="007A31F7" w:rsidP="007A31F7">
      <w:pPr>
        <w:widowControl/>
        <w:jc w:val="both"/>
        <w:rPr>
          <w:rFonts w:ascii="Verdana" w:eastAsia="Times New Roman" w:hAnsi="Verdana" w:cs="Arial"/>
          <w:bCs/>
          <w:lang w:val="en-GB"/>
        </w:rPr>
      </w:pPr>
    </w:p>
    <w:tbl>
      <w:tblPr>
        <w:tblStyle w:val="TableGrid"/>
        <w:tblW w:w="8997" w:type="dxa"/>
        <w:tblLook w:val="04A0" w:firstRow="1" w:lastRow="0" w:firstColumn="1" w:lastColumn="0" w:noHBand="0" w:noVBand="1"/>
      </w:tblPr>
      <w:tblGrid>
        <w:gridCol w:w="1405"/>
        <w:gridCol w:w="1936"/>
        <w:gridCol w:w="5656"/>
      </w:tblGrid>
      <w:tr w:rsidR="007A31F7" w:rsidRPr="00E11FC2" w14:paraId="07A39B5C" w14:textId="77777777" w:rsidTr="0037100D">
        <w:trPr>
          <w:trHeight w:val="983"/>
        </w:trPr>
        <w:tc>
          <w:tcPr>
            <w:tcW w:w="1405" w:type="dxa"/>
          </w:tcPr>
          <w:p w14:paraId="76A24FE2" w14:textId="77777777" w:rsidR="007A31F7" w:rsidRPr="00E11FC2" w:rsidRDefault="007A31F7" w:rsidP="0037100D">
            <w:pPr>
              <w:spacing w:line="360" w:lineRule="auto"/>
              <w:jc w:val="both"/>
              <w:rPr>
                <w:rFonts w:ascii="Arial" w:eastAsia="Times New Roman" w:hAnsi="Arial" w:cs="Arial"/>
                <w:lang w:val="en-GB"/>
              </w:rPr>
            </w:pPr>
            <w:r w:rsidRPr="00E11FC2">
              <w:rPr>
                <w:rFonts w:ascii="Arial" w:eastAsia="Times New Roman" w:hAnsi="Arial" w:cs="Arial"/>
                <w:lang w:val="en-GB"/>
              </w:rPr>
              <w:t>Principle 1</w:t>
            </w:r>
          </w:p>
        </w:tc>
        <w:tc>
          <w:tcPr>
            <w:tcW w:w="1936" w:type="dxa"/>
          </w:tcPr>
          <w:p w14:paraId="4BDF84B7" w14:textId="77777777" w:rsidR="007A31F7" w:rsidRPr="00E11FC2" w:rsidRDefault="007A31F7" w:rsidP="0037100D">
            <w:pPr>
              <w:spacing w:line="360" w:lineRule="auto"/>
              <w:jc w:val="both"/>
              <w:rPr>
                <w:rFonts w:ascii="Arial" w:eastAsia="Times New Roman" w:hAnsi="Arial" w:cs="Arial"/>
                <w:lang w:val="en-GB"/>
              </w:rPr>
            </w:pPr>
            <w:r w:rsidRPr="00E11FC2">
              <w:rPr>
                <w:rFonts w:ascii="Arial" w:eastAsia="Times New Roman" w:hAnsi="Arial" w:cs="Arial"/>
                <w:lang w:val="en-GB"/>
              </w:rPr>
              <w:t>Sustainable fish stocks</w:t>
            </w:r>
          </w:p>
        </w:tc>
        <w:tc>
          <w:tcPr>
            <w:tcW w:w="5656" w:type="dxa"/>
          </w:tcPr>
          <w:p w14:paraId="58F344CF" w14:textId="77777777" w:rsidR="007A31F7" w:rsidRPr="00E11FC2" w:rsidRDefault="007A31F7" w:rsidP="0037100D">
            <w:pPr>
              <w:spacing w:line="360" w:lineRule="auto"/>
              <w:jc w:val="both"/>
              <w:rPr>
                <w:rFonts w:ascii="Arial" w:eastAsia="Times New Roman" w:hAnsi="Arial" w:cs="Arial"/>
                <w:lang w:val="en-GB"/>
              </w:rPr>
            </w:pPr>
            <w:r w:rsidRPr="00E11FC2">
              <w:rPr>
                <w:rFonts w:ascii="Arial" w:eastAsia="Times New Roman" w:hAnsi="Arial" w:cs="Arial"/>
                <w:lang w:val="en-GB"/>
              </w:rPr>
              <w:t>Fisheries must operate in a way that allows fishing to continue indefinitely, without over exploiting the resources</w:t>
            </w:r>
          </w:p>
        </w:tc>
      </w:tr>
      <w:tr w:rsidR="007A31F7" w:rsidRPr="00E11FC2" w14:paraId="6305C1D2" w14:textId="77777777" w:rsidTr="0037100D">
        <w:trPr>
          <w:trHeight w:val="1692"/>
        </w:trPr>
        <w:tc>
          <w:tcPr>
            <w:tcW w:w="1405" w:type="dxa"/>
          </w:tcPr>
          <w:p w14:paraId="2A8BC9F3" w14:textId="77777777" w:rsidR="007A31F7" w:rsidRPr="00E11FC2" w:rsidRDefault="007A31F7" w:rsidP="0037100D">
            <w:pPr>
              <w:spacing w:line="360" w:lineRule="auto"/>
              <w:jc w:val="both"/>
              <w:rPr>
                <w:rFonts w:ascii="Arial" w:eastAsia="Times New Roman" w:hAnsi="Arial" w:cs="Arial"/>
                <w:lang w:val="en-GB"/>
              </w:rPr>
            </w:pPr>
            <w:r w:rsidRPr="00E11FC2">
              <w:rPr>
                <w:rFonts w:ascii="Arial" w:eastAsia="Times New Roman" w:hAnsi="Arial" w:cs="Arial"/>
                <w:lang w:val="en-GB"/>
              </w:rPr>
              <w:t>Principle 2</w:t>
            </w:r>
          </w:p>
        </w:tc>
        <w:tc>
          <w:tcPr>
            <w:tcW w:w="1936" w:type="dxa"/>
          </w:tcPr>
          <w:p w14:paraId="4FCF4B97" w14:textId="77777777" w:rsidR="007A31F7" w:rsidRPr="00E11FC2" w:rsidRDefault="007A31F7" w:rsidP="0037100D">
            <w:pPr>
              <w:spacing w:line="360" w:lineRule="auto"/>
              <w:jc w:val="both"/>
              <w:rPr>
                <w:rFonts w:ascii="Arial" w:eastAsia="Times New Roman" w:hAnsi="Arial" w:cs="Arial"/>
                <w:lang w:val="en-GB"/>
              </w:rPr>
            </w:pPr>
            <w:r w:rsidRPr="00E11FC2">
              <w:rPr>
                <w:rFonts w:ascii="Arial" w:eastAsia="Times New Roman" w:hAnsi="Arial" w:cs="Arial"/>
                <w:lang w:val="en-GB"/>
              </w:rPr>
              <w:t>Minimising environmental impacts</w:t>
            </w:r>
          </w:p>
        </w:tc>
        <w:tc>
          <w:tcPr>
            <w:tcW w:w="5656" w:type="dxa"/>
          </w:tcPr>
          <w:p w14:paraId="5E93B14D" w14:textId="77777777" w:rsidR="007A31F7" w:rsidRPr="00E11FC2" w:rsidRDefault="007A31F7" w:rsidP="0037100D">
            <w:pPr>
              <w:spacing w:line="360" w:lineRule="auto"/>
              <w:jc w:val="both"/>
              <w:rPr>
                <w:rFonts w:ascii="Arial" w:eastAsia="Times New Roman" w:hAnsi="Arial" w:cs="Arial"/>
                <w:lang w:val="en-GB"/>
              </w:rPr>
            </w:pPr>
            <w:r w:rsidRPr="00E11FC2">
              <w:rPr>
                <w:rFonts w:ascii="Arial" w:eastAsia="Times New Roman" w:hAnsi="Arial" w:cs="Arial"/>
                <w:lang w:val="en-GB"/>
              </w:rPr>
              <w:t>Fishing operations need to be managed to maintain the structure, productivity, function and diversity of the ecosystem upon which the fishery depends, including other species and habitats.</w:t>
            </w:r>
          </w:p>
        </w:tc>
      </w:tr>
      <w:tr w:rsidR="007A31F7" w:rsidRPr="00E11FC2" w14:paraId="24BC5146" w14:textId="77777777" w:rsidTr="0037100D">
        <w:trPr>
          <w:trHeight w:val="978"/>
        </w:trPr>
        <w:tc>
          <w:tcPr>
            <w:tcW w:w="1405" w:type="dxa"/>
          </w:tcPr>
          <w:p w14:paraId="6EE96FE0" w14:textId="77777777" w:rsidR="007A31F7" w:rsidRPr="00E11FC2" w:rsidRDefault="007A31F7" w:rsidP="0037100D">
            <w:pPr>
              <w:spacing w:line="360" w:lineRule="auto"/>
              <w:jc w:val="both"/>
              <w:rPr>
                <w:rFonts w:ascii="Arial" w:eastAsia="Times New Roman" w:hAnsi="Arial" w:cs="Arial"/>
                <w:lang w:val="en-GB"/>
              </w:rPr>
            </w:pPr>
            <w:r w:rsidRPr="00E11FC2">
              <w:rPr>
                <w:rFonts w:ascii="Arial" w:eastAsia="Times New Roman" w:hAnsi="Arial" w:cs="Arial"/>
                <w:lang w:val="en-GB"/>
              </w:rPr>
              <w:t>Principle 3</w:t>
            </w:r>
          </w:p>
        </w:tc>
        <w:tc>
          <w:tcPr>
            <w:tcW w:w="1936" w:type="dxa"/>
          </w:tcPr>
          <w:p w14:paraId="0C75D55F" w14:textId="77777777" w:rsidR="007A31F7" w:rsidRPr="00E11FC2" w:rsidRDefault="007A31F7" w:rsidP="0037100D">
            <w:pPr>
              <w:spacing w:line="360" w:lineRule="auto"/>
              <w:jc w:val="both"/>
              <w:rPr>
                <w:rFonts w:ascii="Arial" w:eastAsia="Times New Roman" w:hAnsi="Arial" w:cs="Arial"/>
                <w:lang w:val="en-GB"/>
              </w:rPr>
            </w:pPr>
            <w:r w:rsidRPr="00E11FC2">
              <w:rPr>
                <w:rFonts w:ascii="Arial" w:eastAsia="Times New Roman" w:hAnsi="Arial" w:cs="Arial"/>
                <w:lang w:val="en-GB"/>
              </w:rPr>
              <w:t>Effective management</w:t>
            </w:r>
          </w:p>
        </w:tc>
        <w:tc>
          <w:tcPr>
            <w:tcW w:w="5656" w:type="dxa"/>
          </w:tcPr>
          <w:p w14:paraId="1F874DB1" w14:textId="77777777" w:rsidR="007A31F7" w:rsidRPr="00E11FC2" w:rsidRDefault="007A31F7" w:rsidP="0037100D">
            <w:pPr>
              <w:spacing w:line="360" w:lineRule="auto"/>
              <w:jc w:val="both"/>
              <w:rPr>
                <w:rFonts w:ascii="Arial" w:eastAsia="Times New Roman" w:hAnsi="Arial" w:cs="Arial"/>
                <w:lang w:val="en-GB"/>
              </w:rPr>
            </w:pPr>
            <w:r w:rsidRPr="00E11FC2">
              <w:rPr>
                <w:rFonts w:ascii="Arial" w:eastAsia="Times New Roman" w:hAnsi="Arial" w:cs="Arial"/>
                <w:lang w:val="en-GB"/>
              </w:rPr>
              <w:t>All fisheries need to meet all local, national and international laws and have an effective management system in place.</w:t>
            </w:r>
          </w:p>
        </w:tc>
      </w:tr>
    </w:tbl>
    <w:p w14:paraId="6786B954" w14:textId="77777777" w:rsidR="007A31F7" w:rsidRPr="00E11FC2" w:rsidRDefault="007A31F7" w:rsidP="007A31F7">
      <w:pPr>
        <w:widowControl/>
        <w:jc w:val="both"/>
        <w:rPr>
          <w:rFonts w:ascii="Verdana" w:eastAsia="Times New Roman" w:hAnsi="Verdana" w:cs="Arial"/>
          <w:bCs/>
          <w:lang w:val="en-GB"/>
        </w:rPr>
      </w:pPr>
    </w:p>
    <w:p w14:paraId="5CFD6CBD" w14:textId="77777777" w:rsidR="00CD09F9" w:rsidRDefault="00CD09F9" w:rsidP="00D16189">
      <w:pPr>
        <w:widowControl/>
        <w:spacing w:line="360" w:lineRule="auto"/>
        <w:jc w:val="both"/>
        <w:rPr>
          <w:rFonts w:ascii="Verdana" w:eastAsia="Times New Roman" w:hAnsi="Verdana" w:cs="Arial"/>
          <w:bCs/>
          <w:sz w:val="20"/>
          <w:szCs w:val="20"/>
          <w:lang w:val="en-GB"/>
        </w:rPr>
      </w:pPr>
    </w:p>
    <w:p w14:paraId="447E3B58" w14:textId="37629BBD" w:rsidR="007A31F7" w:rsidRPr="00E11FC2" w:rsidRDefault="007A31F7" w:rsidP="00D16189">
      <w:pPr>
        <w:widowControl/>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The MSC Fisheries Standard is comprised of twenty-eight performance indicators (PI) as illustrated in Figure 1.</w:t>
      </w:r>
    </w:p>
    <w:p w14:paraId="39B77A29" w14:textId="77777777" w:rsidR="007A31F7" w:rsidRPr="00E11FC2" w:rsidRDefault="007A31F7" w:rsidP="007A31F7">
      <w:pPr>
        <w:widowControl/>
        <w:jc w:val="both"/>
        <w:rPr>
          <w:rFonts w:ascii="Verdana" w:eastAsia="Times New Roman" w:hAnsi="Verdana" w:cs="Arial"/>
          <w:bCs/>
          <w:lang w:val="en-GB"/>
        </w:rPr>
      </w:pPr>
    </w:p>
    <w:p w14:paraId="4ED6438C" w14:textId="77777777" w:rsidR="007A31F7" w:rsidRPr="00E11FC2" w:rsidRDefault="007A31F7" w:rsidP="007A31F7">
      <w:pPr>
        <w:widowControl/>
        <w:jc w:val="both"/>
        <w:rPr>
          <w:rFonts w:ascii="Verdana" w:eastAsia="Times New Roman" w:hAnsi="Verdana" w:cs="Arial"/>
          <w:bCs/>
          <w:lang w:val="en-GB"/>
        </w:rPr>
      </w:pPr>
      <w:r w:rsidRPr="00E11FC2">
        <w:rPr>
          <w:rFonts w:ascii="Verdana" w:eastAsia="Times New Roman" w:hAnsi="Verdana" w:cs="Arial"/>
          <w:bCs/>
          <w:noProof/>
        </w:rPr>
        <w:drawing>
          <wp:inline distT="0" distB="0" distL="0" distR="0" wp14:anchorId="13FB7FFB" wp14:editId="32B3DAD2">
            <wp:extent cx="5486400" cy="2663687"/>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597" cy="2694370"/>
                    </a:xfrm>
                    <a:prstGeom prst="rect">
                      <a:avLst/>
                    </a:prstGeom>
                    <a:noFill/>
                    <a:ln>
                      <a:noFill/>
                    </a:ln>
                  </pic:spPr>
                </pic:pic>
              </a:graphicData>
            </a:graphic>
          </wp:inline>
        </w:drawing>
      </w:r>
    </w:p>
    <w:p w14:paraId="0CEA24BC" w14:textId="77777777" w:rsidR="007A31F7" w:rsidRPr="00E11FC2" w:rsidRDefault="007A31F7" w:rsidP="007A31F7">
      <w:pPr>
        <w:widowControl/>
        <w:jc w:val="both"/>
        <w:rPr>
          <w:rFonts w:ascii="Verdana" w:eastAsia="Times New Roman" w:hAnsi="Verdana" w:cs="Arial"/>
          <w:bCs/>
          <w:lang w:val="en-GB"/>
        </w:rPr>
      </w:pPr>
    </w:p>
    <w:p w14:paraId="0D8FEFBB" w14:textId="77777777" w:rsidR="007A31F7" w:rsidRPr="00E11FC2" w:rsidRDefault="007A31F7" w:rsidP="007A31F7">
      <w:pPr>
        <w:widowControl/>
        <w:jc w:val="both"/>
        <w:rPr>
          <w:rFonts w:ascii="Arial" w:eastAsia="Times New Roman" w:hAnsi="Arial" w:cs="Arial"/>
          <w:bCs/>
          <w:sz w:val="20"/>
          <w:szCs w:val="20"/>
          <w:lang w:val="en-GB"/>
        </w:rPr>
      </w:pPr>
      <w:r w:rsidRPr="00E11FC2">
        <w:rPr>
          <w:rFonts w:ascii="Arial" w:eastAsia="Times New Roman" w:hAnsi="Arial" w:cs="Arial"/>
          <w:bCs/>
          <w:sz w:val="20"/>
          <w:szCs w:val="20"/>
          <w:lang w:val="en-GB"/>
        </w:rPr>
        <w:t>Figure 1: The three principles and relevant 28 performance indicators that make up the MSC Fisheries Standard.</w:t>
      </w:r>
    </w:p>
    <w:p w14:paraId="65EC8B95" w14:textId="77777777" w:rsidR="007A31F7" w:rsidRPr="00E11FC2" w:rsidRDefault="007A31F7" w:rsidP="007A31F7">
      <w:pPr>
        <w:widowControl/>
        <w:jc w:val="both"/>
        <w:rPr>
          <w:rFonts w:ascii="Verdana" w:eastAsia="Times New Roman" w:hAnsi="Verdana" w:cs="Arial"/>
          <w:bCs/>
          <w:lang w:val="en-GB"/>
        </w:rPr>
      </w:pPr>
    </w:p>
    <w:p w14:paraId="3EB3CB3D" w14:textId="77777777" w:rsidR="007A31F7" w:rsidRPr="00E11FC2" w:rsidRDefault="007A31F7" w:rsidP="007A31F7">
      <w:pPr>
        <w:widowControl/>
        <w:jc w:val="both"/>
        <w:rPr>
          <w:rFonts w:ascii="Verdana" w:eastAsia="Times New Roman" w:hAnsi="Verdana" w:cs="Arial"/>
          <w:bCs/>
          <w:lang w:val="en-GB"/>
        </w:rPr>
      </w:pPr>
    </w:p>
    <w:p w14:paraId="1288C385" w14:textId="77777777" w:rsidR="007A31F7" w:rsidRPr="00E11FC2" w:rsidRDefault="007A31F7" w:rsidP="00D16189">
      <w:pPr>
        <w:widowControl/>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Usually an accredited third-party certification body is used to independently score each fishery against the 28 PIs. The fishery will be assigned a score for each PI where 60 for each of the 28 PIs is the minimum acceptable performance, 80 is global best practice and 100 is near perfect performance. If a fishery scores between 60 and 79 for any PI, it will be required to take appropriate action to improve performance against the indicator so that it scores 80 or above within a predetermined timeframe (typically five years).</w:t>
      </w:r>
    </w:p>
    <w:p w14:paraId="23C18F6C" w14:textId="77777777" w:rsidR="007A31F7" w:rsidRPr="00E11FC2" w:rsidRDefault="007A31F7" w:rsidP="00D16189">
      <w:pPr>
        <w:widowControl/>
        <w:spacing w:line="360" w:lineRule="auto"/>
        <w:jc w:val="both"/>
        <w:rPr>
          <w:rFonts w:ascii="Verdana" w:eastAsia="Times New Roman" w:hAnsi="Verdana" w:cs="Arial"/>
          <w:bCs/>
          <w:sz w:val="20"/>
          <w:szCs w:val="20"/>
          <w:lang w:val="en-GB"/>
        </w:rPr>
      </w:pPr>
    </w:p>
    <w:p w14:paraId="53A7EE5C" w14:textId="77777777" w:rsidR="007A31F7" w:rsidRPr="00E11FC2" w:rsidRDefault="007A31F7" w:rsidP="00D16189">
      <w:pPr>
        <w:widowControl/>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lastRenderedPageBreak/>
        <w:t>The following key steps are used -</w:t>
      </w:r>
    </w:p>
    <w:p w14:paraId="6C702E3D" w14:textId="77777777" w:rsidR="007A31F7" w:rsidRPr="00E11FC2" w:rsidRDefault="007A31F7" w:rsidP="00D16189">
      <w:pPr>
        <w:widowControl/>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 xml:space="preserve">1. Deciding on the Unit of Assessment (UoA) </w:t>
      </w:r>
    </w:p>
    <w:p w14:paraId="26AACCCD" w14:textId="77777777" w:rsidR="007A31F7" w:rsidRPr="00E11FC2" w:rsidRDefault="007A31F7" w:rsidP="00D16189">
      <w:pPr>
        <w:widowControl/>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The UoA defines what is being assessed during the certification process and includes:</w:t>
      </w:r>
    </w:p>
    <w:p w14:paraId="017FAB05" w14:textId="77777777" w:rsidR="007A31F7" w:rsidRPr="00E11FC2" w:rsidRDefault="007A31F7" w:rsidP="00D16189">
      <w:pPr>
        <w:widowControl/>
        <w:numPr>
          <w:ilvl w:val="0"/>
          <w:numId w:val="2"/>
        </w:numPr>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Target stock(s);</w:t>
      </w:r>
    </w:p>
    <w:p w14:paraId="19D08A6D" w14:textId="77777777" w:rsidR="007A31F7" w:rsidRPr="00E11FC2" w:rsidRDefault="007A31F7" w:rsidP="00D16189">
      <w:pPr>
        <w:widowControl/>
        <w:numPr>
          <w:ilvl w:val="0"/>
          <w:numId w:val="2"/>
        </w:numPr>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Fishing method or gear;</w:t>
      </w:r>
    </w:p>
    <w:p w14:paraId="705B467F" w14:textId="77777777" w:rsidR="007A31F7" w:rsidRPr="00E11FC2" w:rsidRDefault="007A31F7" w:rsidP="00D16189">
      <w:pPr>
        <w:widowControl/>
        <w:numPr>
          <w:ilvl w:val="0"/>
          <w:numId w:val="2"/>
        </w:numPr>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The fleets, vessels, individual fishing operators and other eligible fishers pursuing that stock.</w:t>
      </w:r>
    </w:p>
    <w:p w14:paraId="78AC65BD" w14:textId="77777777" w:rsidR="007A31F7" w:rsidRPr="00E11FC2" w:rsidRDefault="007A31F7" w:rsidP="00D16189">
      <w:pPr>
        <w:widowControl/>
        <w:spacing w:line="360" w:lineRule="auto"/>
        <w:jc w:val="both"/>
        <w:rPr>
          <w:rFonts w:ascii="Verdana" w:eastAsia="Times New Roman" w:hAnsi="Verdana" w:cs="Arial"/>
          <w:bCs/>
          <w:sz w:val="20"/>
          <w:szCs w:val="20"/>
          <w:lang w:val="en-GB"/>
        </w:rPr>
      </w:pPr>
    </w:p>
    <w:p w14:paraId="3328B944" w14:textId="014168A7" w:rsidR="00D16189" w:rsidRPr="00E11FC2" w:rsidRDefault="007A31F7" w:rsidP="00D16189">
      <w:pPr>
        <w:widowControl/>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The UoA could cover anything from a handful of local vessels to a full national fleet. Once it has been defined, only seafood from that specific unit will later be able to carry the MSC ecolabel in the marketplace.</w:t>
      </w:r>
    </w:p>
    <w:p w14:paraId="7C998368" w14:textId="77777777" w:rsidR="007A31F7" w:rsidRPr="00E11FC2" w:rsidRDefault="007A31F7" w:rsidP="00D16189">
      <w:pPr>
        <w:widowControl/>
        <w:spacing w:line="360" w:lineRule="auto"/>
        <w:jc w:val="both"/>
        <w:rPr>
          <w:rFonts w:ascii="Verdana" w:eastAsia="Times New Roman" w:hAnsi="Verdana" w:cs="Arial"/>
          <w:bCs/>
          <w:sz w:val="20"/>
          <w:szCs w:val="20"/>
          <w:lang w:val="en-GB"/>
        </w:rPr>
      </w:pPr>
    </w:p>
    <w:p w14:paraId="28533334" w14:textId="77777777" w:rsidR="007A31F7" w:rsidRPr="00E11FC2" w:rsidRDefault="007A31F7" w:rsidP="00D16189">
      <w:pPr>
        <w:widowControl/>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2. Preparing the information</w:t>
      </w:r>
    </w:p>
    <w:p w14:paraId="1AE026A3" w14:textId="77777777" w:rsidR="007A31F7" w:rsidRPr="00E11FC2" w:rsidRDefault="007A31F7" w:rsidP="00D16189">
      <w:pPr>
        <w:widowControl/>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A fishery assessment is based on expert analysis of information. This information can take many forms, including:</w:t>
      </w:r>
    </w:p>
    <w:p w14:paraId="2436FF67" w14:textId="77777777" w:rsidR="007A31F7" w:rsidRPr="00E11FC2" w:rsidRDefault="007A31F7" w:rsidP="00D16189">
      <w:pPr>
        <w:widowControl/>
        <w:numPr>
          <w:ilvl w:val="0"/>
          <w:numId w:val="3"/>
        </w:numPr>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Data on fish stocks;</w:t>
      </w:r>
    </w:p>
    <w:p w14:paraId="6CF0D121" w14:textId="77777777" w:rsidR="007A31F7" w:rsidRPr="00E11FC2" w:rsidRDefault="007A31F7" w:rsidP="00D16189">
      <w:pPr>
        <w:widowControl/>
        <w:numPr>
          <w:ilvl w:val="0"/>
          <w:numId w:val="3"/>
        </w:numPr>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Data on landings;</w:t>
      </w:r>
    </w:p>
    <w:p w14:paraId="6D93E076" w14:textId="77777777" w:rsidR="007A31F7" w:rsidRPr="00E11FC2" w:rsidRDefault="007A31F7" w:rsidP="00D16189">
      <w:pPr>
        <w:widowControl/>
        <w:numPr>
          <w:ilvl w:val="0"/>
          <w:numId w:val="3"/>
        </w:numPr>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Interviews with stakeholders;</w:t>
      </w:r>
    </w:p>
    <w:p w14:paraId="5D170A46" w14:textId="77777777" w:rsidR="007A31F7" w:rsidRPr="00E11FC2" w:rsidRDefault="007A31F7" w:rsidP="00D16189">
      <w:pPr>
        <w:widowControl/>
        <w:numPr>
          <w:ilvl w:val="0"/>
          <w:numId w:val="3"/>
        </w:numPr>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Scientific papers and reports.</w:t>
      </w:r>
    </w:p>
    <w:p w14:paraId="57F1FF90" w14:textId="77777777" w:rsidR="007A31F7" w:rsidRPr="00E11FC2" w:rsidRDefault="007A31F7" w:rsidP="00D16189">
      <w:pPr>
        <w:widowControl/>
        <w:spacing w:line="360" w:lineRule="auto"/>
        <w:jc w:val="both"/>
        <w:rPr>
          <w:rFonts w:ascii="Verdana" w:eastAsia="Times New Roman" w:hAnsi="Verdana" w:cs="Arial"/>
          <w:bCs/>
          <w:sz w:val="20"/>
          <w:szCs w:val="20"/>
          <w:lang w:val="en-GB"/>
        </w:rPr>
      </w:pPr>
    </w:p>
    <w:p w14:paraId="79E612DF" w14:textId="77777777" w:rsidR="007A31F7" w:rsidRPr="00E11FC2" w:rsidRDefault="007A31F7" w:rsidP="00D16189">
      <w:pPr>
        <w:widowControl/>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Without this information the assessment team will not be able to make a thorough evaluation of the fishery. If the fishery is data limited, the assessment team could use the MSC’s Risk-Based Framework, which is built into the MSC fisheries certification requirements.</w:t>
      </w:r>
    </w:p>
    <w:p w14:paraId="0A6EF3DE" w14:textId="77777777" w:rsidR="007A31F7" w:rsidRPr="00E11FC2" w:rsidRDefault="007A31F7" w:rsidP="00D16189">
      <w:pPr>
        <w:widowControl/>
        <w:spacing w:line="360" w:lineRule="auto"/>
        <w:jc w:val="both"/>
        <w:rPr>
          <w:rFonts w:ascii="Verdana" w:eastAsia="Times New Roman" w:hAnsi="Verdana" w:cs="Arial"/>
          <w:bCs/>
          <w:sz w:val="20"/>
          <w:szCs w:val="20"/>
          <w:lang w:val="en-GB"/>
        </w:rPr>
      </w:pPr>
    </w:p>
    <w:p w14:paraId="5D8E530E" w14:textId="77777777" w:rsidR="007A31F7" w:rsidRPr="00E11FC2" w:rsidRDefault="007A31F7" w:rsidP="00D16189">
      <w:pPr>
        <w:widowControl/>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3. Gaining the support of stakeholders</w:t>
      </w:r>
    </w:p>
    <w:p w14:paraId="38151DE6" w14:textId="77777777" w:rsidR="007A31F7" w:rsidRPr="00E11FC2" w:rsidRDefault="007A31F7" w:rsidP="00D16189">
      <w:pPr>
        <w:widowControl/>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 xml:space="preserve">In the MSC assessment process, the burden of proof is on the fishery. The assessment team may only consider information that is also available to the public and it is the fishery stakeholder’s (fishing industry, the Government and fisheries scientists) responsibility to assemble an information package for the assessment team. The MSC assessment process is also a public process where the public is invited to engage in contributing to the assessment. Relevant stakeholders therefore need to be made aware at the very beginning of the assessment process to build trust, reduce the likelihood of any unforeseen setbacks and help make sure the assessment goes smoothly. Input and involvement of stakeholders is used to ensure that the assessment is fair, credible and robust. </w:t>
      </w:r>
    </w:p>
    <w:p w14:paraId="1D28C3EB" w14:textId="77777777" w:rsidR="007A31F7" w:rsidRPr="00E11FC2" w:rsidRDefault="007A31F7" w:rsidP="00D16189">
      <w:pPr>
        <w:widowControl/>
        <w:spacing w:line="360" w:lineRule="auto"/>
        <w:jc w:val="both"/>
        <w:rPr>
          <w:rFonts w:ascii="Verdana" w:eastAsia="Times New Roman" w:hAnsi="Verdana" w:cs="Arial"/>
          <w:bCs/>
          <w:sz w:val="20"/>
          <w:szCs w:val="20"/>
          <w:lang w:val="en-GB"/>
        </w:rPr>
      </w:pPr>
    </w:p>
    <w:p w14:paraId="3FF0CD29" w14:textId="77777777" w:rsidR="007A31F7" w:rsidRPr="00E11FC2" w:rsidRDefault="007A31F7" w:rsidP="00D16189">
      <w:pPr>
        <w:widowControl/>
        <w:spacing w:line="360" w:lineRule="auto"/>
        <w:jc w:val="both"/>
        <w:rPr>
          <w:rFonts w:ascii="Verdana" w:eastAsia="Times New Roman" w:hAnsi="Verdana" w:cs="Arial"/>
          <w:bCs/>
          <w:sz w:val="20"/>
          <w:szCs w:val="20"/>
          <w:lang w:val="en-GB"/>
        </w:rPr>
      </w:pPr>
      <w:r w:rsidRPr="00E11FC2">
        <w:rPr>
          <w:rFonts w:ascii="Verdana" w:eastAsia="Times New Roman" w:hAnsi="Verdana" w:cs="Arial"/>
          <w:bCs/>
          <w:sz w:val="20"/>
          <w:szCs w:val="20"/>
          <w:lang w:val="en-GB"/>
        </w:rPr>
        <w:t xml:space="preserve">There is an objections procedure, in case an objection is raised during the 15-working day period of ‘intent to object’ after the final report is published. This provides a mechanism </w:t>
      </w:r>
      <w:r w:rsidRPr="00E11FC2">
        <w:rPr>
          <w:rFonts w:ascii="Verdana" w:eastAsia="Times New Roman" w:hAnsi="Verdana" w:cs="Arial"/>
          <w:bCs/>
          <w:sz w:val="20"/>
          <w:szCs w:val="20"/>
          <w:lang w:val="en-GB"/>
        </w:rPr>
        <w:lastRenderedPageBreak/>
        <w:t>for any disagreement with the assessment of the fishery to be resolved by an independent adjudicator. Following appropriate consultations, the adjudicator will decide on whether the objection should be upheld.</w:t>
      </w:r>
    </w:p>
    <w:p w14:paraId="0291F328" w14:textId="09A2DCD3" w:rsidR="001E1A72" w:rsidRPr="00E11FC2" w:rsidRDefault="00D16189" w:rsidP="000215ED">
      <w:pPr>
        <w:pStyle w:val="Heading1"/>
        <w:rPr>
          <w:lang w:val="en-GB"/>
        </w:rPr>
      </w:pPr>
      <w:bookmarkStart w:id="4" w:name="_Toc512867196"/>
      <w:r w:rsidRPr="00E11FC2">
        <w:rPr>
          <w:lang w:val="en-GB"/>
        </w:rPr>
        <w:t xml:space="preserve">3. </w:t>
      </w:r>
      <w:r w:rsidR="001E1A72" w:rsidRPr="00E11FC2">
        <w:rPr>
          <w:lang w:val="en-GB"/>
        </w:rPr>
        <w:t>Input datasets</w:t>
      </w:r>
      <w:bookmarkEnd w:id="4"/>
    </w:p>
    <w:p w14:paraId="3429F76F" w14:textId="012C17F2" w:rsidR="001E1A72" w:rsidRPr="00E11FC2" w:rsidRDefault="00D16189" w:rsidP="00D16189">
      <w:pPr>
        <w:pStyle w:val="Heading2"/>
        <w:rPr>
          <w:lang w:val="en-GB"/>
        </w:rPr>
      </w:pPr>
      <w:bookmarkStart w:id="5" w:name="_Toc512593413"/>
      <w:bookmarkStart w:id="6" w:name="_Toc512867197"/>
      <w:r w:rsidRPr="00E11FC2">
        <w:rPr>
          <w:lang w:val="en-GB"/>
        </w:rPr>
        <w:t>3</w:t>
      </w:r>
      <w:r w:rsidR="001E1A72" w:rsidRPr="00E11FC2">
        <w:rPr>
          <w:lang w:val="en-GB"/>
        </w:rPr>
        <w:t>.1 GIS Layers</w:t>
      </w:r>
      <w:bookmarkEnd w:id="5"/>
      <w:bookmarkEnd w:id="6"/>
    </w:p>
    <w:p w14:paraId="0E56F0BF" w14:textId="11533E30" w:rsidR="001E1A72" w:rsidRPr="00E11FC2" w:rsidRDefault="001E1A72" w:rsidP="00E11FC2">
      <w:pPr>
        <w:spacing w:before="120" w:line="360" w:lineRule="auto"/>
        <w:jc w:val="both"/>
        <w:rPr>
          <w:rFonts w:ascii="Verdana" w:hAnsi="Verdana"/>
          <w:sz w:val="20"/>
          <w:szCs w:val="20"/>
          <w:lang w:val="en-GB"/>
        </w:rPr>
      </w:pPr>
      <w:r w:rsidRPr="00E11FC2">
        <w:rPr>
          <w:rFonts w:ascii="Verdana" w:hAnsi="Verdana"/>
          <w:sz w:val="20"/>
          <w:szCs w:val="20"/>
          <w:lang w:val="en-GB"/>
        </w:rPr>
        <w:t>The spatial data layers used in the habitat map for the Guyanese shelf are all based on open source data freely available online. Bathymetry was derived from the 30 arc second GEBCO grid (The GEBCO_2014 Grid, version 20150318, www.gebco.net). The bathymetry raster was then used to produce a coastline and bathymetric contours as line vector data (Fig. 1)</w:t>
      </w:r>
      <w:r w:rsidR="00F800DF">
        <w:rPr>
          <w:rFonts w:ascii="Verdana" w:hAnsi="Verdana"/>
          <w:sz w:val="20"/>
          <w:szCs w:val="20"/>
          <w:lang w:val="en-GB"/>
        </w:rPr>
        <w:t>.</w:t>
      </w:r>
    </w:p>
    <w:p w14:paraId="385E8CAE" w14:textId="77777777" w:rsidR="001E1A72" w:rsidRPr="00E11FC2" w:rsidRDefault="001E1A72" w:rsidP="00D16189">
      <w:pPr>
        <w:pStyle w:val="TOC2"/>
        <w:spacing w:line="360" w:lineRule="auto"/>
        <w:rPr>
          <w:rFonts w:ascii="Verdana" w:hAnsi="Verdana"/>
        </w:rPr>
      </w:pPr>
    </w:p>
    <w:p w14:paraId="1E47B905" w14:textId="77777777" w:rsidR="001E1A72" w:rsidRPr="00E11FC2" w:rsidRDefault="001E1A72" w:rsidP="00D16189">
      <w:pPr>
        <w:pStyle w:val="TOC2"/>
        <w:spacing w:line="360" w:lineRule="auto"/>
        <w:rPr>
          <w:rFonts w:ascii="Verdana" w:hAnsi="Verdana"/>
        </w:rPr>
      </w:pPr>
      <w:r w:rsidRPr="00E11FC2">
        <w:rPr>
          <w:rFonts w:ascii="Verdana" w:hAnsi="Verdana"/>
          <w:noProof/>
          <w:lang w:val="en-US"/>
        </w:rPr>
        <w:drawing>
          <wp:inline distT="0" distB="0" distL="0" distR="0" wp14:anchorId="00CCCAE5" wp14:editId="237355A3">
            <wp:extent cx="5231958" cy="3347499"/>
            <wp:effectExtent l="0" t="0" r="6985" b="5715"/>
            <wp:docPr id="17" name="Picture"/>
            <wp:cNvGraphicFramePr/>
            <a:graphic xmlns:a="http://schemas.openxmlformats.org/drawingml/2006/main">
              <a:graphicData uri="http://schemas.openxmlformats.org/drawingml/2006/picture">
                <pic:pic xmlns:pic="http://schemas.openxmlformats.org/drawingml/2006/picture">
                  <pic:nvPicPr>
                    <pic:cNvPr id="0" name="Picture" descr="Figs/unnamed-chunk-1-1.png"/>
                    <pic:cNvPicPr>
                      <a:picLocks noChangeAspect="1" noChangeArrowheads="1"/>
                    </pic:cNvPicPr>
                  </pic:nvPicPr>
                  <pic:blipFill rotWithShape="1">
                    <a:blip r:embed="rId9"/>
                    <a:srcRect t="11339" b="11598"/>
                    <a:stretch/>
                  </pic:blipFill>
                  <pic:spPr bwMode="auto">
                    <a:xfrm>
                      <a:off x="0" y="0"/>
                      <a:ext cx="5247321" cy="3357328"/>
                    </a:xfrm>
                    <a:prstGeom prst="rect">
                      <a:avLst/>
                    </a:prstGeom>
                    <a:noFill/>
                    <a:ln>
                      <a:noFill/>
                    </a:ln>
                    <a:extLst>
                      <a:ext uri="{53640926-AAD7-44D8-BBD7-CCE9431645EC}">
                        <a14:shadowObscured xmlns:a14="http://schemas.microsoft.com/office/drawing/2010/main"/>
                      </a:ext>
                    </a:extLst>
                  </pic:spPr>
                </pic:pic>
              </a:graphicData>
            </a:graphic>
          </wp:inline>
        </w:drawing>
      </w:r>
    </w:p>
    <w:p w14:paraId="4091A512" w14:textId="13C96541" w:rsidR="001E1A72" w:rsidRPr="00E11FC2" w:rsidRDefault="001E1A72" w:rsidP="00D16189">
      <w:pPr>
        <w:pStyle w:val="Caption"/>
        <w:spacing w:line="360" w:lineRule="auto"/>
        <w:ind w:left="0"/>
        <w:rPr>
          <w:rFonts w:ascii="Verdana" w:hAnsi="Verdana" w:cs="Arial"/>
          <w:sz w:val="20"/>
          <w:szCs w:val="20"/>
        </w:rPr>
      </w:pPr>
      <w:r w:rsidRPr="00E11FC2">
        <w:rPr>
          <w:rFonts w:ascii="Verdana" w:hAnsi="Verdana" w:cs="Arial"/>
          <w:sz w:val="20"/>
          <w:szCs w:val="20"/>
        </w:rPr>
        <w:t xml:space="preserve">Figure 1 GEBCO bathymetry </w:t>
      </w:r>
      <w:r w:rsidR="00CD48BD">
        <w:rPr>
          <w:rFonts w:ascii="Verdana" w:hAnsi="Verdana" w:cs="Arial"/>
          <w:sz w:val="20"/>
          <w:szCs w:val="20"/>
        </w:rPr>
        <w:t>of</w:t>
      </w:r>
      <w:r w:rsidRPr="00E11FC2">
        <w:rPr>
          <w:rFonts w:ascii="Verdana" w:hAnsi="Verdana" w:cs="Arial"/>
          <w:sz w:val="20"/>
          <w:szCs w:val="20"/>
        </w:rPr>
        <w:t xml:space="preserve"> the </w:t>
      </w:r>
      <w:r w:rsidR="00CD48BD">
        <w:rPr>
          <w:rFonts w:ascii="Verdana" w:hAnsi="Verdana" w:cs="Arial"/>
          <w:sz w:val="20"/>
          <w:szCs w:val="20"/>
        </w:rPr>
        <w:t xml:space="preserve">coast of </w:t>
      </w:r>
      <w:r w:rsidRPr="00E11FC2">
        <w:rPr>
          <w:rFonts w:ascii="Verdana" w:hAnsi="Verdana" w:cs="Arial"/>
          <w:sz w:val="20"/>
          <w:szCs w:val="20"/>
        </w:rPr>
        <w:t>Guyana, with the boundaries of the surrounding countries Exclusive Economic Zones (EEZ).</w:t>
      </w:r>
    </w:p>
    <w:p w14:paraId="2E767C7B" w14:textId="77777777" w:rsidR="001E1A72" w:rsidRPr="00E11FC2" w:rsidRDefault="001E1A72" w:rsidP="00D16189">
      <w:pPr>
        <w:pStyle w:val="TOC2"/>
        <w:spacing w:line="360" w:lineRule="auto"/>
        <w:rPr>
          <w:rFonts w:ascii="Verdana" w:hAnsi="Verdana"/>
        </w:rPr>
      </w:pPr>
    </w:p>
    <w:p w14:paraId="12924577" w14:textId="77777777" w:rsidR="001E1A72" w:rsidRPr="00E11FC2" w:rsidRDefault="001E1A72" w:rsidP="00D16189">
      <w:pPr>
        <w:pStyle w:val="TOC2"/>
        <w:spacing w:line="360" w:lineRule="auto"/>
        <w:rPr>
          <w:rFonts w:ascii="Verdana" w:hAnsi="Verdana"/>
        </w:rPr>
      </w:pPr>
    </w:p>
    <w:p w14:paraId="0BD0B411" w14:textId="41856632" w:rsidR="001E1A72" w:rsidRPr="00E11FC2" w:rsidRDefault="001E1A72" w:rsidP="00D16189">
      <w:pPr>
        <w:spacing w:line="360" w:lineRule="auto"/>
        <w:jc w:val="both"/>
        <w:rPr>
          <w:rFonts w:ascii="Verdana" w:hAnsi="Verdana"/>
          <w:sz w:val="20"/>
          <w:szCs w:val="20"/>
          <w:lang w:val="en-GB"/>
        </w:rPr>
      </w:pPr>
      <w:r w:rsidRPr="00E11FC2">
        <w:rPr>
          <w:rFonts w:ascii="Verdana" w:hAnsi="Verdana"/>
          <w:sz w:val="20"/>
          <w:szCs w:val="20"/>
          <w:lang w:val="en-GB"/>
        </w:rPr>
        <w:t>Data were clipped to &lt;200m depth, to represent the Guyanese shelf seas. The environmental datasets are provided along with this report. The bathymetry raster was used to calculate slope (degrees) and the Bathymetric Position Index (BPI, Lundblad et al., 2006), where positive values indicate bathymetric elevations (the raster has a higher elevation than the mean of a surrounding neighbo</w:t>
      </w:r>
      <w:r w:rsidR="00F800DF">
        <w:rPr>
          <w:rFonts w:ascii="Verdana" w:hAnsi="Verdana"/>
          <w:sz w:val="20"/>
          <w:szCs w:val="20"/>
          <w:lang w:val="en-GB"/>
        </w:rPr>
        <w:t>u</w:t>
      </w:r>
      <w:r w:rsidRPr="00E11FC2">
        <w:rPr>
          <w:rFonts w:ascii="Verdana" w:hAnsi="Verdana"/>
          <w:sz w:val="20"/>
          <w:szCs w:val="20"/>
          <w:lang w:val="en-GB"/>
        </w:rPr>
        <w:t xml:space="preserve">rhood of cells), whilst negative values indicate bathymetric depressions (Figure 2). Slope was calculated using the ‘Slope’ tool in ArcGIS Spatial Analyst. BPI was calculated using the ‘Benthic Terrain Modeller’ ArcGIS </w:t>
      </w:r>
      <w:r w:rsidRPr="00E11FC2">
        <w:rPr>
          <w:rFonts w:ascii="Verdana" w:hAnsi="Verdana"/>
          <w:sz w:val="20"/>
          <w:szCs w:val="20"/>
          <w:lang w:val="en-GB"/>
        </w:rPr>
        <w:lastRenderedPageBreak/>
        <w:t xml:space="preserve">extension (Walbridge et al., 2018, available at </w:t>
      </w:r>
      <w:hyperlink r:id="rId10" w:history="1">
        <w:r w:rsidRPr="00E11FC2">
          <w:rPr>
            <w:rStyle w:val="Hyperlink"/>
            <w:rFonts w:ascii="Verdana" w:hAnsi="Verdana"/>
            <w:sz w:val="20"/>
            <w:szCs w:val="20"/>
            <w:lang w:val="en-GB"/>
          </w:rPr>
          <w:t>http://www.arcgis.com/home/item.html?id=b0d0be66fd33440d97e8c83d220e7926</w:t>
        </w:r>
      </w:hyperlink>
      <w:r w:rsidRPr="00E11FC2">
        <w:rPr>
          <w:rFonts w:ascii="Verdana" w:hAnsi="Verdana"/>
          <w:sz w:val="20"/>
          <w:szCs w:val="20"/>
          <w:lang w:val="en-GB"/>
        </w:rPr>
        <w:t>), using an annulus with an inner distance of 3 cells and outer distance of 50 cells.</w:t>
      </w:r>
    </w:p>
    <w:p w14:paraId="60989976" w14:textId="77777777" w:rsidR="001E1A72" w:rsidRPr="00E11FC2" w:rsidRDefault="001E1A72" w:rsidP="00D16189">
      <w:pPr>
        <w:pStyle w:val="TOC2"/>
        <w:spacing w:line="360" w:lineRule="auto"/>
        <w:rPr>
          <w:rFonts w:ascii="Verdana" w:hAnsi="Verdana"/>
        </w:rPr>
      </w:pPr>
    </w:p>
    <w:p w14:paraId="594420ED" w14:textId="77777777" w:rsidR="001E1A72" w:rsidRPr="00E11FC2" w:rsidRDefault="001E1A72" w:rsidP="001E1A72">
      <w:pPr>
        <w:pStyle w:val="TOC2"/>
      </w:pPr>
      <w:r w:rsidRPr="00E11FC2">
        <w:rPr>
          <w:noProof/>
          <w:lang w:val="en-US"/>
        </w:rPr>
        <w:drawing>
          <wp:inline distT="0" distB="0" distL="0" distR="0" wp14:anchorId="7D5244B4" wp14:editId="1E59F50E">
            <wp:extent cx="4874150" cy="3991555"/>
            <wp:effectExtent l="0" t="0" r="3175" b="9525"/>
            <wp:docPr id="18" name="Picture"/>
            <wp:cNvGraphicFramePr/>
            <a:graphic xmlns:a="http://schemas.openxmlformats.org/drawingml/2006/main">
              <a:graphicData uri="http://schemas.openxmlformats.org/drawingml/2006/picture">
                <pic:pic xmlns:pic="http://schemas.openxmlformats.org/drawingml/2006/picture">
                  <pic:nvPicPr>
                    <pic:cNvPr id="2" name="Picture"/>
                    <pic:cNvPicPr/>
                  </pic:nvPicPr>
                  <pic:blipFill>
                    <a:blip r:embed="rId11"/>
                    <a:stretch>
                      <a:fillRect/>
                    </a:stretch>
                  </pic:blipFill>
                  <pic:spPr bwMode="auto">
                    <a:xfrm>
                      <a:off x="0" y="0"/>
                      <a:ext cx="4885625" cy="4000952"/>
                    </a:xfrm>
                    <a:prstGeom prst="rect">
                      <a:avLst/>
                    </a:prstGeom>
                    <a:noFill/>
                    <a:ln w="9525">
                      <a:noFill/>
                      <a:headEnd/>
                      <a:tailEnd/>
                    </a:ln>
                  </pic:spPr>
                </pic:pic>
              </a:graphicData>
            </a:graphic>
          </wp:inline>
        </w:drawing>
      </w:r>
    </w:p>
    <w:p w14:paraId="25B014DE" w14:textId="77777777" w:rsidR="001E1A72" w:rsidRPr="00E11FC2" w:rsidRDefault="001E1A72" w:rsidP="001E1A72">
      <w:pPr>
        <w:pStyle w:val="Caption"/>
        <w:ind w:left="0"/>
        <w:rPr>
          <w:rFonts w:ascii="Arial" w:hAnsi="Arial" w:cs="Arial"/>
          <w:sz w:val="20"/>
          <w:szCs w:val="20"/>
        </w:rPr>
      </w:pPr>
      <w:r w:rsidRPr="00E11FC2">
        <w:rPr>
          <w:rFonts w:ascii="Arial" w:hAnsi="Arial" w:cs="Arial"/>
          <w:sz w:val="20"/>
          <w:szCs w:val="20"/>
        </w:rPr>
        <w:t>Figure 2 Bathymetry and derivative topographic variables.</w:t>
      </w:r>
    </w:p>
    <w:p w14:paraId="6F1D4A48" w14:textId="77777777" w:rsidR="001E1A72" w:rsidRPr="00E11FC2" w:rsidRDefault="001E1A72" w:rsidP="001E1A72">
      <w:pPr>
        <w:pStyle w:val="TOC2"/>
      </w:pPr>
    </w:p>
    <w:p w14:paraId="51B7B0DA" w14:textId="284FF3CD" w:rsidR="001E1A72" w:rsidRPr="00E11FC2" w:rsidRDefault="001E1A72" w:rsidP="00D16189">
      <w:pPr>
        <w:spacing w:line="360" w:lineRule="auto"/>
        <w:jc w:val="both"/>
        <w:rPr>
          <w:rFonts w:ascii="Verdana" w:hAnsi="Verdana"/>
          <w:sz w:val="20"/>
          <w:szCs w:val="20"/>
          <w:lang w:val="en-GB"/>
        </w:rPr>
      </w:pPr>
      <w:r w:rsidRPr="00E11FC2">
        <w:rPr>
          <w:rFonts w:ascii="Verdana" w:hAnsi="Verdana"/>
          <w:sz w:val="20"/>
          <w:szCs w:val="20"/>
          <w:lang w:val="en-GB"/>
        </w:rPr>
        <w:t>Oceanographic data comprising salinity, surface and bottom water temperatures and current velocity for 2015 were extracted from a physical oceanographic model of daily means by Mercator Ocean (</w:t>
      </w:r>
      <w:hyperlink r:id="rId12" w:history="1">
        <w:r w:rsidRPr="00E11FC2">
          <w:rPr>
            <w:rStyle w:val="Hyperlink"/>
            <w:rFonts w:ascii="Verdana" w:hAnsi="Verdana"/>
            <w:sz w:val="20"/>
            <w:szCs w:val="20"/>
            <w:lang w:val="en-GB"/>
          </w:rPr>
          <w:t>http://opendap-glo.mercator-ocean.fr:8080/thredds/dodsC/global-analysis-forecast-phy-001-024</w:t>
        </w:r>
      </w:hyperlink>
      <w:r w:rsidRPr="00E11FC2">
        <w:rPr>
          <w:rFonts w:ascii="Verdana" w:hAnsi="Verdana"/>
          <w:sz w:val="20"/>
          <w:szCs w:val="20"/>
          <w:lang w:val="en-GB"/>
        </w:rPr>
        <w:t xml:space="preserve">“). Ocean colour data, including turbidity (absorption by particulate matter, BBP443), chlorophyll-a and the light attenuation coefficient (KD2), were extracted from data products created from MODIS-Aqua satellite imagery, provided by ACRI (BBP443, </w:t>
      </w:r>
      <w:hyperlink r:id="rId13" w:history="1">
        <w:r w:rsidRPr="00E11FC2">
          <w:rPr>
            <w:rStyle w:val="Hyperlink"/>
            <w:rFonts w:ascii="Verdana" w:hAnsi="Verdana"/>
            <w:sz w:val="20"/>
            <w:szCs w:val="20"/>
            <w:lang w:val="en-GB"/>
          </w:rPr>
          <w:t>http://cmems.isac.cnr.it:8080/thredds/dodsC/dataset-oc-glo-opt-multi-l4-bbp443_4km_monthly-rt-v01</w:t>
        </w:r>
      </w:hyperlink>
      <w:r w:rsidRPr="00E11FC2">
        <w:rPr>
          <w:rFonts w:ascii="Verdana" w:hAnsi="Verdana"/>
          <w:sz w:val="20"/>
          <w:szCs w:val="20"/>
          <w:lang w:val="en-GB"/>
        </w:rPr>
        <w:t xml:space="preserve">) and Plymouth Marine Laboratory (KD2 and Chlorophyll-a, </w:t>
      </w:r>
      <w:hyperlink r:id="rId14" w:history="1">
        <w:r w:rsidRPr="00E11FC2">
          <w:rPr>
            <w:rStyle w:val="Hyperlink"/>
            <w:rFonts w:ascii="Verdana" w:hAnsi="Verdana"/>
            <w:sz w:val="20"/>
            <w:szCs w:val="20"/>
            <w:lang w:val="en-GB"/>
          </w:rPr>
          <w:t>http://www.esa-oceancolour-cci.org/</w:t>
        </w:r>
      </w:hyperlink>
      <w:r w:rsidRPr="00E11FC2">
        <w:rPr>
          <w:rFonts w:ascii="Verdana" w:hAnsi="Verdana"/>
          <w:sz w:val="20"/>
          <w:szCs w:val="20"/>
          <w:lang w:val="en-GB"/>
        </w:rPr>
        <w:t>). For all oceanographic and ocean colour data, the daily or monthly means in the original datasets were averaged to an annual mean and interpolated to the same raster cell size as the GEBCO bathymetry (Fig</w:t>
      </w:r>
      <w:r w:rsidR="00F800DF">
        <w:rPr>
          <w:rFonts w:ascii="Verdana" w:hAnsi="Verdana"/>
          <w:sz w:val="20"/>
          <w:szCs w:val="20"/>
          <w:lang w:val="en-GB"/>
        </w:rPr>
        <w:t>.</w:t>
      </w:r>
      <w:r w:rsidRPr="00E11FC2">
        <w:rPr>
          <w:rFonts w:ascii="Verdana" w:hAnsi="Verdana"/>
          <w:sz w:val="20"/>
          <w:szCs w:val="20"/>
          <w:lang w:val="en-GB"/>
        </w:rPr>
        <w:t xml:space="preserve"> 3) using the Inverse Distance Weighed tool in ArcGIS.</w:t>
      </w:r>
    </w:p>
    <w:p w14:paraId="0F088F6A" w14:textId="77777777" w:rsidR="001E1A72" w:rsidRPr="00E11FC2" w:rsidRDefault="001E1A72" w:rsidP="001E1A72">
      <w:pPr>
        <w:pStyle w:val="TOC2"/>
      </w:pPr>
    </w:p>
    <w:p w14:paraId="56727E6B" w14:textId="77777777" w:rsidR="001E1A72" w:rsidRPr="00E11FC2" w:rsidRDefault="001E1A72" w:rsidP="001E1A72">
      <w:pPr>
        <w:pStyle w:val="TOC2"/>
      </w:pPr>
      <w:r w:rsidRPr="00E11FC2">
        <w:rPr>
          <w:noProof/>
          <w:lang w:val="en-US"/>
        </w:rPr>
        <w:lastRenderedPageBreak/>
        <w:drawing>
          <wp:inline distT="0" distB="0" distL="0" distR="0" wp14:anchorId="4789B973" wp14:editId="6A8DB8A8">
            <wp:extent cx="4134678" cy="3458817"/>
            <wp:effectExtent l="0" t="0" r="0" b="8890"/>
            <wp:docPr id="20" name="Picture"/>
            <wp:cNvGraphicFramePr/>
            <a:graphic xmlns:a="http://schemas.openxmlformats.org/drawingml/2006/main">
              <a:graphicData uri="http://schemas.openxmlformats.org/drawingml/2006/picture">
                <pic:pic xmlns:pic="http://schemas.openxmlformats.org/drawingml/2006/picture">
                  <pic:nvPicPr>
                    <pic:cNvPr id="4" name="Picture"/>
                    <pic:cNvPicPr/>
                  </pic:nvPicPr>
                  <pic:blipFill>
                    <a:blip r:embed="rId15"/>
                    <a:stretch>
                      <a:fillRect/>
                    </a:stretch>
                  </pic:blipFill>
                  <pic:spPr bwMode="auto">
                    <a:xfrm>
                      <a:off x="0" y="0"/>
                      <a:ext cx="4184531" cy="3500521"/>
                    </a:xfrm>
                    <a:prstGeom prst="rect">
                      <a:avLst/>
                    </a:prstGeom>
                    <a:noFill/>
                    <a:ln w="9525">
                      <a:noFill/>
                      <a:headEnd/>
                      <a:tailEnd/>
                    </a:ln>
                  </pic:spPr>
                </pic:pic>
              </a:graphicData>
            </a:graphic>
          </wp:inline>
        </w:drawing>
      </w:r>
    </w:p>
    <w:p w14:paraId="0168AF75" w14:textId="77777777" w:rsidR="001E1A72" w:rsidRPr="00E11FC2" w:rsidRDefault="001E1A72" w:rsidP="001E1A72">
      <w:pPr>
        <w:pStyle w:val="TOC2"/>
      </w:pPr>
      <w:r w:rsidRPr="00E11FC2">
        <w:rPr>
          <w:noProof/>
          <w:lang w:val="en-US"/>
        </w:rPr>
        <w:drawing>
          <wp:inline distT="0" distB="0" distL="0" distR="0" wp14:anchorId="4A1895E4" wp14:editId="27A16D09">
            <wp:extent cx="4134485" cy="375301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6"/>
                    <a:stretch>
                      <a:fillRect/>
                    </a:stretch>
                  </pic:blipFill>
                  <pic:spPr bwMode="auto">
                    <a:xfrm>
                      <a:off x="0" y="0"/>
                      <a:ext cx="4182481" cy="3796583"/>
                    </a:xfrm>
                    <a:prstGeom prst="rect">
                      <a:avLst/>
                    </a:prstGeom>
                    <a:noFill/>
                    <a:ln w="9525">
                      <a:noFill/>
                      <a:headEnd/>
                      <a:tailEnd/>
                    </a:ln>
                  </pic:spPr>
                </pic:pic>
              </a:graphicData>
            </a:graphic>
          </wp:inline>
        </w:drawing>
      </w:r>
    </w:p>
    <w:p w14:paraId="281FD427" w14:textId="77777777" w:rsidR="001E1A72" w:rsidRPr="00E11FC2" w:rsidRDefault="001E1A72" w:rsidP="001E1A72">
      <w:pPr>
        <w:pStyle w:val="TOC2"/>
      </w:pPr>
    </w:p>
    <w:p w14:paraId="681A9BEE" w14:textId="77777777" w:rsidR="001E1A72" w:rsidRPr="00E11FC2" w:rsidRDefault="001E1A72" w:rsidP="001E1A72">
      <w:pPr>
        <w:pStyle w:val="Caption"/>
        <w:ind w:left="0"/>
        <w:rPr>
          <w:rFonts w:ascii="Arial" w:hAnsi="Arial" w:cs="Arial"/>
          <w:sz w:val="20"/>
          <w:szCs w:val="20"/>
        </w:rPr>
      </w:pPr>
      <w:r w:rsidRPr="00E11FC2">
        <w:rPr>
          <w:rFonts w:ascii="Arial" w:hAnsi="Arial" w:cs="Arial"/>
          <w:sz w:val="20"/>
          <w:szCs w:val="20"/>
        </w:rPr>
        <w:t>Figure 3 Oceanographic model and satellite imagery derived variables.</w:t>
      </w:r>
    </w:p>
    <w:p w14:paraId="5FDCF4E7" w14:textId="77777777" w:rsidR="001E1A72" w:rsidRPr="00E11FC2" w:rsidRDefault="001E1A72" w:rsidP="001E1A72">
      <w:pPr>
        <w:pStyle w:val="TOC2"/>
      </w:pPr>
    </w:p>
    <w:p w14:paraId="3AAC389B" w14:textId="77777777" w:rsidR="001E1A72" w:rsidRPr="00E11FC2" w:rsidRDefault="001E1A72" w:rsidP="001E1A72">
      <w:pPr>
        <w:pStyle w:val="TOC2"/>
      </w:pPr>
    </w:p>
    <w:p w14:paraId="7C04615B" w14:textId="208A56BF" w:rsidR="001E1A72" w:rsidRPr="00E11FC2" w:rsidRDefault="000215ED" w:rsidP="001E1A72">
      <w:pPr>
        <w:pStyle w:val="Heading2"/>
        <w:rPr>
          <w:lang w:val="en-GB"/>
        </w:rPr>
      </w:pPr>
      <w:bookmarkStart w:id="7" w:name="_Toc512593414"/>
      <w:bookmarkStart w:id="8" w:name="_Toc512867198"/>
      <w:r w:rsidRPr="00E11FC2">
        <w:rPr>
          <w:lang w:val="en-GB"/>
        </w:rPr>
        <w:t>3</w:t>
      </w:r>
      <w:r w:rsidR="001E1A72" w:rsidRPr="00E11FC2">
        <w:rPr>
          <w:lang w:val="en-GB"/>
        </w:rPr>
        <w:t>.2 Field observations</w:t>
      </w:r>
      <w:bookmarkEnd w:id="7"/>
      <w:bookmarkEnd w:id="8"/>
    </w:p>
    <w:p w14:paraId="4F17D219" w14:textId="77777777" w:rsidR="001E1A72" w:rsidRPr="00E11FC2" w:rsidRDefault="001E1A72" w:rsidP="00D16189">
      <w:pPr>
        <w:spacing w:before="120" w:line="360" w:lineRule="auto"/>
        <w:jc w:val="both"/>
        <w:rPr>
          <w:rFonts w:ascii="Verdana" w:hAnsi="Verdana"/>
          <w:sz w:val="20"/>
          <w:szCs w:val="20"/>
          <w:lang w:val="en-GB"/>
        </w:rPr>
      </w:pPr>
      <w:r w:rsidRPr="00E11FC2">
        <w:rPr>
          <w:rFonts w:ascii="Verdana" w:hAnsi="Verdana"/>
          <w:sz w:val="20"/>
          <w:szCs w:val="20"/>
          <w:lang w:val="en-GB"/>
        </w:rPr>
        <w:t xml:space="preserve">Field observations used in this report are derived from Van veen grab sampling and epibenthic trawl surveys conducted at 38 locations across the Guyanese shelf as reported in Willems (2018). Particle size analysis results were used to create a bottom sediment </w:t>
      </w:r>
      <w:r w:rsidRPr="00E11FC2">
        <w:rPr>
          <w:rFonts w:ascii="Verdana" w:hAnsi="Verdana"/>
          <w:sz w:val="20"/>
          <w:szCs w:val="20"/>
          <w:lang w:val="en-GB"/>
        </w:rPr>
        <w:lastRenderedPageBreak/>
        <w:t xml:space="preserve">type map. Biomass of epibenthic fauna from the trawls was used to test the biological relevance of assigned habitat classes. Grain size composition from the Van Veen grab samples was presented as percentages per sample of sand (grain size 62.5 - 2000 µm), silt (3.9 - 62.5 µm) and clay (&lt;3.9 µm). The abundance and biomass data on epibenthic taxa from the trawl surveys provided by T. Willems (A consultant working with the Guyana Association of Trawler Owners and Seafood Processors (GATOSP)), was plotted in ArcGIS and intersected with the environmental raster layers to extract values at the known locations. These GIS point layers are provided along with the report. </w:t>
      </w:r>
    </w:p>
    <w:p w14:paraId="5FE3F49A" w14:textId="77777777" w:rsidR="001E1A72" w:rsidRPr="00E11FC2" w:rsidRDefault="001E1A72" w:rsidP="00D16189">
      <w:pPr>
        <w:spacing w:before="120" w:line="360" w:lineRule="auto"/>
        <w:jc w:val="both"/>
        <w:rPr>
          <w:rFonts w:ascii="Verdana" w:hAnsi="Verdana"/>
          <w:sz w:val="20"/>
          <w:szCs w:val="20"/>
          <w:lang w:val="en-GB"/>
        </w:rPr>
      </w:pPr>
    </w:p>
    <w:p w14:paraId="472BAAE3" w14:textId="77777777" w:rsidR="001E1A72" w:rsidRPr="00E11FC2" w:rsidRDefault="001E1A72" w:rsidP="00D16189">
      <w:pPr>
        <w:spacing w:line="360" w:lineRule="auto"/>
        <w:jc w:val="both"/>
        <w:rPr>
          <w:rFonts w:ascii="Verdana" w:hAnsi="Verdana"/>
          <w:sz w:val="20"/>
          <w:szCs w:val="20"/>
          <w:lang w:val="en-GB"/>
        </w:rPr>
      </w:pPr>
      <w:r w:rsidRPr="00E11FC2">
        <w:rPr>
          <w:rFonts w:ascii="Verdana" w:hAnsi="Verdana"/>
          <w:sz w:val="20"/>
          <w:szCs w:val="20"/>
          <w:lang w:val="en-GB"/>
        </w:rPr>
        <w:t>Data on the occurrence of taxa that are especially sensitive to trawling impact was downloaded from the OBIS online repository (</w:t>
      </w:r>
      <w:hyperlink r:id="rId17" w:history="1">
        <w:r w:rsidRPr="00E11FC2">
          <w:rPr>
            <w:rStyle w:val="Hyperlink"/>
            <w:rFonts w:ascii="Verdana" w:hAnsi="Verdana"/>
            <w:sz w:val="20"/>
            <w:szCs w:val="20"/>
            <w:lang w:val="en-GB"/>
          </w:rPr>
          <w:t>http://www.iobis.org/</w:t>
        </w:r>
      </w:hyperlink>
      <w:r w:rsidRPr="00E11FC2">
        <w:rPr>
          <w:rFonts w:ascii="Verdana" w:hAnsi="Verdana"/>
          <w:sz w:val="20"/>
          <w:szCs w:val="20"/>
          <w:lang w:val="en-GB"/>
        </w:rPr>
        <w:t>). The OBIS dataset was collected by and is provided with the permission of the National Museum of Natural History, Smithsonian Institution, 10th and Constitution Ave. N.W., Washington, DC 20560-0193. (</w:t>
      </w:r>
      <w:hyperlink r:id="rId18" w:history="1">
        <w:r w:rsidRPr="00E11FC2">
          <w:rPr>
            <w:rStyle w:val="Hyperlink"/>
            <w:rFonts w:ascii="Verdana" w:hAnsi="Verdana"/>
            <w:sz w:val="20"/>
            <w:szCs w:val="20"/>
            <w:lang w:val="en-GB"/>
          </w:rPr>
          <w:t>https://www.nmnh.si.edu/</w:t>
        </w:r>
      </w:hyperlink>
      <w:r w:rsidRPr="00E11FC2">
        <w:rPr>
          <w:rFonts w:ascii="Verdana" w:hAnsi="Verdana"/>
          <w:sz w:val="20"/>
          <w:szCs w:val="20"/>
          <w:lang w:val="en-GB"/>
        </w:rPr>
        <w:t>).</w:t>
      </w:r>
    </w:p>
    <w:p w14:paraId="7147925D" w14:textId="77777777" w:rsidR="001E1A72" w:rsidRPr="00E11FC2" w:rsidRDefault="001E1A72" w:rsidP="001E1A72">
      <w:pPr>
        <w:jc w:val="both"/>
        <w:rPr>
          <w:rFonts w:ascii="Verdana" w:hAnsi="Verdana"/>
          <w:lang w:val="en-GB"/>
        </w:rPr>
      </w:pPr>
    </w:p>
    <w:p w14:paraId="61C6FA10" w14:textId="77777777" w:rsidR="001E1A72" w:rsidRPr="00E11FC2" w:rsidRDefault="001E1A72" w:rsidP="001E1A72">
      <w:pPr>
        <w:jc w:val="both"/>
        <w:rPr>
          <w:lang w:val="en-GB"/>
        </w:rPr>
      </w:pPr>
      <w:r w:rsidRPr="00E11FC2">
        <w:rPr>
          <w:noProof/>
        </w:rPr>
        <w:drawing>
          <wp:inline distT="0" distB="0" distL="0" distR="0" wp14:anchorId="75C1B00A" wp14:editId="27EE5B70">
            <wp:extent cx="3832529" cy="3403158"/>
            <wp:effectExtent l="0" t="0" r="0" b="6985"/>
            <wp:docPr id="22" name="Picture"/>
            <wp:cNvGraphicFramePr/>
            <a:graphic xmlns:a="http://schemas.openxmlformats.org/drawingml/2006/main">
              <a:graphicData uri="http://schemas.openxmlformats.org/drawingml/2006/picture">
                <pic:pic xmlns:pic="http://schemas.openxmlformats.org/drawingml/2006/picture">
                  <pic:nvPicPr>
                    <pic:cNvPr id="5" name="Picture"/>
                    <pic:cNvPicPr/>
                  </pic:nvPicPr>
                  <pic:blipFill>
                    <a:blip r:embed="rId19"/>
                    <a:stretch>
                      <a:fillRect/>
                    </a:stretch>
                  </pic:blipFill>
                  <pic:spPr bwMode="auto">
                    <a:xfrm>
                      <a:off x="0" y="0"/>
                      <a:ext cx="3855871" cy="3423885"/>
                    </a:xfrm>
                    <a:prstGeom prst="rect">
                      <a:avLst/>
                    </a:prstGeom>
                    <a:noFill/>
                    <a:ln w="9525">
                      <a:noFill/>
                      <a:headEnd/>
                      <a:tailEnd/>
                    </a:ln>
                  </pic:spPr>
                </pic:pic>
              </a:graphicData>
            </a:graphic>
          </wp:inline>
        </w:drawing>
      </w:r>
    </w:p>
    <w:p w14:paraId="29741074" w14:textId="77777777" w:rsidR="001E1A72" w:rsidRPr="00E11FC2" w:rsidRDefault="001E1A72" w:rsidP="001E1A72">
      <w:pPr>
        <w:pStyle w:val="Caption"/>
        <w:ind w:left="0"/>
        <w:rPr>
          <w:rFonts w:ascii="Arial" w:hAnsi="Arial" w:cs="Arial"/>
          <w:sz w:val="20"/>
          <w:szCs w:val="20"/>
        </w:rPr>
      </w:pPr>
      <w:r w:rsidRPr="00E11FC2">
        <w:rPr>
          <w:rFonts w:ascii="Arial" w:hAnsi="Arial" w:cs="Arial"/>
          <w:sz w:val="20"/>
          <w:szCs w:val="20"/>
        </w:rPr>
        <w:t>Figure 4 Map showing locations of ground truth data.</w:t>
      </w:r>
    </w:p>
    <w:p w14:paraId="0C2107AE" w14:textId="455887EA" w:rsidR="00897ABC" w:rsidRDefault="00897ABC" w:rsidP="001E1A72">
      <w:pPr>
        <w:pStyle w:val="Heading1"/>
        <w:rPr>
          <w:lang w:val="en-GB"/>
        </w:rPr>
      </w:pPr>
      <w:bookmarkStart w:id="9" w:name="_Toc512593415"/>
    </w:p>
    <w:p w14:paraId="7062ED27" w14:textId="1E30F1F9" w:rsidR="00CD09F9" w:rsidRDefault="00CD09F9" w:rsidP="00CD09F9">
      <w:pPr>
        <w:rPr>
          <w:lang w:val="en-GB"/>
        </w:rPr>
      </w:pPr>
    </w:p>
    <w:p w14:paraId="56BF9A39" w14:textId="7319A169" w:rsidR="00CD09F9" w:rsidRDefault="00CD09F9" w:rsidP="00CD09F9">
      <w:pPr>
        <w:rPr>
          <w:lang w:val="en-GB"/>
        </w:rPr>
      </w:pPr>
    </w:p>
    <w:p w14:paraId="39521C93" w14:textId="1DBEFE5F" w:rsidR="00CD09F9" w:rsidRDefault="00CD09F9" w:rsidP="00CD09F9">
      <w:pPr>
        <w:rPr>
          <w:lang w:val="en-GB"/>
        </w:rPr>
      </w:pPr>
    </w:p>
    <w:p w14:paraId="433131DE" w14:textId="77777777" w:rsidR="00CD09F9" w:rsidRPr="00CD09F9" w:rsidRDefault="00CD09F9" w:rsidP="00CD09F9">
      <w:pPr>
        <w:rPr>
          <w:lang w:val="en-GB"/>
        </w:rPr>
      </w:pPr>
    </w:p>
    <w:p w14:paraId="64A80768" w14:textId="208FC974" w:rsidR="001E1A72" w:rsidRPr="00E11FC2" w:rsidRDefault="000215ED" w:rsidP="000215ED">
      <w:pPr>
        <w:pStyle w:val="Heading1"/>
        <w:rPr>
          <w:lang w:val="en-GB"/>
        </w:rPr>
      </w:pPr>
      <w:bookmarkStart w:id="10" w:name="_Toc512867199"/>
      <w:r w:rsidRPr="00E11FC2">
        <w:rPr>
          <w:lang w:val="en-GB"/>
        </w:rPr>
        <w:lastRenderedPageBreak/>
        <w:t>4</w:t>
      </w:r>
      <w:r w:rsidR="001E1A72" w:rsidRPr="00E11FC2">
        <w:rPr>
          <w:lang w:val="en-GB"/>
        </w:rPr>
        <w:t>. Bottom sediment type classification and map</w:t>
      </w:r>
      <w:bookmarkEnd w:id="9"/>
      <w:bookmarkEnd w:id="10"/>
    </w:p>
    <w:p w14:paraId="1D3115BF" w14:textId="76947C21" w:rsidR="001E1A72" w:rsidRPr="00E11FC2" w:rsidRDefault="000215ED" w:rsidP="000215ED">
      <w:pPr>
        <w:pStyle w:val="Heading2"/>
        <w:rPr>
          <w:lang w:val="en-GB"/>
        </w:rPr>
      </w:pPr>
      <w:bookmarkStart w:id="11" w:name="_Toc512593416"/>
      <w:bookmarkStart w:id="12" w:name="_Toc512867200"/>
      <w:r w:rsidRPr="00E11FC2">
        <w:rPr>
          <w:lang w:val="en-GB"/>
        </w:rPr>
        <w:t>4</w:t>
      </w:r>
      <w:r w:rsidR="001E1A72" w:rsidRPr="00E11FC2">
        <w:rPr>
          <w:lang w:val="en-GB"/>
        </w:rPr>
        <w:t>.1 Sediment types</w:t>
      </w:r>
      <w:bookmarkEnd w:id="11"/>
      <w:bookmarkEnd w:id="12"/>
    </w:p>
    <w:p w14:paraId="7F1C089D" w14:textId="77777777" w:rsidR="001E1A72" w:rsidRPr="00E11FC2" w:rsidRDefault="001E1A72" w:rsidP="00897ABC">
      <w:pPr>
        <w:spacing w:before="120" w:line="360" w:lineRule="auto"/>
        <w:jc w:val="both"/>
        <w:rPr>
          <w:rFonts w:ascii="Verdana" w:hAnsi="Verdana"/>
          <w:sz w:val="20"/>
          <w:szCs w:val="20"/>
          <w:lang w:val="en-GB"/>
        </w:rPr>
      </w:pPr>
      <w:r w:rsidRPr="00E11FC2">
        <w:rPr>
          <w:rFonts w:ascii="Verdana" w:hAnsi="Verdana"/>
          <w:sz w:val="20"/>
          <w:szCs w:val="20"/>
          <w:lang w:val="en-GB"/>
        </w:rPr>
        <w:t>The range of sediment types in the Van veen grab samples was investigated using ternary plots and cluster analysis of the sediment grain size fractions. A ternary plot of the sediment fractions indicates there is a ‘sandier’ group of stations and a ‘muddier’ group of stations (Fig. 5).</w:t>
      </w:r>
    </w:p>
    <w:p w14:paraId="71837322" w14:textId="77777777" w:rsidR="001E1A72" w:rsidRPr="00E11FC2" w:rsidRDefault="001E1A72" w:rsidP="00897ABC">
      <w:pPr>
        <w:pStyle w:val="TOC2"/>
        <w:spacing w:line="360" w:lineRule="auto"/>
        <w:rPr>
          <w:rFonts w:ascii="Verdana" w:hAnsi="Verdana"/>
        </w:rPr>
      </w:pPr>
    </w:p>
    <w:p w14:paraId="5AE4C22E" w14:textId="77777777" w:rsidR="001E1A72" w:rsidRPr="00E11FC2" w:rsidRDefault="001E1A72" w:rsidP="00897ABC">
      <w:pPr>
        <w:pStyle w:val="TOC2"/>
        <w:spacing w:line="360" w:lineRule="auto"/>
        <w:rPr>
          <w:rFonts w:ascii="Verdana" w:hAnsi="Verdana"/>
        </w:rPr>
      </w:pPr>
      <w:r w:rsidRPr="00E11FC2">
        <w:rPr>
          <w:rFonts w:ascii="Verdana" w:hAnsi="Verdana"/>
          <w:noProof/>
          <w:lang w:val="en-US"/>
        </w:rPr>
        <w:drawing>
          <wp:inline distT="0" distB="0" distL="0" distR="0" wp14:anchorId="56ECFD7D" wp14:editId="5CC5988C">
            <wp:extent cx="4198288" cy="3220279"/>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Figs/unnamed-chunk-2-1.png"/>
                    <pic:cNvPicPr>
                      <a:picLocks noChangeAspect="1" noChangeArrowheads="1"/>
                    </pic:cNvPicPr>
                  </pic:nvPicPr>
                  <pic:blipFill>
                    <a:blip r:embed="rId20"/>
                    <a:stretch>
                      <a:fillRect/>
                    </a:stretch>
                  </pic:blipFill>
                  <pic:spPr bwMode="auto">
                    <a:xfrm>
                      <a:off x="0" y="0"/>
                      <a:ext cx="4206414" cy="3226512"/>
                    </a:xfrm>
                    <a:prstGeom prst="rect">
                      <a:avLst/>
                    </a:prstGeom>
                    <a:noFill/>
                    <a:ln w="9525">
                      <a:noFill/>
                      <a:headEnd/>
                      <a:tailEnd/>
                    </a:ln>
                  </pic:spPr>
                </pic:pic>
              </a:graphicData>
            </a:graphic>
          </wp:inline>
        </w:drawing>
      </w:r>
    </w:p>
    <w:p w14:paraId="14FA4F08" w14:textId="77777777" w:rsidR="001E1A72" w:rsidRPr="00E11FC2" w:rsidRDefault="001E1A72" w:rsidP="00897ABC">
      <w:pPr>
        <w:pStyle w:val="Caption"/>
        <w:spacing w:line="360" w:lineRule="auto"/>
        <w:rPr>
          <w:rFonts w:ascii="Verdana" w:hAnsi="Verdana" w:cs="Arial"/>
          <w:sz w:val="20"/>
          <w:szCs w:val="20"/>
        </w:rPr>
      </w:pPr>
      <w:r w:rsidRPr="00E11FC2">
        <w:rPr>
          <w:rFonts w:ascii="Verdana" w:hAnsi="Verdana" w:cs="Arial"/>
          <w:sz w:val="20"/>
          <w:szCs w:val="20"/>
        </w:rPr>
        <w:t>Figure 5 Ternary plot of sediment fractions in grab samples.</w:t>
      </w:r>
    </w:p>
    <w:p w14:paraId="61B6A418" w14:textId="77777777" w:rsidR="001E1A72" w:rsidRPr="00E11FC2" w:rsidRDefault="001E1A72" w:rsidP="00897ABC">
      <w:pPr>
        <w:pStyle w:val="TOC2"/>
        <w:spacing w:line="360" w:lineRule="auto"/>
        <w:rPr>
          <w:rFonts w:ascii="Verdana" w:hAnsi="Verdana"/>
        </w:rPr>
      </w:pPr>
    </w:p>
    <w:p w14:paraId="36C223C8" w14:textId="77777777" w:rsidR="001E1A72" w:rsidRPr="00E11FC2" w:rsidRDefault="001E1A72" w:rsidP="00897ABC">
      <w:pPr>
        <w:pStyle w:val="TOC2"/>
        <w:spacing w:line="360" w:lineRule="auto"/>
        <w:rPr>
          <w:rFonts w:ascii="Verdana" w:hAnsi="Verdana"/>
        </w:rPr>
      </w:pPr>
    </w:p>
    <w:p w14:paraId="50E37B2F" w14:textId="77777777" w:rsidR="001E1A72" w:rsidRPr="00E11FC2" w:rsidRDefault="001E1A72" w:rsidP="00897ABC">
      <w:pPr>
        <w:spacing w:line="360" w:lineRule="auto"/>
        <w:jc w:val="both"/>
        <w:rPr>
          <w:rFonts w:ascii="Verdana" w:hAnsi="Verdana"/>
          <w:sz w:val="20"/>
          <w:szCs w:val="20"/>
          <w:lang w:val="en-GB"/>
        </w:rPr>
      </w:pPr>
      <w:r w:rsidRPr="00E11FC2">
        <w:rPr>
          <w:rFonts w:ascii="Verdana" w:hAnsi="Verdana"/>
          <w:sz w:val="20"/>
          <w:szCs w:val="20"/>
          <w:lang w:val="en-GB"/>
        </w:rPr>
        <w:t>K- means clustering was used to split the stations into groups of different sediment types. The optimal number of groups was identified using metrics applied in the NbClust and fviz_nbclust functions in “factoextra” and “NbClust” packages in R statistical software (R Core Team, 2017). Figure 6 shows examples of three commonly used individual methods for determining the optimal number of groups: the Elbow method, the silhouette method and the gap statistic (Kaufman and Rousseeuw, 1990). Each method identifies a different number of groups.  The NbClust function uses 30 different indices of group unity, determining the optimal number of clusters by majority vote (Charrad et al. 2014). The majority vote indicated by the optimum number of sediment cluster groups was two (10/30 indices, Fig. 7). Grab data were clustered into 2 sediment classes according to the ‘best partition’ output from the NbClust analysis. These clusters were interpreted to correspond to ‘sand’ and ‘mud’.</w:t>
      </w:r>
    </w:p>
    <w:p w14:paraId="1F364379" w14:textId="77777777" w:rsidR="001E1A72" w:rsidRPr="00E11FC2" w:rsidRDefault="001E1A72" w:rsidP="001E1A72">
      <w:pPr>
        <w:pStyle w:val="TOC2"/>
      </w:pPr>
    </w:p>
    <w:p w14:paraId="7FC74C59" w14:textId="77777777" w:rsidR="001E1A72" w:rsidRPr="00E11FC2" w:rsidRDefault="001E1A72" w:rsidP="001E1A72">
      <w:pPr>
        <w:pStyle w:val="TOC2"/>
      </w:pPr>
      <w:r w:rsidRPr="00E11FC2">
        <w:rPr>
          <w:noProof/>
          <w:lang w:val="en-US"/>
        </w:rPr>
        <w:lastRenderedPageBreak/>
        <w:drawing>
          <wp:inline distT="0" distB="0" distL="0" distR="0" wp14:anchorId="237A2188" wp14:editId="1984EA32">
            <wp:extent cx="5422790" cy="1884459"/>
            <wp:effectExtent l="0" t="0" r="6985" b="1905"/>
            <wp:docPr id="24" name="Picture"/>
            <wp:cNvGraphicFramePr/>
            <a:graphic xmlns:a="http://schemas.openxmlformats.org/drawingml/2006/main">
              <a:graphicData uri="http://schemas.openxmlformats.org/drawingml/2006/picture">
                <pic:pic xmlns:pic="http://schemas.openxmlformats.org/drawingml/2006/picture">
                  <pic:nvPicPr>
                    <pic:cNvPr id="0" name="Picture" descr="Figs/unnamed-chunk-3-1.png"/>
                    <pic:cNvPicPr>
                      <a:picLocks noChangeAspect="1" noChangeArrowheads="1"/>
                    </pic:cNvPicPr>
                  </pic:nvPicPr>
                  <pic:blipFill>
                    <a:blip r:embed="rId21"/>
                    <a:stretch>
                      <a:fillRect/>
                    </a:stretch>
                  </pic:blipFill>
                  <pic:spPr bwMode="auto">
                    <a:xfrm>
                      <a:off x="0" y="0"/>
                      <a:ext cx="5445085" cy="1892207"/>
                    </a:xfrm>
                    <a:prstGeom prst="rect">
                      <a:avLst/>
                    </a:prstGeom>
                    <a:noFill/>
                    <a:ln w="9525">
                      <a:noFill/>
                      <a:headEnd/>
                      <a:tailEnd/>
                    </a:ln>
                  </pic:spPr>
                </pic:pic>
              </a:graphicData>
            </a:graphic>
          </wp:inline>
        </w:drawing>
      </w:r>
    </w:p>
    <w:p w14:paraId="1BC8F8E8" w14:textId="77777777" w:rsidR="001E1A72" w:rsidRPr="00E11FC2" w:rsidRDefault="001E1A72" w:rsidP="001E1A72">
      <w:pPr>
        <w:pStyle w:val="Caption"/>
        <w:rPr>
          <w:rFonts w:ascii="Arial" w:hAnsi="Arial" w:cs="Arial"/>
          <w:sz w:val="20"/>
          <w:szCs w:val="20"/>
        </w:rPr>
      </w:pPr>
      <w:r w:rsidRPr="00E11FC2">
        <w:rPr>
          <w:rFonts w:ascii="Arial" w:hAnsi="Arial" w:cs="Arial"/>
          <w:sz w:val="20"/>
          <w:szCs w:val="20"/>
        </w:rPr>
        <w:t>Figure 6 Examples of different methods for determining the optimal number of clusters.</w:t>
      </w:r>
    </w:p>
    <w:p w14:paraId="40424826" w14:textId="77777777" w:rsidR="001E1A72" w:rsidRPr="00E11FC2" w:rsidRDefault="001E1A72" w:rsidP="001E1A72">
      <w:pPr>
        <w:pStyle w:val="TOC2"/>
      </w:pPr>
    </w:p>
    <w:p w14:paraId="49D6A183" w14:textId="77777777" w:rsidR="001E1A72" w:rsidRPr="00E11FC2" w:rsidRDefault="001E1A72" w:rsidP="001E1A72">
      <w:pPr>
        <w:pStyle w:val="TOC2"/>
      </w:pPr>
    </w:p>
    <w:p w14:paraId="49FEF1E9" w14:textId="77777777" w:rsidR="001E1A72" w:rsidRPr="00E11FC2" w:rsidRDefault="001E1A72" w:rsidP="001E1A72">
      <w:pPr>
        <w:pStyle w:val="TOC2"/>
      </w:pPr>
      <w:r w:rsidRPr="00E11FC2">
        <w:rPr>
          <w:noProof/>
          <w:lang w:val="en-US"/>
        </w:rPr>
        <w:drawing>
          <wp:inline distT="0" distB="0" distL="0" distR="0" wp14:anchorId="050CAA06" wp14:editId="5B677526">
            <wp:extent cx="5303520" cy="1916264"/>
            <wp:effectExtent l="0" t="0" r="0" b="8255"/>
            <wp:docPr id="25" name="Picture"/>
            <wp:cNvGraphicFramePr/>
            <a:graphic xmlns:a="http://schemas.openxmlformats.org/drawingml/2006/main">
              <a:graphicData uri="http://schemas.openxmlformats.org/drawingml/2006/picture">
                <pic:pic xmlns:pic="http://schemas.openxmlformats.org/drawingml/2006/picture">
                  <pic:nvPicPr>
                    <pic:cNvPr id="0" name="Picture" descr="Figs/unnamed-chunk-3-4.png"/>
                    <pic:cNvPicPr>
                      <a:picLocks noChangeAspect="1" noChangeArrowheads="1"/>
                    </pic:cNvPicPr>
                  </pic:nvPicPr>
                  <pic:blipFill>
                    <a:blip r:embed="rId22"/>
                    <a:stretch>
                      <a:fillRect/>
                    </a:stretch>
                  </pic:blipFill>
                  <pic:spPr bwMode="auto">
                    <a:xfrm>
                      <a:off x="0" y="0"/>
                      <a:ext cx="5336504" cy="1928182"/>
                    </a:xfrm>
                    <a:prstGeom prst="rect">
                      <a:avLst/>
                    </a:prstGeom>
                    <a:noFill/>
                    <a:ln w="9525">
                      <a:noFill/>
                      <a:headEnd/>
                      <a:tailEnd/>
                    </a:ln>
                  </pic:spPr>
                </pic:pic>
              </a:graphicData>
            </a:graphic>
          </wp:inline>
        </w:drawing>
      </w:r>
    </w:p>
    <w:p w14:paraId="549350E2" w14:textId="77777777" w:rsidR="001E1A72" w:rsidRPr="00E11FC2" w:rsidRDefault="001E1A72" w:rsidP="001E1A72">
      <w:pPr>
        <w:pStyle w:val="TOC2"/>
      </w:pPr>
    </w:p>
    <w:p w14:paraId="3292D4C1" w14:textId="77777777" w:rsidR="001E1A72" w:rsidRPr="00E11FC2" w:rsidRDefault="001E1A72" w:rsidP="001E1A72">
      <w:pPr>
        <w:pStyle w:val="Caption"/>
        <w:rPr>
          <w:rFonts w:ascii="Arial" w:hAnsi="Arial" w:cs="Arial"/>
          <w:sz w:val="20"/>
          <w:szCs w:val="20"/>
        </w:rPr>
      </w:pPr>
      <w:r w:rsidRPr="00E11FC2">
        <w:rPr>
          <w:rFonts w:ascii="Arial" w:hAnsi="Arial" w:cs="Arial"/>
          <w:sz w:val="20"/>
          <w:szCs w:val="20"/>
        </w:rPr>
        <w:t>Figure 7 Result of the NBClust analysis to determine the optimal number of cluster groups.</w:t>
      </w:r>
    </w:p>
    <w:p w14:paraId="73883166" w14:textId="77777777" w:rsidR="001E1A72" w:rsidRPr="00E11FC2" w:rsidRDefault="001E1A72" w:rsidP="001E1A72">
      <w:pPr>
        <w:pStyle w:val="TOC2"/>
      </w:pPr>
    </w:p>
    <w:p w14:paraId="4ADBFDFB" w14:textId="77777777" w:rsidR="001E1A72" w:rsidRPr="00E11FC2" w:rsidRDefault="001E1A72" w:rsidP="001E1A72">
      <w:pPr>
        <w:pStyle w:val="TOC2"/>
      </w:pPr>
    </w:p>
    <w:p w14:paraId="74AB5D9F" w14:textId="77777777" w:rsidR="001E1A72" w:rsidRPr="00E11FC2" w:rsidRDefault="001E1A72" w:rsidP="001E1A72">
      <w:pPr>
        <w:pStyle w:val="TOC2"/>
      </w:pPr>
      <w:r w:rsidRPr="00E11FC2">
        <w:rPr>
          <w:noProof/>
          <w:lang w:val="en-US"/>
        </w:rPr>
        <w:drawing>
          <wp:inline distT="0" distB="0" distL="0" distR="0" wp14:anchorId="1C9E926B" wp14:editId="0A63D2B7">
            <wp:extent cx="4158532" cy="3331596"/>
            <wp:effectExtent l="0" t="0" r="0" b="2540"/>
            <wp:docPr id="26" name="Picture"/>
            <wp:cNvGraphicFramePr/>
            <a:graphic xmlns:a="http://schemas.openxmlformats.org/drawingml/2006/main">
              <a:graphicData uri="http://schemas.openxmlformats.org/drawingml/2006/picture">
                <pic:pic xmlns:pic="http://schemas.openxmlformats.org/drawingml/2006/picture">
                  <pic:nvPicPr>
                    <pic:cNvPr id="0" name="Picture" descr="Figs/unnamed-chunk-4-1.png"/>
                    <pic:cNvPicPr>
                      <a:picLocks noChangeAspect="1" noChangeArrowheads="1"/>
                    </pic:cNvPicPr>
                  </pic:nvPicPr>
                  <pic:blipFill>
                    <a:blip r:embed="rId23"/>
                    <a:stretch>
                      <a:fillRect/>
                    </a:stretch>
                  </pic:blipFill>
                  <pic:spPr bwMode="auto">
                    <a:xfrm>
                      <a:off x="0" y="0"/>
                      <a:ext cx="4169446" cy="3340340"/>
                    </a:xfrm>
                    <a:prstGeom prst="rect">
                      <a:avLst/>
                    </a:prstGeom>
                    <a:noFill/>
                    <a:ln w="9525">
                      <a:noFill/>
                      <a:headEnd/>
                      <a:tailEnd/>
                    </a:ln>
                  </pic:spPr>
                </pic:pic>
              </a:graphicData>
            </a:graphic>
          </wp:inline>
        </w:drawing>
      </w:r>
    </w:p>
    <w:p w14:paraId="6D339BFD" w14:textId="77777777" w:rsidR="001E1A72" w:rsidRPr="00E11FC2" w:rsidRDefault="001E1A72" w:rsidP="001E1A72">
      <w:pPr>
        <w:pStyle w:val="TOC2"/>
      </w:pPr>
    </w:p>
    <w:p w14:paraId="03F8850D" w14:textId="2B0607ED" w:rsidR="001E1A72" w:rsidRPr="00F800DF" w:rsidRDefault="001E1A72" w:rsidP="00F800DF">
      <w:pPr>
        <w:pStyle w:val="Caption"/>
        <w:rPr>
          <w:rFonts w:ascii="Arial" w:hAnsi="Arial" w:cs="Arial"/>
          <w:sz w:val="20"/>
          <w:szCs w:val="20"/>
        </w:rPr>
      </w:pPr>
      <w:r w:rsidRPr="00E11FC2">
        <w:rPr>
          <w:rFonts w:ascii="Arial" w:hAnsi="Arial" w:cs="Arial"/>
          <w:sz w:val="20"/>
          <w:szCs w:val="20"/>
        </w:rPr>
        <w:t>Figure 8 Cluster groups for 'sand and 'mud' illustrated on the ternary diagram.</w:t>
      </w:r>
    </w:p>
    <w:p w14:paraId="6CB5CFB8" w14:textId="77777777" w:rsidR="001E1A72" w:rsidRPr="00E11FC2" w:rsidRDefault="001E1A72" w:rsidP="00897ABC">
      <w:pPr>
        <w:spacing w:line="360" w:lineRule="auto"/>
        <w:jc w:val="both"/>
        <w:rPr>
          <w:rFonts w:ascii="Verdana" w:hAnsi="Verdana"/>
          <w:sz w:val="20"/>
          <w:szCs w:val="20"/>
          <w:lang w:val="en-GB"/>
        </w:rPr>
      </w:pPr>
      <w:r w:rsidRPr="00E11FC2">
        <w:rPr>
          <w:rFonts w:ascii="Verdana" w:hAnsi="Verdana"/>
          <w:sz w:val="20"/>
          <w:szCs w:val="20"/>
          <w:lang w:val="en-GB"/>
        </w:rPr>
        <w:lastRenderedPageBreak/>
        <w:t>A conditional inference (CI) tree model (Hothorn et al., 2006) was used to identify the best environmental predictors and their associated cut-off values for predicting the distribution of the sediment classes in geographical space. The light attenuation coefficient (KD2) was found to best separate the sediments (Fig. 9). Sand (class 1) is most likely to occur where KD2 ≤ 0.3 and Mud (class 2) where KD2 &gt; 0.3. The CI model was used to predict sediment class across the shelf (Fig. 10).</w:t>
      </w:r>
    </w:p>
    <w:p w14:paraId="15EEACE0" w14:textId="77777777" w:rsidR="001E1A72" w:rsidRPr="00E11FC2" w:rsidRDefault="001E1A72" w:rsidP="00897ABC">
      <w:pPr>
        <w:pStyle w:val="TOC2"/>
        <w:spacing w:line="360" w:lineRule="auto"/>
      </w:pPr>
    </w:p>
    <w:p w14:paraId="006AB790" w14:textId="77777777" w:rsidR="001E1A72" w:rsidRPr="00E11FC2" w:rsidRDefault="001E1A72" w:rsidP="001E1A72">
      <w:pPr>
        <w:pStyle w:val="TOC2"/>
      </w:pPr>
    </w:p>
    <w:p w14:paraId="1910CCE8" w14:textId="77777777" w:rsidR="001E1A72" w:rsidRPr="00E11FC2" w:rsidRDefault="001E1A72" w:rsidP="001E1A72">
      <w:pPr>
        <w:pStyle w:val="TOC2"/>
      </w:pPr>
      <w:r w:rsidRPr="00E11FC2">
        <w:rPr>
          <w:noProof/>
          <w:lang w:val="en-US"/>
        </w:rPr>
        <w:drawing>
          <wp:anchor distT="0" distB="0" distL="114300" distR="114300" simplePos="0" relativeHeight="251659264" behindDoc="0" locked="0" layoutInCell="1" allowOverlap="1" wp14:anchorId="329760AB" wp14:editId="74643DB6">
            <wp:simplePos x="0" y="0"/>
            <wp:positionH relativeFrom="column">
              <wp:posOffset>0</wp:posOffset>
            </wp:positionH>
            <wp:positionV relativeFrom="paragraph">
              <wp:posOffset>167005</wp:posOffset>
            </wp:positionV>
            <wp:extent cx="3200400" cy="3200400"/>
            <wp:effectExtent l="0" t="0" r="0" b="0"/>
            <wp:wrapSquare wrapText="bothSides"/>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Figs/unnamed-chunk-6-1.pn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3200400" cy="3200400"/>
                    </a:xfrm>
                    <a:prstGeom prst="rect">
                      <a:avLst/>
                    </a:prstGeom>
                    <a:noFill/>
                    <a:ln w="9525">
                      <a:noFill/>
                      <a:headEnd/>
                      <a:tailEnd/>
                    </a:ln>
                  </pic:spPr>
                </pic:pic>
              </a:graphicData>
            </a:graphic>
            <wp14:sizeRelH relativeFrom="page">
              <wp14:pctWidth>0</wp14:pctWidth>
            </wp14:sizeRelH>
            <wp14:sizeRelV relativeFrom="page">
              <wp14:pctHeight>0</wp14:pctHeight>
            </wp14:sizeRelV>
          </wp:anchor>
        </w:drawing>
      </w:r>
    </w:p>
    <w:p w14:paraId="34919F99" w14:textId="77777777" w:rsidR="001E1A72" w:rsidRPr="00E11FC2" w:rsidRDefault="001E1A72" w:rsidP="001E1A72">
      <w:pPr>
        <w:pStyle w:val="TOC2"/>
      </w:pPr>
    </w:p>
    <w:p w14:paraId="51A48237" w14:textId="77777777" w:rsidR="001E1A72" w:rsidRPr="00E11FC2" w:rsidRDefault="001E1A72" w:rsidP="001E1A72">
      <w:pPr>
        <w:pStyle w:val="TOC2"/>
      </w:pPr>
    </w:p>
    <w:p w14:paraId="2F246112" w14:textId="77777777" w:rsidR="001E1A72" w:rsidRPr="00E11FC2" w:rsidRDefault="001E1A72" w:rsidP="001E1A72">
      <w:pPr>
        <w:pStyle w:val="TOC2"/>
      </w:pPr>
    </w:p>
    <w:p w14:paraId="21ACACAF" w14:textId="77777777" w:rsidR="001E1A72" w:rsidRPr="00E11FC2" w:rsidRDefault="001E1A72" w:rsidP="001E1A72">
      <w:pPr>
        <w:pStyle w:val="TOC2"/>
      </w:pPr>
    </w:p>
    <w:p w14:paraId="78697170" w14:textId="77777777" w:rsidR="001E1A72" w:rsidRPr="00E11FC2" w:rsidRDefault="001E1A72" w:rsidP="001E1A72">
      <w:pPr>
        <w:pStyle w:val="TOC2"/>
      </w:pPr>
    </w:p>
    <w:p w14:paraId="0031DAEA" w14:textId="77777777" w:rsidR="001E1A72" w:rsidRPr="00E11FC2" w:rsidRDefault="001E1A72" w:rsidP="001E1A72">
      <w:pPr>
        <w:pStyle w:val="TOC2"/>
      </w:pPr>
    </w:p>
    <w:p w14:paraId="13A7F4FD" w14:textId="77777777" w:rsidR="001E1A72" w:rsidRPr="00E11FC2" w:rsidRDefault="001E1A72" w:rsidP="001E1A72">
      <w:pPr>
        <w:pStyle w:val="Caption"/>
        <w:ind w:right="571"/>
      </w:pPr>
    </w:p>
    <w:p w14:paraId="2D6E474F" w14:textId="77777777" w:rsidR="001E1A72" w:rsidRPr="00E11FC2" w:rsidRDefault="001E1A72" w:rsidP="001E1A72">
      <w:pPr>
        <w:pStyle w:val="Caption"/>
        <w:ind w:right="571"/>
      </w:pPr>
    </w:p>
    <w:p w14:paraId="7AB268C9" w14:textId="77777777" w:rsidR="001E1A72" w:rsidRPr="00E11FC2" w:rsidRDefault="001E1A72" w:rsidP="001E1A72">
      <w:pPr>
        <w:pStyle w:val="Caption"/>
        <w:ind w:right="571"/>
      </w:pPr>
    </w:p>
    <w:p w14:paraId="296AD730" w14:textId="77777777" w:rsidR="001E1A72" w:rsidRPr="00E11FC2" w:rsidRDefault="001E1A72" w:rsidP="001E1A72">
      <w:pPr>
        <w:pStyle w:val="Caption"/>
        <w:ind w:right="571"/>
        <w:rPr>
          <w:rFonts w:ascii="Arial" w:hAnsi="Arial" w:cs="Arial"/>
          <w:sz w:val="20"/>
          <w:szCs w:val="20"/>
        </w:rPr>
      </w:pPr>
      <w:r w:rsidRPr="00E11FC2">
        <w:rPr>
          <w:rFonts w:ascii="Arial" w:hAnsi="Arial" w:cs="Arial"/>
          <w:sz w:val="20"/>
          <w:szCs w:val="20"/>
        </w:rPr>
        <w:t xml:space="preserve">Figure </w:t>
      </w:r>
      <w:r w:rsidRPr="00E11FC2">
        <w:rPr>
          <w:rFonts w:ascii="Arial" w:hAnsi="Arial" w:cs="Arial"/>
          <w:sz w:val="20"/>
          <w:szCs w:val="20"/>
        </w:rPr>
        <w:fldChar w:fldCharType="begin"/>
      </w:r>
      <w:r w:rsidRPr="00E11FC2">
        <w:rPr>
          <w:rFonts w:ascii="Arial" w:hAnsi="Arial" w:cs="Arial"/>
          <w:sz w:val="20"/>
          <w:szCs w:val="20"/>
        </w:rPr>
        <w:instrText xml:space="preserve"> SEQ Figure \* ARABIC </w:instrText>
      </w:r>
      <w:r w:rsidRPr="00E11FC2">
        <w:rPr>
          <w:rFonts w:ascii="Arial" w:hAnsi="Arial" w:cs="Arial"/>
          <w:sz w:val="20"/>
          <w:szCs w:val="20"/>
        </w:rPr>
        <w:fldChar w:fldCharType="separate"/>
      </w:r>
      <w:r w:rsidRPr="00E11FC2">
        <w:rPr>
          <w:rFonts w:ascii="Arial" w:hAnsi="Arial" w:cs="Arial"/>
          <w:noProof/>
          <w:sz w:val="20"/>
          <w:szCs w:val="20"/>
        </w:rPr>
        <w:t>9</w:t>
      </w:r>
      <w:r w:rsidRPr="00E11FC2">
        <w:rPr>
          <w:rFonts w:ascii="Arial" w:hAnsi="Arial" w:cs="Arial"/>
          <w:noProof/>
          <w:sz w:val="20"/>
          <w:szCs w:val="20"/>
        </w:rPr>
        <w:fldChar w:fldCharType="end"/>
      </w:r>
      <w:r w:rsidRPr="00E11FC2">
        <w:rPr>
          <w:rFonts w:ascii="Arial" w:hAnsi="Arial" w:cs="Arial"/>
          <w:sz w:val="20"/>
          <w:szCs w:val="20"/>
        </w:rPr>
        <w:t xml:space="preserve"> The result of the conditional inference tree analysis on the two sediment classes identified through cluster analysis. Class 1 = ‘sand’, and class 2 = ‘mud’.</w:t>
      </w:r>
    </w:p>
    <w:p w14:paraId="02CE2322" w14:textId="77777777" w:rsidR="001E1A72" w:rsidRPr="00E11FC2" w:rsidRDefault="001E1A72" w:rsidP="001E1A72">
      <w:pPr>
        <w:pStyle w:val="TOC2"/>
      </w:pPr>
    </w:p>
    <w:p w14:paraId="392688E6" w14:textId="77777777" w:rsidR="001E1A72" w:rsidRPr="00E11FC2" w:rsidRDefault="001E1A72" w:rsidP="001E1A72">
      <w:pPr>
        <w:pStyle w:val="TOC2"/>
      </w:pPr>
    </w:p>
    <w:p w14:paraId="165EA638" w14:textId="77777777" w:rsidR="001E1A72" w:rsidRPr="00E11FC2" w:rsidRDefault="001E1A72" w:rsidP="001E1A72">
      <w:pPr>
        <w:pStyle w:val="TOC2"/>
      </w:pPr>
    </w:p>
    <w:p w14:paraId="481B6179" w14:textId="77777777" w:rsidR="001E1A72" w:rsidRPr="00E11FC2" w:rsidRDefault="001E1A72" w:rsidP="001E1A72">
      <w:pPr>
        <w:pStyle w:val="TOC2"/>
      </w:pPr>
      <w:r w:rsidRPr="00E11FC2">
        <w:rPr>
          <w:noProof/>
          <w:lang w:val="en-US"/>
        </w:rPr>
        <w:drawing>
          <wp:inline distT="0" distB="0" distL="0" distR="0" wp14:anchorId="44A054CC" wp14:editId="55E1DC51">
            <wp:extent cx="3638483" cy="2910177"/>
            <wp:effectExtent l="0" t="0" r="635" b="5080"/>
            <wp:docP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Figs/unnamed-chunk-9-1.png"/>
                    <pic:cNvPicPr>
                      <a:picLocks noChangeAspect="1" noChangeArrowheads="1"/>
                    </pic:cNvPicPr>
                  </pic:nvPicPr>
                  <pic:blipFill>
                    <a:blip r:embed="rId25"/>
                    <a:stretch>
                      <a:fillRect/>
                    </a:stretch>
                  </pic:blipFill>
                  <pic:spPr bwMode="auto">
                    <a:xfrm>
                      <a:off x="0" y="0"/>
                      <a:ext cx="3646114" cy="2916280"/>
                    </a:xfrm>
                    <a:prstGeom prst="rect">
                      <a:avLst/>
                    </a:prstGeom>
                    <a:noFill/>
                    <a:ln w="9525">
                      <a:noFill/>
                      <a:headEnd/>
                      <a:tailEnd/>
                    </a:ln>
                  </pic:spPr>
                </pic:pic>
              </a:graphicData>
            </a:graphic>
          </wp:inline>
        </w:drawing>
      </w:r>
    </w:p>
    <w:p w14:paraId="5D774276" w14:textId="77777777" w:rsidR="001E1A72" w:rsidRPr="00E11FC2" w:rsidRDefault="001E1A72" w:rsidP="001E1A72">
      <w:pPr>
        <w:pStyle w:val="Caption"/>
        <w:ind w:left="0"/>
        <w:rPr>
          <w:sz w:val="20"/>
          <w:szCs w:val="20"/>
        </w:rPr>
      </w:pPr>
      <w:bookmarkStart w:id="13" w:name="_Ref511900691"/>
      <w:r w:rsidRPr="00E11FC2">
        <w:rPr>
          <w:sz w:val="20"/>
          <w:szCs w:val="20"/>
        </w:rPr>
        <w:t xml:space="preserve">Figure </w:t>
      </w:r>
      <w:r w:rsidRPr="00E11FC2">
        <w:rPr>
          <w:sz w:val="20"/>
          <w:szCs w:val="20"/>
        </w:rPr>
        <w:fldChar w:fldCharType="begin"/>
      </w:r>
      <w:r w:rsidRPr="00E11FC2">
        <w:rPr>
          <w:sz w:val="20"/>
          <w:szCs w:val="20"/>
        </w:rPr>
        <w:instrText xml:space="preserve"> SEQ Figure \* ARABIC </w:instrText>
      </w:r>
      <w:r w:rsidRPr="00E11FC2">
        <w:rPr>
          <w:sz w:val="20"/>
          <w:szCs w:val="20"/>
        </w:rPr>
        <w:fldChar w:fldCharType="separate"/>
      </w:r>
      <w:r w:rsidRPr="00E11FC2">
        <w:rPr>
          <w:noProof/>
          <w:sz w:val="20"/>
          <w:szCs w:val="20"/>
        </w:rPr>
        <w:t>10</w:t>
      </w:r>
      <w:r w:rsidRPr="00E11FC2">
        <w:rPr>
          <w:noProof/>
          <w:sz w:val="20"/>
          <w:szCs w:val="20"/>
        </w:rPr>
        <w:fldChar w:fldCharType="end"/>
      </w:r>
      <w:bookmarkEnd w:id="13"/>
      <w:r w:rsidRPr="00E11FC2">
        <w:rPr>
          <w:sz w:val="20"/>
          <w:szCs w:val="20"/>
        </w:rPr>
        <w:t xml:space="preserve"> Spatial prediction of the two sediment classes.</w:t>
      </w:r>
    </w:p>
    <w:p w14:paraId="433D8B19" w14:textId="77777777" w:rsidR="001E1A72" w:rsidRPr="00E11FC2" w:rsidRDefault="001E1A72" w:rsidP="001E1A72">
      <w:pPr>
        <w:pStyle w:val="TOC2"/>
      </w:pPr>
    </w:p>
    <w:p w14:paraId="2B0E1CF1" w14:textId="59FF6007" w:rsidR="001E1A72" w:rsidRPr="00E11FC2" w:rsidRDefault="000215ED" w:rsidP="000215ED">
      <w:pPr>
        <w:pStyle w:val="Heading2"/>
        <w:rPr>
          <w:lang w:val="en-GB"/>
        </w:rPr>
      </w:pPr>
      <w:bookmarkStart w:id="14" w:name="_Toc512593417"/>
      <w:bookmarkStart w:id="15" w:name="_Toc512867201"/>
      <w:r w:rsidRPr="00E11FC2">
        <w:rPr>
          <w:lang w:val="en-GB"/>
        </w:rPr>
        <w:lastRenderedPageBreak/>
        <w:t>4</w:t>
      </w:r>
      <w:r w:rsidR="001E1A72" w:rsidRPr="00E11FC2">
        <w:rPr>
          <w:lang w:val="en-GB"/>
        </w:rPr>
        <w:t>.2 Sediment grain size fractions</w:t>
      </w:r>
      <w:bookmarkEnd w:id="14"/>
      <w:bookmarkEnd w:id="15"/>
    </w:p>
    <w:p w14:paraId="577921BE" w14:textId="77777777" w:rsidR="001E1A72" w:rsidRPr="00E11FC2" w:rsidRDefault="001E1A72" w:rsidP="00897ABC">
      <w:pPr>
        <w:spacing w:before="120" w:line="360" w:lineRule="auto"/>
        <w:jc w:val="both"/>
        <w:rPr>
          <w:rFonts w:ascii="Verdana" w:hAnsi="Verdana"/>
          <w:sz w:val="20"/>
          <w:szCs w:val="20"/>
          <w:lang w:val="en-GB"/>
        </w:rPr>
      </w:pPr>
      <w:r w:rsidRPr="00E11FC2">
        <w:rPr>
          <w:rFonts w:ascii="Verdana" w:hAnsi="Verdana"/>
          <w:sz w:val="20"/>
          <w:szCs w:val="20"/>
          <w:lang w:val="en-GB"/>
        </w:rPr>
        <w:t>The spatial distribution for the sand, silt and clay sediment fractions was modelled using the random Forest function in the ‘random Forest’ package in R (Liaw and Wiener, 2002). For each variable, potential predictor variables were first investigated using the boruta algorithm in the ‘Boruta’ package (Kursa and Rudnicki, 2010). The most important variables for model performance were the light attenuation coefficient (KD2), % light at the bottom and the BPI. After inspection of response curves for models the % light at the bottom variable was dropped from the final models because of a response curve that did not seem realistic. Each random forest model was run with the default settings with 250 threes.</w:t>
      </w:r>
    </w:p>
    <w:p w14:paraId="5D1047D8" w14:textId="77777777" w:rsidR="001E1A72" w:rsidRPr="00E11FC2" w:rsidRDefault="001E1A72" w:rsidP="00897ABC">
      <w:pPr>
        <w:spacing w:line="360" w:lineRule="auto"/>
        <w:jc w:val="both"/>
        <w:rPr>
          <w:rFonts w:ascii="Verdana" w:hAnsi="Verdana"/>
          <w:sz w:val="20"/>
          <w:szCs w:val="20"/>
          <w:lang w:val="en-GB"/>
        </w:rPr>
      </w:pPr>
    </w:p>
    <w:p w14:paraId="54A110CB" w14:textId="77777777" w:rsidR="001E1A72" w:rsidRPr="00E11FC2" w:rsidRDefault="001E1A72" w:rsidP="00897ABC">
      <w:pPr>
        <w:spacing w:line="360" w:lineRule="auto"/>
        <w:jc w:val="both"/>
        <w:rPr>
          <w:rFonts w:ascii="Verdana" w:hAnsi="Verdana"/>
          <w:sz w:val="20"/>
          <w:szCs w:val="20"/>
          <w:lang w:val="en-GB"/>
        </w:rPr>
      </w:pPr>
      <w:r w:rsidRPr="00E11FC2">
        <w:rPr>
          <w:rFonts w:ascii="Verdana" w:hAnsi="Verdana"/>
          <w:sz w:val="20"/>
          <w:szCs w:val="20"/>
          <w:lang w:val="en-GB"/>
        </w:rPr>
        <w:t>The models fit data well. It was not possible to do independent validation on the models because of the low number of samples. Table 1 shows the out of bag (OOB) estimates of root mean squared error (RMSE) and variance explained (R2) by the random forest model for each sediment fraction.</w:t>
      </w:r>
    </w:p>
    <w:p w14:paraId="420E2818" w14:textId="77777777" w:rsidR="001E1A72" w:rsidRPr="00E11FC2" w:rsidRDefault="001E1A72" w:rsidP="00897ABC">
      <w:pPr>
        <w:spacing w:line="360" w:lineRule="auto"/>
        <w:jc w:val="both"/>
        <w:rPr>
          <w:rFonts w:ascii="Verdana" w:hAnsi="Verdana"/>
          <w:sz w:val="20"/>
          <w:szCs w:val="20"/>
          <w:lang w:val="en-GB"/>
        </w:rPr>
      </w:pPr>
    </w:p>
    <w:p w14:paraId="3424ED39" w14:textId="77777777" w:rsidR="001E1A72" w:rsidRPr="00E11FC2" w:rsidRDefault="001E1A72" w:rsidP="00897ABC">
      <w:pPr>
        <w:spacing w:line="360" w:lineRule="auto"/>
        <w:jc w:val="both"/>
        <w:rPr>
          <w:rFonts w:ascii="Verdana" w:hAnsi="Verdana"/>
          <w:sz w:val="20"/>
          <w:szCs w:val="20"/>
          <w:lang w:val="en-GB"/>
        </w:rPr>
      </w:pPr>
      <w:r w:rsidRPr="00E11FC2">
        <w:rPr>
          <w:rFonts w:ascii="Verdana" w:hAnsi="Verdana"/>
          <w:sz w:val="20"/>
          <w:szCs w:val="20"/>
          <w:lang w:val="en-GB"/>
        </w:rPr>
        <w:t>Sand content was highest in clear waters with low light attenuation and flat or low-lying topography. Both clay and silt content increased with increasing turbidity. Clay was most prominent in elevated topographies (Fig. 11).</w:t>
      </w:r>
    </w:p>
    <w:p w14:paraId="07AD68A5" w14:textId="77777777" w:rsidR="001E1A72" w:rsidRPr="00E11FC2" w:rsidRDefault="001E1A72" w:rsidP="00897ABC">
      <w:pPr>
        <w:pStyle w:val="TOC2"/>
        <w:spacing w:line="360" w:lineRule="auto"/>
      </w:pPr>
    </w:p>
    <w:p w14:paraId="2294399E" w14:textId="77777777" w:rsidR="001E1A72" w:rsidRPr="00E11FC2" w:rsidRDefault="001E1A72" w:rsidP="001E1A72">
      <w:pPr>
        <w:pStyle w:val="TOC2"/>
      </w:pPr>
    </w:p>
    <w:p w14:paraId="2B73144D" w14:textId="77777777" w:rsidR="001E1A72" w:rsidRPr="00E11FC2" w:rsidRDefault="001E1A72" w:rsidP="001E1A72">
      <w:pPr>
        <w:pStyle w:val="Caption"/>
        <w:keepNext/>
        <w:ind w:left="0"/>
        <w:rPr>
          <w:rFonts w:ascii="Arial" w:hAnsi="Arial" w:cs="Arial"/>
          <w:sz w:val="20"/>
          <w:szCs w:val="20"/>
        </w:rPr>
      </w:pPr>
      <w:bookmarkStart w:id="16" w:name="_Ref511913393"/>
    </w:p>
    <w:p w14:paraId="78DEA6C2" w14:textId="77777777" w:rsidR="001E1A72" w:rsidRPr="00E11FC2" w:rsidRDefault="001E1A72" w:rsidP="001E1A72">
      <w:pPr>
        <w:pStyle w:val="Caption"/>
        <w:keepNext/>
        <w:ind w:left="0"/>
      </w:pPr>
      <w:r w:rsidRPr="00E11FC2">
        <w:rPr>
          <w:rFonts w:ascii="Arial" w:hAnsi="Arial" w:cs="Arial"/>
          <w:sz w:val="20"/>
          <w:szCs w:val="20"/>
        </w:rPr>
        <w:t xml:space="preserve">Table </w:t>
      </w:r>
      <w:r w:rsidRPr="00E11FC2">
        <w:rPr>
          <w:rFonts w:ascii="Arial" w:hAnsi="Arial" w:cs="Arial"/>
          <w:sz w:val="20"/>
          <w:szCs w:val="20"/>
        </w:rPr>
        <w:fldChar w:fldCharType="begin"/>
      </w:r>
      <w:r w:rsidRPr="00E11FC2">
        <w:rPr>
          <w:rFonts w:ascii="Arial" w:hAnsi="Arial" w:cs="Arial"/>
          <w:sz w:val="20"/>
          <w:szCs w:val="20"/>
        </w:rPr>
        <w:instrText xml:space="preserve"> SEQ Table \* ARABIC </w:instrText>
      </w:r>
      <w:r w:rsidRPr="00E11FC2">
        <w:rPr>
          <w:rFonts w:ascii="Arial" w:hAnsi="Arial" w:cs="Arial"/>
          <w:sz w:val="20"/>
          <w:szCs w:val="20"/>
        </w:rPr>
        <w:fldChar w:fldCharType="separate"/>
      </w:r>
      <w:r w:rsidRPr="00E11FC2">
        <w:rPr>
          <w:rFonts w:ascii="Arial" w:hAnsi="Arial" w:cs="Arial"/>
          <w:noProof/>
          <w:sz w:val="20"/>
          <w:szCs w:val="20"/>
        </w:rPr>
        <w:t>1</w:t>
      </w:r>
      <w:r w:rsidRPr="00E11FC2">
        <w:rPr>
          <w:rFonts w:ascii="Arial" w:hAnsi="Arial" w:cs="Arial"/>
          <w:noProof/>
          <w:sz w:val="20"/>
          <w:szCs w:val="20"/>
        </w:rPr>
        <w:fldChar w:fldCharType="end"/>
      </w:r>
      <w:bookmarkEnd w:id="16"/>
      <w:r w:rsidRPr="00E11FC2">
        <w:rPr>
          <w:rFonts w:ascii="Arial" w:hAnsi="Arial" w:cs="Arial"/>
          <w:sz w:val="20"/>
          <w:szCs w:val="20"/>
        </w:rPr>
        <w:t xml:space="preserve"> Internal validation results for random forest models</w:t>
      </w:r>
      <w:r w:rsidRPr="00E11FC2">
        <w:t>.</w:t>
      </w:r>
    </w:p>
    <w:tbl>
      <w:tblPr>
        <w:tblW w:w="2741" w:type="pct"/>
        <w:tblLook w:val="07E0" w:firstRow="1" w:lastRow="1" w:firstColumn="1" w:lastColumn="1" w:noHBand="1" w:noVBand="1"/>
      </w:tblPr>
      <w:tblGrid>
        <w:gridCol w:w="2142"/>
        <w:gridCol w:w="1403"/>
        <w:gridCol w:w="1403"/>
      </w:tblGrid>
      <w:tr w:rsidR="001E1A72" w:rsidRPr="00E11FC2" w14:paraId="68D43858" w14:textId="77777777" w:rsidTr="005C5190">
        <w:trPr>
          <w:trHeight w:val="590"/>
        </w:trPr>
        <w:tc>
          <w:tcPr>
            <w:tcW w:w="0" w:type="auto"/>
            <w:tcBorders>
              <w:bottom w:val="single" w:sz="0" w:space="0" w:color="auto"/>
            </w:tcBorders>
            <w:vAlign w:val="bottom"/>
          </w:tcPr>
          <w:p w14:paraId="10B06A0C"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Sediment fraction</w:t>
            </w:r>
          </w:p>
        </w:tc>
        <w:tc>
          <w:tcPr>
            <w:tcW w:w="0" w:type="auto"/>
            <w:tcBorders>
              <w:bottom w:val="single" w:sz="0" w:space="0" w:color="auto"/>
            </w:tcBorders>
            <w:vAlign w:val="bottom"/>
          </w:tcPr>
          <w:p w14:paraId="5AE114B7"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RMSE</w:t>
            </w:r>
          </w:p>
        </w:tc>
        <w:tc>
          <w:tcPr>
            <w:tcW w:w="0" w:type="auto"/>
            <w:tcBorders>
              <w:bottom w:val="single" w:sz="0" w:space="0" w:color="auto"/>
            </w:tcBorders>
            <w:vAlign w:val="bottom"/>
          </w:tcPr>
          <w:p w14:paraId="07E49FD4"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R</w:t>
            </w:r>
            <w:r w:rsidRPr="00E11FC2">
              <w:rPr>
                <w:rFonts w:ascii="Arial" w:hAnsi="Arial" w:cs="Arial"/>
                <w:sz w:val="20"/>
                <w:szCs w:val="20"/>
                <w:vertAlign w:val="superscript"/>
                <w:lang w:val="en-GB"/>
              </w:rPr>
              <w:t>2</w:t>
            </w:r>
          </w:p>
        </w:tc>
      </w:tr>
      <w:tr w:rsidR="001E1A72" w:rsidRPr="00E11FC2" w14:paraId="01E53D12" w14:textId="77777777" w:rsidTr="005C5190">
        <w:trPr>
          <w:trHeight w:val="351"/>
        </w:trPr>
        <w:tc>
          <w:tcPr>
            <w:tcW w:w="0" w:type="auto"/>
          </w:tcPr>
          <w:p w14:paraId="308267E1"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Sand</w:t>
            </w:r>
          </w:p>
        </w:tc>
        <w:tc>
          <w:tcPr>
            <w:tcW w:w="0" w:type="auto"/>
          </w:tcPr>
          <w:p w14:paraId="15D7E966"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12.145849</w:t>
            </w:r>
          </w:p>
        </w:tc>
        <w:tc>
          <w:tcPr>
            <w:tcW w:w="0" w:type="auto"/>
          </w:tcPr>
          <w:p w14:paraId="1721AC8C"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0.8319984</w:t>
            </w:r>
          </w:p>
        </w:tc>
      </w:tr>
      <w:tr w:rsidR="001E1A72" w:rsidRPr="00E11FC2" w14:paraId="62B94387" w14:textId="77777777" w:rsidTr="005C5190">
        <w:trPr>
          <w:trHeight w:val="338"/>
        </w:trPr>
        <w:tc>
          <w:tcPr>
            <w:tcW w:w="0" w:type="auto"/>
          </w:tcPr>
          <w:p w14:paraId="52649695"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Silt</w:t>
            </w:r>
          </w:p>
        </w:tc>
        <w:tc>
          <w:tcPr>
            <w:tcW w:w="0" w:type="auto"/>
          </w:tcPr>
          <w:p w14:paraId="77F1B110"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8.811425</w:t>
            </w:r>
          </w:p>
        </w:tc>
        <w:tc>
          <w:tcPr>
            <w:tcW w:w="0" w:type="auto"/>
          </w:tcPr>
          <w:p w14:paraId="0E22A8FA"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0.7276541</w:t>
            </w:r>
          </w:p>
        </w:tc>
      </w:tr>
      <w:tr w:rsidR="001E1A72" w:rsidRPr="00E11FC2" w14:paraId="40C7517C" w14:textId="77777777" w:rsidTr="005C5190">
        <w:trPr>
          <w:trHeight w:val="338"/>
        </w:trPr>
        <w:tc>
          <w:tcPr>
            <w:tcW w:w="0" w:type="auto"/>
            <w:tcBorders>
              <w:bottom w:val="single" w:sz="4" w:space="0" w:color="auto"/>
            </w:tcBorders>
          </w:tcPr>
          <w:p w14:paraId="78608188"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Clay</w:t>
            </w:r>
          </w:p>
        </w:tc>
        <w:tc>
          <w:tcPr>
            <w:tcW w:w="0" w:type="auto"/>
            <w:tcBorders>
              <w:bottom w:val="single" w:sz="4" w:space="0" w:color="auto"/>
            </w:tcBorders>
          </w:tcPr>
          <w:p w14:paraId="29564966"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9.662982</w:t>
            </w:r>
          </w:p>
        </w:tc>
        <w:tc>
          <w:tcPr>
            <w:tcW w:w="0" w:type="auto"/>
            <w:tcBorders>
              <w:bottom w:val="single" w:sz="4" w:space="0" w:color="auto"/>
            </w:tcBorders>
          </w:tcPr>
          <w:p w14:paraId="6E4AA5CB"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0.7265095</w:t>
            </w:r>
          </w:p>
        </w:tc>
      </w:tr>
      <w:tr w:rsidR="001E1A72" w:rsidRPr="00E11FC2" w14:paraId="29D4DF09" w14:textId="77777777" w:rsidTr="005C5190">
        <w:trPr>
          <w:trHeight w:val="338"/>
        </w:trPr>
        <w:tc>
          <w:tcPr>
            <w:tcW w:w="0" w:type="auto"/>
            <w:tcBorders>
              <w:top w:val="single" w:sz="4" w:space="0" w:color="auto"/>
            </w:tcBorders>
          </w:tcPr>
          <w:p w14:paraId="398DDBE3" w14:textId="77777777" w:rsidR="001E1A72" w:rsidRPr="00E11FC2" w:rsidRDefault="001E1A72" w:rsidP="005C5190">
            <w:pPr>
              <w:pStyle w:val="Compact"/>
              <w:rPr>
                <w:rFonts w:ascii="Arial" w:hAnsi="Arial" w:cs="Arial"/>
                <w:sz w:val="20"/>
                <w:szCs w:val="20"/>
                <w:lang w:val="en-GB"/>
              </w:rPr>
            </w:pPr>
          </w:p>
        </w:tc>
        <w:tc>
          <w:tcPr>
            <w:tcW w:w="0" w:type="auto"/>
            <w:tcBorders>
              <w:top w:val="single" w:sz="4" w:space="0" w:color="auto"/>
            </w:tcBorders>
          </w:tcPr>
          <w:p w14:paraId="12396524" w14:textId="77777777" w:rsidR="001E1A72" w:rsidRPr="00E11FC2" w:rsidRDefault="001E1A72" w:rsidP="005C5190">
            <w:pPr>
              <w:pStyle w:val="Compact"/>
              <w:jc w:val="right"/>
              <w:rPr>
                <w:rFonts w:ascii="Arial" w:hAnsi="Arial" w:cs="Arial"/>
                <w:sz w:val="20"/>
                <w:szCs w:val="20"/>
                <w:lang w:val="en-GB"/>
              </w:rPr>
            </w:pPr>
          </w:p>
        </w:tc>
        <w:tc>
          <w:tcPr>
            <w:tcW w:w="0" w:type="auto"/>
            <w:tcBorders>
              <w:top w:val="single" w:sz="4" w:space="0" w:color="auto"/>
            </w:tcBorders>
          </w:tcPr>
          <w:p w14:paraId="3EE9C91B" w14:textId="77777777" w:rsidR="001E1A72" w:rsidRPr="00E11FC2" w:rsidRDefault="001E1A72" w:rsidP="005C5190">
            <w:pPr>
              <w:pStyle w:val="Compact"/>
              <w:jc w:val="right"/>
              <w:rPr>
                <w:rFonts w:ascii="Arial" w:hAnsi="Arial" w:cs="Arial"/>
                <w:sz w:val="20"/>
                <w:szCs w:val="20"/>
                <w:lang w:val="en-GB"/>
              </w:rPr>
            </w:pPr>
          </w:p>
        </w:tc>
      </w:tr>
    </w:tbl>
    <w:p w14:paraId="667D2805" w14:textId="77777777" w:rsidR="001E1A72" w:rsidRPr="00E11FC2" w:rsidRDefault="001E1A72" w:rsidP="001E1A72">
      <w:pPr>
        <w:pStyle w:val="BodyText"/>
        <w:keepNext/>
        <w:jc w:val="center"/>
        <w:rPr>
          <w:lang w:val="en-GB"/>
        </w:rPr>
      </w:pPr>
      <w:r w:rsidRPr="00E11FC2">
        <w:rPr>
          <w:noProof/>
        </w:rPr>
        <w:lastRenderedPageBreak/>
        <w:drawing>
          <wp:inline distT="0" distB="0" distL="0" distR="0" wp14:anchorId="54CDF0D5" wp14:editId="7B9CFA4F">
            <wp:extent cx="5542060" cy="2608027"/>
            <wp:effectExtent l="0" t="0" r="1905" b="1905"/>
            <wp:docP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Figs/unnamed-chunk-14-1.png"/>
                    <pic:cNvPicPr>
                      <a:picLocks noChangeAspect="1" noChangeArrowheads="1"/>
                    </pic:cNvPicPr>
                  </pic:nvPicPr>
                  <pic:blipFill>
                    <a:blip r:embed="rId26"/>
                    <a:stretch>
                      <a:fillRect/>
                    </a:stretch>
                  </pic:blipFill>
                  <pic:spPr bwMode="auto">
                    <a:xfrm>
                      <a:off x="0" y="0"/>
                      <a:ext cx="5556489" cy="2614817"/>
                    </a:xfrm>
                    <a:prstGeom prst="rect">
                      <a:avLst/>
                    </a:prstGeom>
                    <a:noFill/>
                    <a:ln w="9525">
                      <a:noFill/>
                      <a:headEnd/>
                      <a:tailEnd/>
                    </a:ln>
                  </pic:spPr>
                </pic:pic>
              </a:graphicData>
            </a:graphic>
          </wp:inline>
        </w:drawing>
      </w:r>
    </w:p>
    <w:p w14:paraId="6A753A28" w14:textId="77777777" w:rsidR="001E1A72" w:rsidRPr="00E11FC2" w:rsidRDefault="001E1A72" w:rsidP="001E1A72">
      <w:pPr>
        <w:pStyle w:val="Caption"/>
      </w:pPr>
      <w:bookmarkStart w:id="17" w:name="_Ref511913584"/>
    </w:p>
    <w:p w14:paraId="2E44F16A" w14:textId="77777777" w:rsidR="001E1A72" w:rsidRPr="00E11FC2" w:rsidRDefault="001E1A72" w:rsidP="001E1A72">
      <w:pPr>
        <w:pStyle w:val="Caption"/>
        <w:rPr>
          <w:rFonts w:ascii="Arial" w:hAnsi="Arial" w:cs="Arial"/>
          <w:sz w:val="20"/>
          <w:szCs w:val="20"/>
        </w:rPr>
      </w:pPr>
      <w:r w:rsidRPr="00E11FC2">
        <w:rPr>
          <w:rFonts w:ascii="Arial" w:hAnsi="Arial" w:cs="Arial"/>
          <w:sz w:val="20"/>
          <w:szCs w:val="20"/>
        </w:rPr>
        <w:t xml:space="preserve">Figure </w:t>
      </w:r>
      <w:r w:rsidRPr="00E11FC2">
        <w:rPr>
          <w:rFonts w:ascii="Arial" w:hAnsi="Arial" w:cs="Arial"/>
          <w:sz w:val="20"/>
          <w:szCs w:val="20"/>
        </w:rPr>
        <w:fldChar w:fldCharType="begin"/>
      </w:r>
      <w:r w:rsidRPr="00E11FC2">
        <w:rPr>
          <w:rFonts w:ascii="Arial" w:hAnsi="Arial" w:cs="Arial"/>
          <w:sz w:val="20"/>
          <w:szCs w:val="20"/>
        </w:rPr>
        <w:instrText xml:space="preserve"> SEQ Figure \* ARABIC </w:instrText>
      </w:r>
      <w:r w:rsidRPr="00E11FC2">
        <w:rPr>
          <w:rFonts w:ascii="Arial" w:hAnsi="Arial" w:cs="Arial"/>
          <w:sz w:val="20"/>
          <w:szCs w:val="20"/>
        </w:rPr>
        <w:fldChar w:fldCharType="separate"/>
      </w:r>
      <w:r w:rsidRPr="00E11FC2">
        <w:rPr>
          <w:rFonts w:ascii="Arial" w:hAnsi="Arial" w:cs="Arial"/>
          <w:noProof/>
          <w:sz w:val="20"/>
          <w:szCs w:val="20"/>
        </w:rPr>
        <w:t>11</w:t>
      </w:r>
      <w:r w:rsidRPr="00E11FC2">
        <w:rPr>
          <w:rFonts w:ascii="Arial" w:hAnsi="Arial" w:cs="Arial"/>
          <w:noProof/>
          <w:sz w:val="20"/>
          <w:szCs w:val="20"/>
        </w:rPr>
        <w:fldChar w:fldCharType="end"/>
      </w:r>
      <w:bookmarkEnd w:id="17"/>
      <w:r w:rsidRPr="00E11FC2">
        <w:rPr>
          <w:rFonts w:ascii="Arial" w:hAnsi="Arial" w:cs="Arial"/>
          <w:sz w:val="20"/>
          <w:szCs w:val="20"/>
        </w:rPr>
        <w:t xml:space="preserve"> Response curves for the Random Forest models for sand, silt and clay.</w:t>
      </w:r>
    </w:p>
    <w:p w14:paraId="25EE4407" w14:textId="77777777" w:rsidR="001E1A72" w:rsidRPr="00E11FC2" w:rsidRDefault="001E1A72" w:rsidP="001E1A72">
      <w:pPr>
        <w:pStyle w:val="TOC2"/>
      </w:pPr>
    </w:p>
    <w:p w14:paraId="40B49630" w14:textId="77777777" w:rsidR="001E1A72" w:rsidRPr="00E11FC2" w:rsidRDefault="001E1A72" w:rsidP="001E1A72">
      <w:pPr>
        <w:pStyle w:val="TOC2"/>
      </w:pPr>
    </w:p>
    <w:p w14:paraId="6AF27A83" w14:textId="77777777" w:rsidR="001E1A72" w:rsidRPr="00E11FC2" w:rsidRDefault="001E1A72" w:rsidP="001E1A72">
      <w:pPr>
        <w:pStyle w:val="TOC2"/>
      </w:pPr>
    </w:p>
    <w:p w14:paraId="7352F3F0" w14:textId="77777777" w:rsidR="001E1A72" w:rsidRPr="00E11FC2" w:rsidRDefault="001E1A72" w:rsidP="001E1A72">
      <w:pPr>
        <w:pStyle w:val="TOC2"/>
      </w:pPr>
      <w:r w:rsidRPr="00E11FC2">
        <w:rPr>
          <w:noProof/>
          <w:lang w:val="en-US"/>
        </w:rPr>
        <w:drawing>
          <wp:inline distT="0" distB="0" distL="0" distR="0" wp14:anchorId="503BAE39" wp14:editId="1C978E8F">
            <wp:extent cx="5915770" cy="1595485"/>
            <wp:effectExtent l="0" t="0" r="0" b="5080"/>
            <wp:docP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Figs/unnamed-chunk-15-1.png"/>
                    <pic:cNvPicPr>
                      <a:picLocks noChangeAspect="1" noChangeArrowheads="1"/>
                    </pic:cNvPicPr>
                  </pic:nvPicPr>
                  <pic:blipFill rotWithShape="1">
                    <a:blip r:embed="rId27"/>
                    <a:srcRect l="2679" t="8285" r="2713" b="8407"/>
                    <a:stretch/>
                  </pic:blipFill>
                  <pic:spPr bwMode="auto">
                    <a:xfrm>
                      <a:off x="0" y="0"/>
                      <a:ext cx="5933201" cy="1600186"/>
                    </a:xfrm>
                    <a:prstGeom prst="rect">
                      <a:avLst/>
                    </a:prstGeom>
                    <a:noFill/>
                    <a:ln>
                      <a:noFill/>
                    </a:ln>
                    <a:extLst>
                      <a:ext uri="{53640926-AAD7-44D8-BBD7-CCE9431645EC}">
                        <a14:shadowObscured xmlns:a14="http://schemas.microsoft.com/office/drawing/2010/main"/>
                      </a:ext>
                    </a:extLst>
                  </pic:spPr>
                </pic:pic>
              </a:graphicData>
            </a:graphic>
          </wp:inline>
        </w:drawing>
      </w:r>
    </w:p>
    <w:p w14:paraId="5065443C" w14:textId="77777777" w:rsidR="001E1A72" w:rsidRPr="00E11FC2" w:rsidRDefault="001E1A72" w:rsidP="001E1A72">
      <w:pPr>
        <w:pStyle w:val="Caption"/>
      </w:pPr>
      <w:bookmarkStart w:id="18" w:name="_Ref511913623"/>
    </w:p>
    <w:p w14:paraId="57F789FD" w14:textId="77777777" w:rsidR="001E1A72" w:rsidRPr="00E11FC2" w:rsidRDefault="001E1A72" w:rsidP="001E1A72">
      <w:pPr>
        <w:pStyle w:val="Caption"/>
        <w:ind w:left="0"/>
        <w:rPr>
          <w:rFonts w:ascii="Arial" w:hAnsi="Arial" w:cs="Arial"/>
          <w:sz w:val="20"/>
          <w:szCs w:val="20"/>
        </w:rPr>
      </w:pPr>
      <w:r w:rsidRPr="00E11FC2">
        <w:rPr>
          <w:rFonts w:ascii="Arial" w:hAnsi="Arial" w:cs="Arial"/>
          <w:sz w:val="20"/>
          <w:szCs w:val="20"/>
        </w:rPr>
        <w:t xml:space="preserve">Figure </w:t>
      </w:r>
      <w:r w:rsidRPr="00E11FC2">
        <w:rPr>
          <w:rFonts w:ascii="Arial" w:hAnsi="Arial" w:cs="Arial"/>
          <w:sz w:val="20"/>
          <w:szCs w:val="20"/>
        </w:rPr>
        <w:fldChar w:fldCharType="begin"/>
      </w:r>
      <w:r w:rsidRPr="00E11FC2">
        <w:rPr>
          <w:rFonts w:ascii="Arial" w:hAnsi="Arial" w:cs="Arial"/>
          <w:sz w:val="20"/>
          <w:szCs w:val="20"/>
        </w:rPr>
        <w:instrText xml:space="preserve"> SEQ Figure \* ARABIC </w:instrText>
      </w:r>
      <w:r w:rsidRPr="00E11FC2">
        <w:rPr>
          <w:rFonts w:ascii="Arial" w:hAnsi="Arial" w:cs="Arial"/>
          <w:sz w:val="20"/>
          <w:szCs w:val="20"/>
        </w:rPr>
        <w:fldChar w:fldCharType="separate"/>
      </w:r>
      <w:r w:rsidRPr="00E11FC2">
        <w:rPr>
          <w:rFonts w:ascii="Arial" w:hAnsi="Arial" w:cs="Arial"/>
          <w:noProof/>
          <w:sz w:val="20"/>
          <w:szCs w:val="20"/>
        </w:rPr>
        <w:t>12</w:t>
      </w:r>
      <w:r w:rsidRPr="00E11FC2">
        <w:rPr>
          <w:rFonts w:ascii="Arial" w:hAnsi="Arial" w:cs="Arial"/>
          <w:noProof/>
          <w:sz w:val="20"/>
          <w:szCs w:val="20"/>
        </w:rPr>
        <w:fldChar w:fldCharType="end"/>
      </w:r>
      <w:bookmarkEnd w:id="18"/>
      <w:r w:rsidRPr="00E11FC2">
        <w:rPr>
          <w:rFonts w:ascii="Arial" w:hAnsi="Arial" w:cs="Arial"/>
          <w:sz w:val="20"/>
          <w:szCs w:val="20"/>
        </w:rPr>
        <w:t xml:space="preserve"> Spatial predictions for sediment fractions.</w:t>
      </w:r>
    </w:p>
    <w:p w14:paraId="4E7580BB" w14:textId="77777777" w:rsidR="001E1A72" w:rsidRPr="00E11FC2" w:rsidRDefault="001E1A72" w:rsidP="001E1A72">
      <w:pPr>
        <w:pStyle w:val="TOC2"/>
      </w:pPr>
    </w:p>
    <w:p w14:paraId="6E7D1277" w14:textId="77777777" w:rsidR="001E1A72" w:rsidRPr="00E11FC2" w:rsidRDefault="001E1A72" w:rsidP="001E1A72">
      <w:pPr>
        <w:pStyle w:val="TOC2"/>
      </w:pPr>
    </w:p>
    <w:p w14:paraId="4F3A5E62" w14:textId="54497CC7" w:rsidR="001E1A72" w:rsidRPr="00E11FC2" w:rsidRDefault="000215ED" w:rsidP="000215ED">
      <w:pPr>
        <w:pStyle w:val="Heading1"/>
        <w:rPr>
          <w:lang w:val="en-GB"/>
        </w:rPr>
      </w:pPr>
      <w:bookmarkStart w:id="19" w:name="_Toc512593418"/>
      <w:bookmarkStart w:id="20" w:name="_Toc512867202"/>
      <w:r w:rsidRPr="00E11FC2">
        <w:rPr>
          <w:lang w:val="en-GB"/>
        </w:rPr>
        <w:t>5</w:t>
      </w:r>
      <w:r w:rsidR="001E1A72" w:rsidRPr="00E11FC2">
        <w:rPr>
          <w:lang w:val="en-GB"/>
        </w:rPr>
        <w:t>. Habitats and species</w:t>
      </w:r>
      <w:bookmarkEnd w:id="19"/>
      <w:bookmarkEnd w:id="20"/>
    </w:p>
    <w:p w14:paraId="0D43B8E3" w14:textId="44F37883" w:rsidR="001E1A72" w:rsidRPr="00E11FC2" w:rsidRDefault="000215ED" w:rsidP="000215ED">
      <w:pPr>
        <w:pStyle w:val="Heading2"/>
        <w:rPr>
          <w:lang w:val="en-GB"/>
        </w:rPr>
      </w:pPr>
      <w:bookmarkStart w:id="21" w:name="_Toc512593419"/>
      <w:bookmarkStart w:id="22" w:name="_Toc512867203"/>
      <w:r w:rsidRPr="00E11FC2">
        <w:rPr>
          <w:lang w:val="en-GB"/>
        </w:rPr>
        <w:t>5</w:t>
      </w:r>
      <w:r w:rsidR="001E1A72" w:rsidRPr="00E11FC2">
        <w:rPr>
          <w:lang w:val="en-GB"/>
        </w:rPr>
        <w:t>.1 Basic benthic habitat map</w:t>
      </w:r>
      <w:bookmarkEnd w:id="21"/>
      <w:bookmarkEnd w:id="22"/>
    </w:p>
    <w:p w14:paraId="7A18836D" w14:textId="77777777" w:rsidR="001E1A72" w:rsidRPr="00E11FC2" w:rsidRDefault="001E1A72" w:rsidP="00897ABC">
      <w:pPr>
        <w:spacing w:before="120" w:line="360" w:lineRule="auto"/>
        <w:jc w:val="both"/>
        <w:rPr>
          <w:rFonts w:ascii="Verdana" w:hAnsi="Verdana"/>
          <w:sz w:val="20"/>
          <w:szCs w:val="20"/>
          <w:lang w:val="en-GB"/>
        </w:rPr>
      </w:pPr>
      <w:r w:rsidRPr="00E11FC2">
        <w:rPr>
          <w:rFonts w:ascii="Verdana" w:hAnsi="Verdana"/>
          <w:sz w:val="20"/>
          <w:szCs w:val="20"/>
          <w:lang w:val="en-GB"/>
        </w:rPr>
        <w:t>The most basic form of a habitat map is often called a seascape or a benthoscape. This is where we use environmental layers, without any additional biological information to describe the physical benthic habitat. Layers that are included are usually variables that are known to influence benthic communities, such as sediment type, light availability and current speed and/or wave energy. Additional variables can include e.g. salinity (where a gradient from estuarine brackish conditions to fully marine is present) or bioregion.</w:t>
      </w:r>
    </w:p>
    <w:p w14:paraId="1976D7D3" w14:textId="77777777" w:rsidR="001E1A72" w:rsidRPr="00E11FC2" w:rsidRDefault="001E1A72" w:rsidP="00897ABC">
      <w:pPr>
        <w:spacing w:line="360" w:lineRule="auto"/>
        <w:jc w:val="both"/>
        <w:rPr>
          <w:rFonts w:ascii="Verdana" w:hAnsi="Verdana"/>
          <w:sz w:val="20"/>
          <w:szCs w:val="20"/>
          <w:lang w:val="en-GB"/>
        </w:rPr>
      </w:pPr>
    </w:p>
    <w:p w14:paraId="7F426A6D" w14:textId="77777777" w:rsidR="001E1A72" w:rsidRPr="00E11FC2" w:rsidRDefault="001E1A72" w:rsidP="00897ABC">
      <w:pPr>
        <w:spacing w:line="360" w:lineRule="auto"/>
        <w:jc w:val="both"/>
        <w:rPr>
          <w:rFonts w:ascii="Verdana" w:hAnsi="Verdana"/>
          <w:sz w:val="20"/>
          <w:szCs w:val="20"/>
          <w:lang w:val="en-GB"/>
        </w:rPr>
      </w:pPr>
      <w:r w:rsidRPr="00E11FC2">
        <w:rPr>
          <w:rFonts w:ascii="Verdana" w:hAnsi="Verdana"/>
          <w:sz w:val="20"/>
          <w:szCs w:val="20"/>
          <w:lang w:val="en-GB"/>
        </w:rPr>
        <w:t xml:space="preserve">For the basis of this habitat map, we used the sediment type map created earlier, which splits habitats into sandy and muddy sediments. In addition, we split habitats into the </w:t>
      </w:r>
      <w:r w:rsidRPr="00E11FC2">
        <w:rPr>
          <w:rFonts w:ascii="Verdana" w:hAnsi="Verdana"/>
          <w:sz w:val="20"/>
          <w:szCs w:val="20"/>
          <w:lang w:val="en-GB"/>
        </w:rPr>
        <w:lastRenderedPageBreak/>
        <w:t>infralittoral (photic zone, where a minimum of 1% of the surface light is present) and circalittoral (too dark to allow vegetation). Salinity was used to separate brackish (0.5-30 ppt) from fully marine conditions (&gt;30 ppt) (Fig. 13).</w:t>
      </w:r>
    </w:p>
    <w:p w14:paraId="31F9E151" w14:textId="77777777" w:rsidR="001E1A72" w:rsidRPr="00E11FC2" w:rsidRDefault="001E1A72" w:rsidP="001E1A72">
      <w:pPr>
        <w:pStyle w:val="TOC2"/>
      </w:pPr>
    </w:p>
    <w:p w14:paraId="5A45B4DE" w14:textId="77777777" w:rsidR="001E1A72" w:rsidRPr="00E11FC2" w:rsidRDefault="001E1A72" w:rsidP="001E1A72">
      <w:pPr>
        <w:pStyle w:val="TOC2"/>
      </w:pPr>
    </w:p>
    <w:p w14:paraId="3F389DB0" w14:textId="77777777" w:rsidR="001E1A72" w:rsidRPr="00E11FC2" w:rsidRDefault="001E1A72" w:rsidP="001E1A72">
      <w:pPr>
        <w:pStyle w:val="TOC2"/>
      </w:pPr>
      <w:r w:rsidRPr="00E11FC2">
        <w:rPr>
          <w:noProof/>
          <w:lang w:val="en-US"/>
        </w:rPr>
        <w:drawing>
          <wp:inline distT="0" distB="0" distL="0" distR="0" wp14:anchorId="7D44D338" wp14:editId="4C26200D">
            <wp:extent cx="5692798" cy="1582309"/>
            <wp:effectExtent l="0" t="0" r="3175" b="0"/>
            <wp:docPr id="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Figs/unnamed-chunk-16-1.png"/>
                    <pic:cNvPicPr>
                      <a:picLocks noChangeAspect="1" noChangeArrowheads="1"/>
                    </pic:cNvPicPr>
                  </pic:nvPicPr>
                  <pic:blipFill rotWithShape="1">
                    <a:blip r:embed="rId28"/>
                    <a:srcRect l="2322" t="7579" r="1941" b="5557"/>
                    <a:stretch/>
                  </pic:blipFill>
                  <pic:spPr bwMode="auto">
                    <a:xfrm>
                      <a:off x="0" y="0"/>
                      <a:ext cx="5723785" cy="1590922"/>
                    </a:xfrm>
                    <a:prstGeom prst="rect">
                      <a:avLst/>
                    </a:prstGeom>
                    <a:noFill/>
                    <a:ln>
                      <a:noFill/>
                    </a:ln>
                    <a:extLst>
                      <a:ext uri="{53640926-AAD7-44D8-BBD7-CCE9431645EC}">
                        <a14:shadowObscured xmlns:a14="http://schemas.microsoft.com/office/drawing/2010/main"/>
                      </a:ext>
                    </a:extLst>
                  </pic:spPr>
                </pic:pic>
              </a:graphicData>
            </a:graphic>
          </wp:inline>
        </w:drawing>
      </w:r>
    </w:p>
    <w:p w14:paraId="7A063822" w14:textId="77777777" w:rsidR="001E1A72" w:rsidRPr="00E11FC2" w:rsidRDefault="001E1A72" w:rsidP="001E1A72">
      <w:pPr>
        <w:pStyle w:val="Caption"/>
        <w:rPr>
          <w:rFonts w:ascii="Arial" w:hAnsi="Arial" w:cs="Arial"/>
          <w:sz w:val="20"/>
          <w:szCs w:val="20"/>
        </w:rPr>
      </w:pPr>
      <w:r w:rsidRPr="00E11FC2">
        <w:rPr>
          <w:rFonts w:ascii="Arial" w:hAnsi="Arial" w:cs="Arial"/>
          <w:sz w:val="20"/>
          <w:szCs w:val="20"/>
        </w:rPr>
        <w:t>Figure 13 Environmental input layers making up the habitat map.</w:t>
      </w:r>
    </w:p>
    <w:p w14:paraId="5BA47054" w14:textId="77777777" w:rsidR="001E1A72" w:rsidRPr="00E11FC2" w:rsidRDefault="001E1A72" w:rsidP="001E1A72">
      <w:pPr>
        <w:pStyle w:val="TOC2"/>
      </w:pPr>
    </w:p>
    <w:p w14:paraId="4E7629A5" w14:textId="77777777" w:rsidR="001E1A72" w:rsidRPr="00E11FC2" w:rsidRDefault="001E1A72" w:rsidP="001E1A72">
      <w:pPr>
        <w:jc w:val="both"/>
        <w:rPr>
          <w:rFonts w:ascii="Verdana" w:hAnsi="Verdana"/>
          <w:lang w:val="en-GB"/>
        </w:rPr>
      </w:pPr>
    </w:p>
    <w:p w14:paraId="262884B2" w14:textId="77777777" w:rsidR="001E1A72" w:rsidRPr="00E11FC2" w:rsidRDefault="001E1A72" w:rsidP="00897ABC">
      <w:pPr>
        <w:spacing w:line="360" w:lineRule="auto"/>
        <w:jc w:val="both"/>
        <w:rPr>
          <w:rFonts w:ascii="Verdana" w:hAnsi="Verdana"/>
          <w:sz w:val="20"/>
          <w:szCs w:val="20"/>
          <w:lang w:val="en-GB"/>
        </w:rPr>
      </w:pPr>
      <w:r w:rsidRPr="00E11FC2">
        <w:rPr>
          <w:rFonts w:ascii="Verdana" w:hAnsi="Verdana"/>
          <w:sz w:val="20"/>
          <w:szCs w:val="20"/>
          <w:lang w:val="en-GB"/>
        </w:rPr>
        <w:t>The three layers were intersected to make up eight basic habitat classes for the Guyanese coast:</w:t>
      </w:r>
    </w:p>
    <w:p w14:paraId="7B776DC3" w14:textId="77777777" w:rsidR="001E1A72" w:rsidRPr="00E11FC2" w:rsidRDefault="001E1A72" w:rsidP="00897ABC">
      <w:pPr>
        <w:pStyle w:val="ListParagraph"/>
        <w:numPr>
          <w:ilvl w:val="0"/>
          <w:numId w:val="5"/>
        </w:numPr>
        <w:spacing w:line="360" w:lineRule="auto"/>
        <w:jc w:val="both"/>
        <w:rPr>
          <w:rFonts w:ascii="Verdana" w:hAnsi="Verdana"/>
          <w:sz w:val="20"/>
          <w:szCs w:val="20"/>
          <w:lang w:val="en-GB"/>
        </w:rPr>
      </w:pPr>
      <w:r w:rsidRPr="00E11FC2">
        <w:rPr>
          <w:rFonts w:ascii="Verdana" w:hAnsi="Verdana"/>
          <w:sz w:val="20"/>
          <w:szCs w:val="20"/>
          <w:lang w:val="en-GB"/>
        </w:rPr>
        <w:t>Brackish infralittoral sand</w:t>
      </w:r>
    </w:p>
    <w:p w14:paraId="2FBACE86" w14:textId="77777777" w:rsidR="001E1A72" w:rsidRPr="00E11FC2" w:rsidRDefault="001E1A72" w:rsidP="00897ABC">
      <w:pPr>
        <w:pStyle w:val="ListParagraph"/>
        <w:numPr>
          <w:ilvl w:val="0"/>
          <w:numId w:val="5"/>
        </w:numPr>
        <w:spacing w:line="360" w:lineRule="auto"/>
        <w:jc w:val="both"/>
        <w:rPr>
          <w:rFonts w:ascii="Verdana" w:hAnsi="Verdana"/>
          <w:sz w:val="20"/>
          <w:szCs w:val="20"/>
          <w:lang w:val="en-GB"/>
        </w:rPr>
      </w:pPr>
      <w:r w:rsidRPr="00E11FC2">
        <w:rPr>
          <w:rFonts w:ascii="Verdana" w:hAnsi="Verdana"/>
          <w:sz w:val="20"/>
          <w:szCs w:val="20"/>
          <w:lang w:val="en-GB"/>
        </w:rPr>
        <w:t>Brackish circalittoral sand</w:t>
      </w:r>
    </w:p>
    <w:p w14:paraId="2C91A7BF" w14:textId="77777777" w:rsidR="001E1A72" w:rsidRPr="00E11FC2" w:rsidRDefault="001E1A72" w:rsidP="00897ABC">
      <w:pPr>
        <w:pStyle w:val="ListParagraph"/>
        <w:numPr>
          <w:ilvl w:val="0"/>
          <w:numId w:val="5"/>
        </w:numPr>
        <w:spacing w:line="360" w:lineRule="auto"/>
        <w:jc w:val="both"/>
        <w:rPr>
          <w:rFonts w:ascii="Verdana" w:hAnsi="Verdana"/>
          <w:sz w:val="20"/>
          <w:szCs w:val="20"/>
          <w:lang w:val="en-GB"/>
        </w:rPr>
      </w:pPr>
      <w:r w:rsidRPr="00E11FC2">
        <w:rPr>
          <w:rFonts w:ascii="Verdana" w:hAnsi="Verdana"/>
          <w:sz w:val="20"/>
          <w:szCs w:val="20"/>
          <w:lang w:val="en-GB"/>
        </w:rPr>
        <w:t>Brackish infralittoral mud</w:t>
      </w:r>
    </w:p>
    <w:p w14:paraId="6ADD25A6" w14:textId="77777777" w:rsidR="001E1A72" w:rsidRPr="00E11FC2" w:rsidRDefault="001E1A72" w:rsidP="00897ABC">
      <w:pPr>
        <w:pStyle w:val="ListParagraph"/>
        <w:numPr>
          <w:ilvl w:val="0"/>
          <w:numId w:val="5"/>
        </w:numPr>
        <w:spacing w:line="360" w:lineRule="auto"/>
        <w:jc w:val="both"/>
        <w:rPr>
          <w:rFonts w:ascii="Verdana" w:hAnsi="Verdana"/>
          <w:sz w:val="20"/>
          <w:szCs w:val="20"/>
          <w:lang w:val="en-GB"/>
        </w:rPr>
      </w:pPr>
      <w:r w:rsidRPr="00E11FC2">
        <w:rPr>
          <w:rFonts w:ascii="Verdana" w:hAnsi="Verdana"/>
          <w:sz w:val="20"/>
          <w:szCs w:val="20"/>
          <w:lang w:val="en-GB"/>
        </w:rPr>
        <w:t>Brackish circalittoral sand</w:t>
      </w:r>
    </w:p>
    <w:p w14:paraId="40FA3449" w14:textId="77777777" w:rsidR="001E1A72" w:rsidRPr="00E11FC2" w:rsidRDefault="001E1A72" w:rsidP="00897ABC">
      <w:pPr>
        <w:pStyle w:val="ListParagraph"/>
        <w:numPr>
          <w:ilvl w:val="0"/>
          <w:numId w:val="5"/>
        </w:numPr>
        <w:spacing w:line="360" w:lineRule="auto"/>
        <w:jc w:val="both"/>
        <w:rPr>
          <w:rFonts w:ascii="Verdana" w:hAnsi="Verdana"/>
          <w:sz w:val="20"/>
          <w:szCs w:val="20"/>
          <w:lang w:val="en-GB"/>
        </w:rPr>
      </w:pPr>
      <w:r w:rsidRPr="00E11FC2">
        <w:rPr>
          <w:rFonts w:ascii="Verdana" w:hAnsi="Verdana"/>
          <w:sz w:val="20"/>
          <w:szCs w:val="20"/>
          <w:lang w:val="en-GB"/>
        </w:rPr>
        <w:t>Marine infralittoral sand</w:t>
      </w:r>
    </w:p>
    <w:p w14:paraId="59B4AC69" w14:textId="77777777" w:rsidR="001E1A72" w:rsidRPr="00E11FC2" w:rsidRDefault="001E1A72" w:rsidP="00897ABC">
      <w:pPr>
        <w:pStyle w:val="ListParagraph"/>
        <w:numPr>
          <w:ilvl w:val="0"/>
          <w:numId w:val="5"/>
        </w:numPr>
        <w:spacing w:line="360" w:lineRule="auto"/>
        <w:jc w:val="both"/>
        <w:rPr>
          <w:rFonts w:ascii="Verdana" w:hAnsi="Verdana"/>
          <w:sz w:val="20"/>
          <w:szCs w:val="20"/>
          <w:lang w:val="en-GB"/>
        </w:rPr>
      </w:pPr>
      <w:r w:rsidRPr="00E11FC2">
        <w:rPr>
          <w:rFonts w:ascii="Verdana" w:hAnsi="Verdana"/>
          <w:sz w:val="20"/>
          <w:szCs w:val="20"/>
          <w:lang w:val="en-GB"/>
        </w:rPr>
        <w:t>Marine circalittoral sand</w:t>
      </w:r>
    </w:p>
    <w:p w14:paraId="03471476" w14:textId="77777777" w:rsidR="001E1A72" w:rsidRPr="00E11FC2" w:rsidRDefault="001E1A72" w:rsidP="00897ABC">
      <w:pPr>
        <w:pStyle w:val="ListParagraph"/>
        <w:numPr>
          <w:ilvl w:val="0"/>
          <w:numId w:val="5"/>
        </w:numPr>
        <w:spacing w:line="360" w:lineRule="auto"/>
        <w:jc w:val="both"/>
        <w:rPr>
          <w:rFonts w:ascii="Verdana" w:hAnsi="Verdana"/>
          <w:sz w:val="20"/>
          <w:szCs w:val="20"/>
          <w:lang w:val="en-GB"/>
        </w:rPr>
      </w:pPr>
      <w:r w:rsidRPr="00E11FC2">
        <w:rPr>
          <w:rFonts w:ascii="Verdana" w:hAnsi="Verdana"/>
          <w:sz w:val="20"/>
          <w:szCs w:val="20"/>
          <w:lang w:val="en-GB"/>
        </w:rPr>
        <w:t>Marine infralittoral mud</w:t>
      </w:r>
    </w:p>
    <w:p w14:paraId="58E89DF3" w14:textId="77777777" w:rsidR="001E1A72" w:rsidRPr="00E11FC2" w:rsidRDefault="001E1A72" w:rsidP="00897ABC">
      <w:pPr>
        <w:pStyle w:val="ListParagraph"/>
        <w:numPr>
          <w:ilvl w:val="0"/>
          <w:numId w:val="5"/>
        </w:numPr>
        <w:spacing w:line="360" w:lineRule="auto"/>
        <w:jc w:val="both"/>
        <w:rPr>
          <w:rFonts w:ascii="Verdana" w:hAnsi="Verdana"/>
          <w:sz w:val="20"/>
          <w:szCs w:val="20"/>
          <w:lang w:val="en-GB"/>
        </w:rPr>
      </w:pPr>
      <w:r w:rsidRPr="00E11FC2">
        <w:rPr>
          <w:rFonts w:ascii="Verdana" w:hAnsi="Verdana"/>
          <w:sz w:val="20"/>
          <w:szCs w:val="20"/>
          <w:lang w:val="en-GB"/>
        </w:rPr>
        <w:t>Marine circalittoral sand</w:t>
      </w:r>
    </w:p>
    <w:p w14:paraId="6F005E20" w14:textId="77777777" w:rsidR="001E1A72" w:rsidRPr="00E11FC2" w:rsidRDefault="001E1A72" w:rsidP="00897ABC">
      <w:pPr>
        <w:spacing w:line="360" w:lineRule="auto"/>
        <w:jc w:val="both"/>
        <w:rPr>
          <w:rFonts w:ascii="Verdana" w:hAnsi="Verdana"/>
          <w:sz w:val="20"/>
          <w:szCs w:val="20"/>
          <w:lang w:val="en-GB"/>
        </w:rPr>
      </w:pPr>
    </w:p>
    <w:p w14:paraId="7C27E337" w14:textId="77777777" w:rsidR="001E1A72" w:rsidRPr="00E11FC2" w:rsidRDefault="001E1A72" w:rsidP="00897ABC">
      <w:pPr>
        <w:spacing w:line="360" w:lineRule="auto"/>
        <w:jc w:val="both"/>
        <w:rPr>
          <w:rFonts w:ascii="Verdana" w:hAnsi="Verdana"/>
          <w:sz w:val="20"/>
          <w:szCs w:val="20"/>
          <w:lang w:val="en-GB"/>
        </w:rPr>
      </w:pPr>
      <w:r w:rsidRPr="00E11FC2">
        <w:rPr>
          <w:rFonts w:ascii="Verdana" w:hAnsi="Verdana"/>
          <w:sz w:val="20"/>
          <w:szCs w:val="20"/>
          <w:lang w:val="en-GB"/>
        </w:rPr>
        <w:t>The resulting habitat map is shown in Fig. 14.</w:t>
      </w:r>
    </w:p>
    <w:p w14:paraId="21449CE9" w14:textId="77777777" w:rsidR="001E1A72" w:rsidRPr="00E11FC2" w:rsidRDefault="001E1A72" w:rsidP="00897ABC">
      <w:pPr>
        <w:spacing w:line="360" w:lineRule="auto"/>
        <w:jc w:val="both"/>
        <w:rPr>
          <w:rFonts w:ascii="Verdana" w:hAnsi="Verdana"/>
          <w:sz w:val="20"/>
          <w:szCs w:val="20"/>
          <w:lang w:val="en-GB"/>
        </w:rPr>
      </w:pPr>
    </w:p>
    <w:p w14:paraId="604447B9" w14:textId="77777777" w:rsidR="001E1A72" w:rsidRPr="00E11FC2" w:rsidRDefault="001E1A72" w:rsidP="001E1A72">
      <w:pPr>
        <w:pStyle w:val="TOC2"/>
      </w:pPr>
      <w:r w:rsidRPr="00E11FC2">
        <w:rPr>
          <w:noProof/>
          <w:lang w:val="en-US"/>
        </w:rPr>
        <w:lastRenderedPageBreak/>
        <w:drawing>
          <wp:inline distT="0" distB="0" distL="0" distR="0" wp14:anchorId="37927FF8" wp14:editId="6E580894">
            <wp:extent cx="4627659" cy="3704077"/>
            <wp:effectExtent l="0" t="0" r="1905" b="0"/>
            <wp:docPr id="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Figs/unnamed-chunk-17-1.png"/>
                    <pic:cNvPicPr>
                      <a:picLocks noChangeAspect="1" noChangeArrowheads="1"/>
                    </pic:cNvPicPr>
                  </pic:nvPicPr>
                  <pic:blipFill>
                    <a:blip r:embed="rId29"/>
                    <a:stretch>
                      <a:fillRect/>
                    </a:stretch>
                  </pic:blipFill>
                  <pic:spPr bwMode="auto">
                    <a:xfrm>
                      <a:off x="0" y="0"/>
                      <a:ext cx="4649364" cy="3721450"/>
                    </a:xfrm>
                    <a:prstGeom prst="rect">
                      <a:avLst/>
                    </a:prstGeom>
                    <a:noFill/>
                    <a:ln w="9525">
                      <a:noFill/>
                      <a:headEnd/>
                      <a:tailEnd/>
                    </a:ln>
                  </pic:spPr>
                </pic:pic>
              </a:graphicData>
            </a:graphic>
          </wp:inline>
        </w:drawing>
      </w:r>
    </w:p>
    <w:p w14:paraId="36805D13" w14:textId="77777777" w:rsidR="001E1A72" w:rsidRPr="00E11FC2" w:rsidRDefault="001E1A72" w:rsidP="001E1A72">
      <w:pPr>
        <w:pStyle w:val="Caption"/>
        <w:rPr>
          <w:rFonts w:ascii="Arial" w:hAnsi="Arial" w:cs="Arial"/>
          <w:sz w:val="20"/>
          <w:szCs w:val="20"/>
        </w:rPr>
      </w:pPr>
      <w:bookmarkStart w:id="23" w:name="_Ref511914293"/>
      <w:r w:rsidRPr="00E11FC2">
        <w:rPr>
          <w:rFonts w:ascii="Arial" w:hAnsi="Arial" w:cs="Arial"/>
          <w:sz w:val="20"/>
          <w:szCs w:val="20"/>
        </w:rPr>
        <w:t xml:space="preserve">Figure </w:t>
      </w:r>
      <w:r w:rsidRPr="00E11FC2">
        <w:rPr>
          <w:rFonts w:ascii="Arial" w:hAnsi="Arial" w:cs="Arial"/>
          <w:sz w:val="20"/>
          <w:szCs w:val="20"/>
        </w:rPr>
        <w:fldChar w:fldCharType="begin"/>
      </w:r>
      <w:r w:rsidRPr="00E11FC2">
        <w:rPr>
          <w:rFonts w:ascii="Arial" w:hAnsi="Arial" w:cs="Arial"/>
          <w:sz w:val="20"/>
          <w:szCs w:val="20"/>
        </w:rPr>
        <w:instrText xml:space="preserve"> SEQ Figure \* ARABIC </w:instrText>
      </w:r>
      <w:r w:rsidRPr="00E11FC2">
        <w:rPr>
          <w:rFonts w:ascii="Arial" w:hAnsi="Arial" w:cs="Arial"/>
          <w:sz w:val="20"/>
          <w:szCs w:val="20"/>
        </w:rPr>
        <w:fldChar w:fldCharType="separate"/>
      </w:r>
      <w:r w:rsidRPr="00E11FC2">
        <w:rPr>
          <w:rFonts w:ascii="Arial" w:hAnsi="Arial" w:cs="Arial"/>
          <w:noProof/>
          <w:sz w:val="20"/>
          <w:szCs w:val="20"/>
        </w:rPr>
        <w:t>14</w:t>
      </w:r>
      <w:r w:rsidRPr="00E11FC2">
        <w:rPr>
          <w:rFonts w:ascii="Arial" w:hAnsi="Arial" w:cs="Arial"/>
          <w:noProof/>
          <w:sz w:val="20"/>
          <w:szCs w:val="20"/>
        </w:rPr>
        <w:fldChar w:fldCharType="end"/>
      </w:r>
      <w:bookmarkEnd w:id="23"/>
      <w:r w:rsidRPr="00E11FC2">
        <w:rPr>
          <w:rFonts w:ascii="Arial" w:hAnsi="Arial" w:cs="Arial"/>
          <w:sz w:val="20"/>
          <w:szCs w:val="20"/>
        </w:rPr>
        <w:t xml:space="preserve"> Basic habitat map for the Guyanese shelf.</w:t>
      </w:r>
    </w:p>
    <w:p w14:paraId="757F65B6" w14:textId="77777777" w:rsidR="001E1A72" w:rsidRPr="00E11FC2" w:rsidRDefault="001E1A72" w:rsidP="001E1A72">
      <w:pPr>
        <w:pStyle w:val="TOC2"/>
      </w:pPr>
    </w:p>
    <w:p w14:paraId="1F894973" w14:textId="77777777" w:rsidR="000215ED" w:rsidRPr="00E11FC2" w:rsidRDefault="000215ED" w:rsidP="000215ED">
      <w:pPr>
        <w:pStyle w:val="Heading2"/>
        <w:rPr>
          <w:lang w:val="en-GB"/>
        </w:rPr>
      </w:pPr>
      <w:bookmarkStart w:id="24" w:name="_Toc512593420"/>
    </w:p>
    <w:p w14:paraId="336DDFB8" w14:textId="55725DE7" w:rsidR="001E1A72" w:rsidRPr="00E11FC2" w:rsidRDefault="000215ED" w:rsidP="000215ED">
      <w:pPr>
        <w:pStyle w:val="Heading2"/>
        <w:rPr>
          <w:lang w:val="en-GB"/>
        </w:rPr>
      </w:pPr>
      <w:bookmarkStart w:id="25" w:name="_Toc512867204"/>
      <w:r w:rsidRPr="00E11FC2">
        <w:rPr>
          <w:lang w:val="en-GB"/>
        </w:rPr>
        <w:t>5</w:t>
      </w:r>
      <w:r w:rsidR="001E1A72" w:rsidRPr="00E11FC2">
        <w:rPr>
          <w:lang w:val="en-GB"/>
        </w:rPr>
        <w:t>.2 Biological relevance of the habitat map</w:t>
      </w:r>
      <w:bookmarkEnd w:id="24"/>
      <w:bookmarkEnd w:id="25"/>
    </w:p>
    <w:p w14:paraId="192C5F34" w14:textId="77777777" w:rsidR="001E1A72" w:rsidRPr="00E11FC2" w:rsidRDefault="001E1A72" w:rsidP="00890214">
      <w:pPr>
        <w:spacing w:before="120" w:line="360" w:lineRule="auto"/>
        <w:jc w:val="both"/>
        <w:rPr>
          <w:rFonts w:ascii="Verdana" w:hAnsi="Verdana"/>
          <w:sz w:val="20"/>
          <w:szCs w:val="20"/>
          <w:lang w:val="en-GB"/>
        </w:rPr>
      </w:pPr>
      <w:r w:rsidRPr="00E11FC2">
        <w:rPr>
          <w:rFonts w:ascii="Verdana" w:hAnsi="Verdana"/>
          <w:sz w:val="20"/>
          <w:szCs w:val="20"/>
          <w:lang w:val="en-GB"/>
        </w:rPr>
        <w:t>Biomass data on the faunal community from the epibenthic trawls were used to investigate the biological relevance of the physical habitat (‘benthoscape’) classes. The aim was to examine if the physical class boundaries correspond to differences in the biological communities observed. Only the fully marine habitat types have been sampled by trawl (Fig. 15). Habitat labels in the following section have been simplified to reflect this, by replacing ‘marine’ with ‘sublittoral’.</w:t>
      </w:r>
    </w:p>
    <w:p w14:paraId="11B1D065" w14:textId="374D0633" w:rsidR="001E1A72" w:rsidRPr="00E11FC2" w:rsidRDefault="00F800DF" w:rsidP="001E1A72">
      <w:pPr>
        <w:pStyle w:val="TOC2"/>
      </w:pPr>
      <w:r w:rsidRPr="00E11FC2">
        <w:rPr>
          <w:noProof/>
          <w:lang w:val="en-US"/>
        </w:rPr>
        <w:lastRenderedPageBreak/>
        <w:drawing>
          <wp:anchor distT="0" distB="0" distL="114300" distR="114300" simplePos="0" relativeHeight="251660288" behindDoc="0" locked="0" layoutInCell="1" allowOverlap="1" wp14:anchorId="70B97179" wp14:editId="215D8311">
            <wp:simplePos x="0" y="0"/>
            <wp:positionH relativeFrom="margin">
              <wp:posOffset>-635</wp:posOffset>
            </wp:positionH>
            <wp:positionV relativeFrom="paragraph">
              <wp:posOffset>166370</wp:posOffset>
            </wp:positionV>
            <wp:extent cx="4164965" cy="3331210"/>
            <wp:effectExtent l="0" t="0" r="6985" b="2540"/>
            <wp:wrapSquare wrapText="bothSides"/>
            <wp:docPr id="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Figs/unnamed-chunk-18-1.pn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4164965" cy="3331210"/>
                    </a:xfrm>
                    <a:prstGeom prst="rect">
                      <a:avLst/>
                    </a:prstGeom>
                    <a:noFill/>
                    <a:ln w="9525">
                      <a:noFill/>
                      <a:headEnd/>
                      <a:tailEnd/>
                    </a:ln>
                  </pic:spPr>
                </pic:pic>
              </a:graphicData>
            </a:graphic>
            <wp14:sizeRelH relativeFrom="page">
              <wp14:pctWidth>0</wp14:pctWidth>
            </wp14:sizeRelH>
            <wp14:sizeRelV relativeFrom="page">
              <wp14:pctHeight>0</wp14:pctHeight>
            </wp14:sizeRelV>
          </wp:anchor>
        </w:drawing>
      </w:r>
    </w:p>
    <w:p w14:paraId="6D945EAC" w14:textId="77777777" w:rsidR="001E1A72" w:rsidRPr="00E11FC2" w:rsidRDefault="001E1A72" w:rsidP="001E1A72">
      <w:pPr>
        <w:pStyle w:val="TOC2"/>
      </w:pPr>
    </w:p>
    <w:p w14:paraId="7000DE39" w14:textId="77777777" w:rsidR="001E1A72" w:rsidRPr="00E11FC2" w:rsidRDefault="001E1A72" w:rsidP="001E1A72">
      <w:pPr>
        <w:pStyle w:val="TOC2"/>
      </w:pPr>
    </w:p>
    <w:p w14:paraId="6C5A26B7" w14:textId="77777777" w:rsidR="001E1A72" w:rsidRPr="00E11FC2" w:rsidRDefault="001E1A72" w:rsidP="001E1A72">
      <w:pPr>
        <w:pStyle w:val="TOC2"/>
      </w:pPr>
    </w:p>
    <w:p w14:paraId="598C3DFA" w14:textId="77777777" w:rsidR="001E1A72" w:rsidRPr="00E11FC2" w:rsidRDefault="001E1A72" w:rsidP="001E1A72">
      <w:pPr>
        <w:pStyle w:val="TOC2"/>
      </w:pPr>
    </w:p>
    <w:p w14:paraId="743297A1" w14:textId="77777777" w:rsidR="001E1A72" w:rsidRPr="00E11FC2" w:rsidRDefault="001E1A72" w:rsidP="001E1A72">
      <w:pPr>
        <w:pStyle w:val="TOC2"/>
      </w:pPr>
    </w:p>
    <w:p w14:paraId="53EFE656" w14:textId="77777777" w:rsidR="001E1A72" w:rsidRPr="00E11FC2" w:rsidRDefault="001E1A72" w:rsidP="001E1A72">
      <w:pPr>
        <w:pStyle w:val="TOC2"/>
      </w:pPr>
    </w:p>
    <w:p w14:paraId="35644BFB" w14:textId="77777777" w:rsidR="001E1A72" w:rsidRPr="00E11FC2" w:rsidRDefault="001E1A72" w:rsidP="001E1A72">
      <w:pPr>
        <w:pStyle w:val="TOC2"/>
      </w:pPr>
    </w:p>
    <w:p w14:paraId="63C3B4BF" w14:textId="77777777" w:rsidR="001E1A72" w:rsidRPr="00E11FC2" w:rsidRDefault="001E1A72" w:rsidP="001E1A72">
      <w:pPr>
        <w:pStyle w:val="Caption"/>
        <w:rPr>
          <w:rFonts w:ascii="Arial" w:hAnsi="Arial" w:cs="Arial"/>
          <w:sz w:val="20"/>
          <w:szCs w:val="20"/>
        </w:rPr>
      </w:pPr>
    </w:p>
    <w:p w14:paraId="65F9F80C" w14:textId="77777777" w:rsidR="001E1A72" w:rsidRPr="00E11FC2" w:rsidRDefault="001E1A72" w:rsidP="001E1A72">
      <w:pPr>
        <w:pStyle w:val="Caption"/>
        <w:rPr>
          <w:rFonts w:ascii="Arial" w:hAnsi="Arial" w:cs="Arial"/>
          <w:sz w:val="20"/>
          <w:szCs w:val="20"/>
        </w:rPr>
      </w:pPr>
    </w:p>
    <w:p w14:paraId="41ADDD72" w14:textId="77777777" w:rsidR="001E1A72" w:rsidRPr="00E11FC2" w:rsidRDefault="001E1A72" w:rsidP="001E1A72">
      <w:pPr>
        <w:pStyle w:val="Caption"/>
        <w:rPr>
          <w:rFonts w:ascii="Arial" w:hAnsi="Arial" w:cs="Arial"/>
          <w:sz w:val="20"/>
          <w:szCs w:val="20"/>
        </w:rPr>
      </w:pPr>
    </w:p>
    <w:p w14:paraId="46152645" w14:textId="77777777" w:rsidR="001E1A72" w:rsidRPr="00E11FC2" w:rsidRDefault="001E1A72" w:rsidP="001E1A72">
      <w:pPr>
        <w:pStyle w:val="Caption"/>
        <w:rPr>
          <w:rFonts w:ascii="Arial" w:hAnsi="Arial" w:cs="Arial"/>
          <w:sz w:val="20"/>
          <w:szCs w:val="20"/>
        </w:rPr>
      </w:pPr>
    </w:p>
    <w:p w14:paraId="346A0653" w14:textId="77777777" w:rsidR="001E1A72" w:rsidRPr="00E11FC2" w:rsidRDefault="001E1A72" w:rsidP="001E1A72">
      <w:pPr>
        <w:pStyle w:val="Caption"/>
        <w:rPr>
          <w:rFonts w:ascii="Arial" w:hAnsi="Arial" w:cs="Arial"/>
          <w:sz w:val="20"/>
          <w:szCs w:val="20"/>
        </w:rPr>
      </w:pPr>
      <w:r w:rsidRPr="00E11FC2">
        <w:rPr>
          <w:rFonts w:ascii="Arial" w:hAnsi="Arial" w:cs="Arial"/>
          <w:sz w:val="20"/>
          <w:szCs w:val="20"/>
        </w:rPr>
        <w:t xml:space="preserve">Figure </w:t>
      </w:r>
      <w:r w:rsidRPr="00E11FC2">
        <w:rPr>
          <w:rFonts w:ascii="Arial" w:hAnsi="Arial" w:cs="Arial"/>
          <w:sz w:val="20"/>
          <w:szCs w:val="20"/>
        </w:rPr>
        <w:fldChar w:fldCharType="begin"/>
      </w:r>
      <w:r w:rsidRPr="00E11FC2">
        <w:rPr>
          <w:rFonts w:ascii="Arial" w:hAnsi="Arial" w:cs="Arial"/>
          <w:sz w:val="20"/>
          <w:szCs w:val="20"/>
        </w:rPr>
        <w:instrText xml:space="preserve"> SEQ Figure \* ARABIC </w:instrText>
      </w:r>
      <w:r w:rsidRPr="00E11FC2">
        <w:rPr>
          <w:rFonts w:ascii="Arial" w:hAnsi="Arial" w:cs="Arial"/>
          <w:sz w:val="20"/>
          <w:szCs w:val="20"/>
        </w:rPr>
        <w:fldChar w:fldCharType="separate"/>
      </w:r>
      <w:r w:rsidRPr="00E11FC2">
        <w:rPr>
          <w:rFonts w:ascii="Arial" w:hAnsi="Arial" w:cs="Arial"/>
          <w:noProof/>
          <w:sz w:val="20"/>
          <w:szCs w:val="20"/>
        </w:rPr>
        <w:t>15</w:t>
      </w:r>
      <w:r w:rsidRPr="00E11FC2">
        <w:rPr>
          <w:rFonts w:ascii="Arial" w:hAnsi="Arial" w:cs="Arial"/>
          <w:noProof/>
          <w:sz w:val="20"/>
          <w:szCs w:val="20"/>
        </w:rPr>
        <w:fldChar w:fldCharType="end"/>
      </w:r>
      <w:r w:rsidRPr="00E11FC2">
        <w:rPr>
          <w:rFonts w:ascii="Arial" w:hAnsi="Arial" w:cs="Arial"/>
          <w:sz w:val="20"/>
          <w:szCs w:val="20"/>
        </w:rPr>
        <w:t xml:space="preserve"> Location of benthic trawls in relation to mapped habitats.</w:t>
      </w:r>
    </w:p>
    <w:p w14:paraId="62816F26" w14:textId="77777777" w:rsidR="001E1A72" w:rsidRPr="00E11FC2" w:rsidRDefault="001E1A72" w:rsidP="001E1A72">
      <w:pPr>
        <w:pStyle w:val="TOC2"/>
      </w:pPr>
    </w:p>
    <w:p w14:paraId="1A91EC35" w14:textId="77777777" w:rsidR="001E1A72" w:rsidRPr="00E11FC2" w:rsidRDefault="001E1A72" w:rsidP="001E1A72">
      <w:pPr>
        <w:pStyle w:val="TOC2"/>
      </w:pPr>
    </w:p>
    <w:p w14:paraId="6B1F7A34" w14:textId="77777777" w:rsidR="001E1A72" w:rsidRPr="00E11FC2" w:rsidRDefault="001E1A72" w:rsidP="001E1A72">
      <w:pPr>
        <w:pStyle w:val="TOC2"/>
      </w:pPr>
    </w:p>
    <w:p w14:paraId="3DB2B4A2" w14:textId="77777777" w:rsidR="00F800DF" w:rsidRDefault="00F800DF" w:rsidP="00897ABC">
      <w:pPr>
        <w:spacing w:line="360" w:lineRule="auto"/>
        <w:jc w:val="both"/>
        <w:rPr>
          <w:rFonts w:ascii="Verdana" w:hAnsi="Verdana"/>
          <w:sz w:val="20"/>
          <w:szCs w:val="20"/>
          <w:lang w:val="en-GB"/>
        </w:rPr>
      </w:pPr>
    </w:p>
    <w:p w14:paraId="26524F14" w14:textId="77777777" w:rsidR="00F800DF" w:rsidRDefault="00F800DF" w:rsidP="00897ABC">
      <w:pPr>
        <w:spacing w:line="360" w:lineRule="auto"/>
        <w:jc w:val="both"/>
        <w:rPr>
          <w:rFonts w:ascii="Verdana" w:hAnsi="Verdana"/>
          <w:sz w:val="20"/>
          <w:szCs w:val="20"/>
          <w:lang w:val="en-GB"/>
        </w:rPr>
      </w:pPr>
    </w:p>
    <w:p w14:paraId="31A00BA3" w14:textId="3EB07B79" w:rsidR="001E1A72" w:rsidRPr="00E11FC2" w:rsidRDefault="001E1A72" w:rsidP="00897ABC">
      <w:pPr>
        <w:spacing w:line="360" w:lineRule="auto"/>
        <w:jc w:val="both"/>
        <w:rPr>
          <w:rFonts w:ascii="Verdana" w:hAnsi="Verdana"/>
          <w:sz w:val="20"/>
          <w:szCs w:val="20"/>
          <w:lang w:val="en-GB"/>
        </w:rPr>
      </w:pPr>
      <w:r w:rsidRPr="00E11FC2">
        <w:rPr>
          <w:rFonts w:ascii="Verdana" w:hAnsi="Verdana"/>
          <w:sz w:val="20"/>
          <w:szCs w:val="20"/>
          <w:lang w:val="en-GB"/>
        </w:rPr>
        <w:t>Circalittoral mud was found to host the lowest number of taxa, and infralittoral sand the highest number of taxa. Both had on average a lower abundance of individuals than circalittoral sand and infralittoral mud (Fig. 16). The species composition of epibenthic communities, however, does not seem to differ between the infralittoral and circalittoral (Fig. 17). The infra/circalittoral split is more relevant to vegetation as the lack of distinctive communities is not unexpected, when just dealing with fauna.  The most relevant habitat split in this case is the sediment type. Consequently, the biological analysis is repeated below for just sublittoral sand and sublittoral mud.</w:t>
      </w:r>
    </w:p>
    <w:p w14:paraId="1ACA5E51" w14:textId="77777777" w:rsidR="00897ABC" w:rsidRPr="00E11FC2" w:rsidRDefault="00897ABC" w:rsidP="00897ABC">
      <w:pPr>
        <w:spacing w:line="360" w:lineRule="auto"/>
        <w:jc w:val="both"/>
        <w:rPr>
          <w:rFonts w:ascii="Verdana" w:hAnsi="Verdana"/>
          <w:b/>
          <w:sz w:val="20"/>
          <w:szCs w:val="20"/>
          <w:lang w:val="en-GB"/>
        </w:rPr>
      </w:pPr>
    </w:p>
    <w:p w14:paraId="63EB31AC" w14:textId="77777777" w:rsidR="001E1A72" w:rsidRPr="00E11FC2" w:rsidRDefault="001E1A72" w:rsidP="001E1A72">
      <w:pPr>
        <w:pStyle w:val="BodyText"/>
        <w:ind w:left="0"/>
        <w:rPr>
          <w:lang w:val="en-GB"/>
        </w:rPr>
      </w:pPr>
      <w:r w:rsidRPr="00E11FC2">
        <w:rPr>
          <w:noProof/>
        </w:rPr>
        <w:drawing>
          <wp:inline distT="0" distB="0" distL="0" distR="0" wp14:anchorId="49E5D2B6" wp14:editId="10D17978">
            <wp:extent cx="5601899" cy="2449001"/>
            <wp:effectExtent l="0" t="0" r="0" b="8890"/>
            <wp:docPr id="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Figs/unnamed-chunk-19-1.png"/>
                    <pic:cNvPicPr>
                      <a:picLocks noChangeAspect="1" noChangeArrowheads="1"/>
                    </pic:cNvPicPr>
                  </pic:nvPicPr>
                  <pic:blipFill>
                    <a:blip r:embed="rId31"/>
                    <a:stretch>
                      <a:fillRect/>
                    </a:stretch>
                  </pic:blipFill>
                  <pic:spPr bwMode="auto">
                    <a:xfrm>
                      <a:off x="0" y="0"/>
                      <a:ext cx="5605363" cy="2450515"/>
                    </a:xfrm>
                    <a:prstGeom prst="rect">
                      <a:avLst/>
                    </a:prstGeom>
                    <a:noFill/>
                    <a:ln w="9525">
                      <a:noFill/>
                      <a:headEnd/>
                      <a:tailEnd/>
                    </a:ln>
                  </pic:spPr>
                </pic:pic>
              </a:graphicData>
            </a:graphic>
          </wp:inline>
        </w:drawing>
      </w:r>
    </w:p>
    <w:p w14:paraId="50DD7BEF" w14:textId="77777777" w:rsidR="001E1A72" w:rsidRPr="00E11FC2" w:rsidRDefault="001E1A72" w:rsidP="001E1A72">
      <w:pPr>
        <w:pStyle w:val="Caption"/>
        <w:rPr>
          <w:rFonts w:ascii="Arial" w:hAnsi="Arial" w:cs="Arial"/>
          <w:sz w:val="20"/>
          <w:szCs w:val="20"/>
        </w:rPr>
      </w:pPr>
    </w:p>
    <w:p w14:paraId="6A734DC2" w14:textId="42900BB1" w:rsidR="001E1A72" w:rsidRPr="00F800DF" w:rsidRDefault="001E1A72" w:rsidP="00F800DF">
      <w:pPr>
        <w:pStyle w:val="Caption"/>
        <w:rPr>
          <w:i/>
        </w:rPr>
      </w:pPr>
      <w:r w:rsidRPr="00E11FC2">
        <w:rPr>
          <w:rFonts w:ascii="Arial" w:hAnsi="Arial" w:cs="Arial"/>
          <w:sz w:val="20"/>
          <w:szCs w:val="20"/>
        </w:rPr>
        <w:t xml:space="preserve">Figure </w:t>
      </w:r>
      <w:r w:rsidRPr="00E11FC2">
        <w:rPr>
          <w:rFonts w:ascii="Arial" w:hAnsi="Arial" w:cs="Arial"/>
          <w:sz w:val="20"/>
          <w:szCs w:val="20"/>
        </w:rPr>
        <w:fldChar w:fldCharType="begin"/>
      </w:r>
      <w:r w:rsidRPr="00E11FC2">
        <w:rPr>
          <w:rFonts w:ascii="Arial" w:hAnsi="Arial" w:cs="Arial"/>
          <w:sz w:val="20"/>
          <w:szCs w:val="20"/>
        </w:rPr>
        <w:instrText xml:space="preserve"> SEQ Figure \* ARABIC </w:instrText>
      </w:r>
      <w:r w:rsidRPr="00E11FC2">
        <w:rPr>
          <w:rFonts w:ascii="Arial" w:hAnsi="Arial" w:cs="Arial"/>
          <w:sz w:val="20"/>
          <w:szCs w:val="20"/>
        </w:rPr>
        <w:fldChar w:fldCharType="separate"/>
      </w:r>
      <w:r w:rsidRPr="00E11FC2">
        <w:rPr>
          <w:rFonts w:ascii="Arial" w:hAnsi="Arial" w:cs="Arial"/>
          <w:noProof/>
          <w:sz w:val="20"/>
          <w:szCs w:val="20"/>
        </w:rPr>
        <w:t>16</w:t>
      </w:r>
      <w:r w:rsidRPr="00E11FC2">
        <w:rPr>
          <w:rFonts w:ascii="Arial" w:hAnsi="Arial" w:cs="Arial"/>
          <w:noProof/>
          <w:sz w:val="20"/>
          <w:szCs w:val="20"/>
        </w:rPr>
        <w:fldChar w:fldCharType="end"/>
      </w:r>
      <w:r w:rsidRPr="00E11FC2">
        <w:rPr>
          <w:rFonts w:ascii="Arial" w:hAnsi="Arial" w:cs="Arial"/>
          <w:sz w:val="20"/>
          <w:szCs w:val="20"/>
        </w:rPr>
        <w:t xml:space="preserve"> </w:t>
      </w:r>
      <w:r w:rsidRPr="00E11FC2">
        <w:rPr>
          <w:rFonts w:ascii="Arial" w:hAnsi="Arial" w:cs="Arial"/>
          <w:i/>
          <w:sz w:val="20"/>
          <w:szCs w:val="20"/>
        </w:rPr>
        <w:t>Number of taxa and total abundance observed in trawl samples from each habitat type</w:t>
      </w:r>
      <w:r w:rsidRPr="00E11FC2">
        <w:rPr>
          <w:i/>
        </w:rPr>
        <w:t>.</w:t>
      </w:r>
    </w:p>
    <w:p w14:paraId="647B017D" w14:textId="77777777" w:rsidR="001E1A72" w:rsidRPr="00E11FC2" w:rsidRDefault="001E1A72" w:rsidP="001E1A72">
      <w:pPr>
        <w:pStyle w:val="BodyText"/>
        <w:ind w:left="0"/>
        <w:rPr>
          <w:lang w:val="en-GB"/>
        </w:rPr>
      </w:pPr>
    </w:p>
    <w:p w14:paraId="5DF4F578" w14:textId="77777777" w:rsidR="001E1A72" w:rsidRPr="00E11FC2" w:rsidRDefault="001E1A72" w:rsidP="001E1A72">
      <w:pPr>
        <w:pStyle w:val="BodyText"/>
        <w:ind w:left="0"/>
        <w:rPr>
          <w:lang w:val="en-GB"/>
        </w:rPr>
      </w:pPr>
    </w:p>
    <w:p w14:paraId="1979ED5D" w14:textId="77777777" w:rsidR="001E1A72" w:rsidRPr="00E11FC2" w:rsidRDefault="001E1A72" w:rsidP="001E1A72">
      <w:pPr>
        <w:pStyle w:val="BodyText"/>
        <w:ind w:left="0"/>
        <w:rPr>
          <w:lang w:val="en-GB"/>
        </w:rPr>
      </w:pPr>
      <w:r w:rsidRPr="00E11FC2">
        <w:rPr>
          <w:noProof/>
        </w:rPr>
        <w:drawing>
          <wp:inline distT="0" distB="0" distL="0" distR="0" wp14:anchorId="4F2DB2E8" wp14:editId="4AFFB9CC">
            <wp:extent cx="5141161" cy="6424654"/>
            <wp:effectExtent l="0" t="0" r="2540" b="0"/>
            <wp:docPr id="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Figs/unnamed-chunk-20-1.png"/>
                    <pic:cNvPicPr>
                      <a:picLocks noChangeAspect="1" noChangeArrowheads="1"/>
                    </pic:cNvPicPr>
                  </pic:nvPicPr>
                  <pic:blipFill>
                    <a:blip r:embed="rId32"/>
                    <a:stretch>
                      <a:fillRect/>
                    </a:stretch>
                  </pic:blipFill>
                  <pic:spPr bwMode="auto">
                    <a:xfrm>
                      <a:off x="0" y="0"/>
                      <a:ext cx="5156421" cy="6443723"/>
                    </a:xfrm>
                    <a:prstGeom prst="rect">
                      <a:avLst/>
                    </a:prstGeom>
                    <a:noFill/>
                    <a:ln w="9525">
                      <a:noFill/>
                      <a:headEnd/>
                      <a:tailEnd/>
                    </a:ln>
                  </pic:spPr>
                </pic:pic>
              </a:graphicData>
            </a:graphic>
          </wp:inline>
        </w:drawing>
      </w:r>
    </w:p>
    <w:p w14:paraId="7593CA6B" w14:textId="77777777" w:rsidR="001E1A72" w:rsidRPr="00E11FC2" w:rsidRDefault="001E1A72" w:rsidP="001E1A72">
      <w:pPr>
        <w:pStyle w:val="BodyText"/>
        <w:ind w:left="0"/>
        <w:rPr>
          <w:lang w:val="en-GB"/>
        </w:rPr>
      </w:pPr>
    </w:p>
    <w:p w14:paraId="41C96F92" w14:textId="77777777" w:rsidR="001E1A72" w:rsidRPr="00E11FC2" w:rsidRDefault="001E1A72" w:rsidP="001E1A72">
      <w:pPr>
        <w:pStyle w:val="Caption"/>
        <w:rPr>
          <w:rFonts w:ascii="Arial" w:hAnsi="Arial" w:cs="Arial"/>
          <w:sz w:val="20"/>
          <w:szCs w:val="20"/>
        </w:rPr>
      </w:pPr>
      <w:bookmarkStart w:id="26" w:name="_Ref511918253"/>
      <w:r w:rsidRPr="00E11FC2">
        <w:rPr>
          <w:rFonts w:ascii="Arial" w:hAnsi="Arial" w:cs="Arial"/>
          <w:sz w:val="20"/>
          <w:szCs w:val="20"/>
        </w:rPr>
        <w:t xml:space="preserve">Figure </w:t>
      </w:r>
      <w:r w:rsidRPr="00E11FC2">
        <w:rPr>
          <w:rFonts w:ascii="Arial" w:hAnsi="Arial" w:cs="Arial"/>
          <w:sz w:val="20"/>
          <w:szCs w:val="20"/>
        </w:rPr>
        <w:fldChar w:fldCharType="begin"/>
      </w:r>
      <w:r w:rsidRPr="00E11FC2">
        <w:rPr>
          <w:rFonts w:ascii="Arial" w:hAnsi="Arial" w:cs="Arial"/>
          <w:sz w:val="20"/>
          <w:szCs w:val="20"/>
        </w:rPr>
        <w:instrText xml:space="preserve"> SEQ Figure \* ARABIC </w:instrText>
      </w:r>
      <w:r w:rsidRPr="00E11FC2">
        <w:rPr>
          <w:rFonts w:ascii="Arial" w:hAnsi="Arial" w:cs="Arial"/>
          <w:sz w:val="20"/>
          <w:szCs w:val="20"/>
        </w:rPr>
        <w:fldChar w:fldCharType="separate"/>
      </w:r>
      <w:r w:rsidRPr="00E11FC2">
        <w:rPr>
          <w:rFonts w:ascii="Arial" w:hAnsi="Arial" w:cs="Arial"/>
          <w:noProof/>
          <w:sz w:val="20"/>
          <w:szCs w:val="20"/>
        </w:rPr>
        <w:t>17</w:t>
      </w:r>
      <w:r w:rsidRPr="00E11FC2">
        <w:rPr>
          <w:rFonts w:ascii="Arial" w:hAnsi="Arial" w:cs="Arial"/>
          <w:noProof/>
          <w:sz w:val="20"/>
          <w:szCs w:val="20"/>
        </w:rPr>
        <w:fldChar w:fldCharType="end"/>
      </w:r>
      <w:bookmarkEnd w:id="26"/>
      <w:r w:rsidRPr="00E11FC2">
        <w:rPr>
          <w:rFonts w:ascii="Arial" w:hAnsi="Arial" w:cs="Arial"/>
          <w:sz w:val="20"/>
          <w:szCs w:val="20"/>
        </w:rPr>
        <w:t xml:space="preserve"> </w:t>
      </w:r>
      <w:bookmarkStart w:id="27" w:name="_Hlk511918856"/>
      <w:r w:rsidRPr="00E11FC2">
        <w:rPr>
          <w:rFonts w:ascii="Arial" w:hAnsi="Arial" w:cs="Arial"/>
          <w:sz w:val="20"/>
          <w:szCs w:val="20"/>
        </w:rPr>
        <w:t>The relative density plots of biomass for the epibenthic taxa across habitat types.</w:t>
      </w:r>
      <w:bookmarkEnd w:id="27"/>
    </w:p>
    <w:p w14:paraId="67CA01E3" w14:textId="77777777" w:rsidR="001E1A72" w:rsidRPr="00E11FC2" w:rsidRDefault="001E1A72" w:rsidP="001E1A72">
      <w:pPr>
        <w:pStyle w:val="BodyText"/>
        <w:ind w:left="0"/>
        <w:rPr>
          <w:lang w:val="en-GB"/>
        </w:rPr>
      </w:pPr>
    </w:p>
    <w:p w14:paraId="4BB7571A" w14:textId="77777777" w:rsidR="001E1A72" w:rsidRPr="00E11FC2" w:rsidRDefault="001E1A72" w:rsidP="001E1A72">
      <w:pPr>
        <w:pStyle w:val="BodyText"/>
        <w:ind w:left="0"/>
        <w:rPr>
          <w:lang w:val="en-GB"/>
        </w:rPr>
      </w:pPr>
    </w:p>
    <w:p w14:paraId="53956107" w14:textId="77777777" w:rsidR="001E1A72" w:rsidRPr="00E11FC2" w:rsidRDefault="001E1A72" w:rsidP="001E1A72">
      <w:pPr>
        <w:pStyle w:val="BodyText"/>
        <w:ind w:left="0"/>
        <w:rPr>
          <w:lang w:val="en-GB"/>
        </w:rPr>
      </w:pPr>
    </w:p>
    <w:p w14:paraId="24B8288E" w14:textId="77777777" w:rsidR="001E1A72" w:rsidRPr="00E11FC2" w:rsidRDefault="001E1A72" w:rsidP="00897ABC">
      <w:pPr>
        <w:spacing w:line="360" w:lineRule="auto"/>
        <w:jc w:val="both"/>
        <w:rPr>
          <w:rFonts w:ascii="Verdana" w:hAnsi="Verdana"/>
          <w:sz w:val="20"/>
          <w:szCs w:val="20"/>
          <w:lang w:val="en-GB"/>
        </w:rPr>
      </w:pPr>
      <w:r w:rsidRPr="00E11FC2">
        <w:rPr>
          <w:rFonts w:ascii="Verdana" w:hAnsi="Verdana"/>
          <w:sz w:val="20"/>
          <w:szCs w:val="20"/>
          <w:lang w:val="en-GB"/>
        </w:rPr>
        <w:t>Results show that sand habitats had on average a higher number of taxa, whilst abundance varied across both sediment types (Fig. 18). Many species, such as the sea pansy (</w:t>
      </w:r>
      <w:r w:rsidRPr="00E11FC2">
        <w:rPr>
          <w:rFonts w:ascii="Verdana" w:hAnsi="Verdana"/>
          <w:i/>
          <w:sz w:val="20"/>
          <w:szCs w:val="20"/>
          <w:lang w:val="en-GB"/>
        </w:rPr>
        <w:t>Renilla muelleri</w:t>
      </w:r>
      <w:r w:rsidRPr="00E11FC2">
        <w:rPr>
          <w:rFonts w:ascii="Verdana" w:hAnsi="Verdana"/>
          <w:sz w:val="20"/>
          <w:szCs w:val="20"/>
          <w:lang w:val="en-GB"/>
        </w:rPr>
        <w:t>), Southern brown shrimp (</w:t>
      </w:r>
      <w:r w:rsidRPr="00E11FC2">
        <w:rPr>
          <w:rFonts w:ascii="Verdana" w:hAnsi="Verdana"/>
          <w:i/>
          <w:sz w:val="20"/>
          <w:szCs w:val="20"/>
          <w:lang w:val="en-GB"/>
        </w:rPr>
        <w:t>Penaeus subtilis</w:t>
      </w:r>
      <w:r w:rsidRPr="00E11FC2">
        <w:rPr>
          <w:rFonts w:ascii="Verdana" w:hAnsi="Verdana"/>
          <w:sz w:val="20"/>
          <w:szCs w:val="20"/>
          <w:lang w:val="en-GB"/>
        </w:rPr>
        <w:t xml:space="preserve">), and the crabs </w:t>
      </w:r>
      <w:r w:rsidRPr="00E11FC2">
        <w:rPr>
          <w:rFonts w:ascii="Verdana" w:hAnsi="Verdana"/>
          <w:i/>
          <w:sz w:val="20"/>
          <w:szCs w:val="20"/>
          <w:lang w:val="en-GB"/>
        </w:rPr>
        <w:t>Callinectes ornatus</w:t>
      </w:r>
      <w:r w:rsidRPr="00E11FC2">
        <w:rPr>
          <w:rFonts w:ascii="Verdana" w:hAnsi="Verdana"/>
          <w:sz w:val="20"/>
          <w:szCs w:val="20"/>
          <w:lang w:val="en-GB"/>
        </w:rPr>
        <w:t xml:space="preserve"> and </w:t>
      </w:r>
      <w:r w:rsidRPr="00E11FC2">
        <w:rPr>
          <w:rFonts w:ascii="Verdana" w:hAnsi="Verdana"/>
          <w:i/>
          <w:sz w:val="20"/>
          <w:szCs w:val="20"/>
          <w:lang w:val="en-GB"/>
        </w:rPr>
        <w:t xml:space="preserve">Paradasygyius tuberculatus </w:t>
      </w:r>
      <w:r w:rsidRPr="00E11FC2">
        <w:rPr>
          <w:rFonts w:ascii="Verdana" w:hAnsi="Verdana"/>
          <w:sz w:val="20"/>
          <w:szCs w:val="20"/>
          <w:lang w:val="en-GB"/>
        </w:rPr>
        <w:t xml:space="preserve">were common to both sediment types. There were, however, some taxa highlighted by an indicator species analysis for sand and mud. The analysis calculates the indicator value of a species as the product of the relative frequency </w:t>
      </w:r>
      <w:r w:rsidRPr="00E11FC2">
        <w:rPr>
          <w:rFonts w:ascii="Verdana" w:hAnsi="Verdana"/>
          <w:sz w:val="20"/>
          <w:szCs w:val="20"/>
          <w:lang w:val="en-GB"/>
        </w:rPr>
        <w:lastRenderedPageBreak/>
        <w:t>and relative average abundance in a given group (Dufrene and Legendre, 1997). Mud was characterized by the Whitebelly prawn (</w:t>
      </w:r>
      <w:r w:rsidRPr="00E11FC2">
        <w:rPr>
          <w:rFonts w:ascii="Verdana" w:hAnsi="Verdana"/>
          <w:i/>
          <w:sz w:val="20"/>
          <w:szCs w:val="20"/>
          <w:lang w:val="en-GB"/>
        </w:rPr>
        <w:t>Nematopalaemon schmitti</w:t>
      </w:r>
      <w:r w:rsidRPr="00E11FC2">
        <w:rPr>
          <w:rFonts w:ascii="Verdana" w:hAnsi="Verdana"/>
          <w:sz w:val="20"/>
          <w:szCs w:val="20"/>
          <w:lang w:val="en-GB"/>
        </w:rPr>
        <w:t>) and Atlantic seabob (</w:t>
      </w:r>
      <w:r w:rsidRPr="00E11FC2">
        <w:rPr>
          <w:rFonts w:ascii="Verdana" w:hAnsi="Verdana"/>
          <w:i/>
          <w:sz w:val="20"/>
          <w:szCs w:val="20"/>
          <w:lang w:val="en-GB"/>
        </w:rPr>
        <w:t>Xiphopenaeus kroyeri</w:t>
      </w:r>
      <w:r w:rsidRPr="00E11FC2">
        <w:rPr>
          <w:rFonts w:ascii="Verdana" w:hAnsi="Verdana"/>
          <w:sz w:val="20"/>
          <w:szCs w:val="20"/>
          <w:lang w:val="en-GB"/>
        </w:rPr>
        <w:t>). Seabob is also present on sand but is found in much higher biomass in mud. The Tweezer crab (</w:t>
      </w:r>
      <w:r w:rsidRPr="00E11FC2">
        <w:rPr>
          <w:rFonts w:ascii="Verdana" w:hAnsi="Verdana"/>
          <w:i/>
          <w:sz w:val="20"/>
          <w:szCs w:val="20"/>
          <w:lang w:val="en-GB"/>
        </w:rPr>
        <w:t>Lupella forceps</w:t>
      </w:r>
      <w:r w:rsidRPr="00E11FC2">
        <w:rPr>
          <w:rFonts w:ascii="Verdana" w:hAnsi="Verdana"/>
          <w:sz w:val="20"/>
          <w:szCs w:val="20"/>
          <w:lang w:val="en-GB"/>
        </w:rPr>
        <w:t>), Lined seastar (</w:t>
      </w:r>
      <w:r w:rsidRPr="00E11FC2">
        <w:rPr>
          <w:rFonts w:ascii="Verdana" w:hAnsi="Verdana"/>
          <w:i/>
          <w:sz w:val="20"/>
          <w:szCs w:val="20"/>
          <w:lang w:val="en-GB"/>
        </w:rPr>
        <w:t>Luidia clathrata),</w:t>
      </w:r>
      <w:r w:rsidRPr="00E11FC2">
        <w:rPr>
          <w:rFonts w:ascii="Verdana" w:hAnsi="Verdana"/>
          <w:sz w:val="20"/>
          <w:szCs w:val="20"/>
          <w:lang w:val="en-GB"/>
        </w:rPr>
        <w:t xml:space="preserve"> Nine-armed seastar (</w:t>
      </w:r>
      <w:r w:rsidRPr="00E11FC2">
        <w:rPr>
          <w:rFonts w:ascii="Verdana" w:hAnsi="Verdana"/>
          <w:i/>
          <w:sz w:val="20"/>
          <w:szCs w:val="20"/>
          <w:lang w:val="en-GB"/>
        </w:rPr>
        <w:t>Luidia senegalensis</w:t>
      </w:r>
      <w:r w:rsidRPr="00E11FC2">
        <w:rPr>
          <w:rFonts w:ascii="Verdana" w:hAnsi="Verdana"/>
          <w:sz w:val="20"/>
          <w:szCs w:val="20"/>
          <w:lang w:val="en-GB"/>
        </w:rPr>
        <w:t>) and Short-spined brittlestar (</w:t>
      </w:r>
      <w:r w:rsidRPr="00E11FC2">
        <w:rPr>
          <w:rFonts w:ascii="Verdana" w:hAnsi="Verdana"/>
          <w:i/>
          <w:sz w:val="20"/>
          <w:szCs w:val="20"/>
          <w:lang w:val="en-GB"/>
        </w:rPr>
        <w:t>Ophioderma brevispina</w:t>
      </w:r>
      <w:r w:rsidRPr="00E11FC2">
        <w:rPr>
          <w:rFonts w:ascii="Verdana" w:hAnsi="Verdana"/>
          <w:sz w:val="20"/>
          <w:szCs w:val="20"/>
          <w:lang w:val="en-GB"/>
        </w:rPr>
        <w:t>) are specific to the sand habitat and the Elegant brittlestar (</w:t>
      </w:r>
      <w:r w:rsidRPr="00E11FC2">
        <w:rPr>
          <w:rFonts w:ascii="Verdana" w:hAnsi="Verdana"/>
          <w:i/>
          <w:sz w:val="20"/>
          <w:szCs w:val="20"/>
          <w:lang w:val="en-GB"/>
        </w:rPr>
        <w:t>Ophiolepis elegans</w:t>
      </w:r>
      <w:r w:rsidRPr="00E11FC2">
        <w:rPr>
          <w:rFonts w:ascii="Verdana" w:hAnsi="Verdana"/>
          <w:sz w:val="20"/>
          <w:szCs w:val="20"/>
          <w:lang w:val="en-GB"/>
        </w:rPr>
        <w:t>) is present in higher abundance (Table 2, Fig. 19).</w:t>
      </w:r>
    </w:p>
    <w:p w14:paraId="47F88F5A" w14:textId="77777777" w:rsidR="001E1A72" w:rsidRPr="00E11FC2" w:rsidRDefault="001E1A72" w:rsidP="001E1A72">
      <w:pPr>
        <w:rPr>
          <w:rFonts w:ascii="Verdana" w:hAnsi="Verdana"/>
          <w:lang w:val="en-GB"/>
        </w:rPr>
      </w:pPr>
    </w:p>
    <w:p w14:paraId="25A03947" w14:textId="77777777" w:rsidR="001E1A72" w:rsidRPr="00E11FC2" w:rsidRDefault="001E1A72" w:rsidP="001E1A72">
      <w:pPr>
        <w:rPr>
          <w:rFonts w:ascii="Verdana" w:hAnsi="Verdana"/>
          <w:lang w:val="en-GB"/>
        </w:rPr>
      </w:pPr>
    </w:p>
    <w:p w14:paraId="0EC21A82" w14:textId="77777777" w:rsidR="001E1A72" w:rsidRPr="00E11FC2" w:rsidRDefault="001E1A72" w:rsidP="001E1A72">
      <w:pPr>
        <w:rPr>
          <w:rFonts w:ascii="Verdana" w:hAnsi="Verdana"/>
          <w:lang w:val="en-GB"/>
        </w:rPr>
      </w:pPr>
    </w:p>
    <w:p w14:paraId="477FAC2B" w14:textId="77777777" w:rsidR="001E1A72" w:rsidRPr="00E11FC2" w:rsidRDefault="001E1A72" w:rsidP="001E1A72">
      <w:pPr>
        <w:rPr>
          <w:rFonts w:ascii="Verdana" w:hAnsi="Verdana"/>
          <w:lang w:val="en-GB"/>
        </w:rPr>
      </w:pPr>
      <w:r w:rsidRPr="00E11FC2">
        <w:rPr>
          <w:noProof/>
        </w:rPr>
        <w:drawing>
          <wp:inline distT="0" distB="0" distL="0" distR="0" wp14:anchorId="40AF8F5C" wp14:editId="2A1B881A">
            <wp:extent cx="5172710" cy="1856945"/>
            <wp:effectExtent l="0" t="0" r="8890" b="0"/>
            <wp:docPr id="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Figs/unnamed-chunk-21-1.png"/>
                    <pic:cNvPicPr>
                      <a:picLocks noChangeAspect="1" noChangeArrowheads="1"/>
                    </pic:cNvPicPr>
                  </pic:nvPicPr>
                  <pic:blipFill rotWithShape="1">
                    <a:blip r:embed="rId33"/>
                    <a:srcRect t="10612" b="7347"/>
                    <a:stretch/>
                  </pic:blipFill>
                  <pic:spPr bwMode="auto">
                    <a:xfrm>
                      <a:off x="0" y="0"/>
                      <a:ext cx="5172710" cy="1856945"/>
                    </a:xfrm>
                    <a:prstGeom prst="rect">
                      <a:avLst/>
                    </a:prstGeom>
                    <a:noFill/>
                    <a:ln>
                      <a:noFill/>
                    </a:ln>
                    <a:extLst>
                      <a:ext uri="{53640926-AAD7-44D8-BBD7-CCE9431645EC}">
                        <a14:shadowObscured xmlns:a14="http://schemas.microsoft.com/office/drawing/2010/main"/>
                      </a:ext>
                    </a:extLst>
                  </pic:spPr>
                </pic:pic>
              </a:graphicData>
            </a:graphic>
          </wp:inline>
        </w:drawing>
      </w:r>
    </w:p>
    <w:p w14:paraId="07FCB748" w14:textId="77777777" w:rsidR="001E1A72" w:rsidRPr="00E11FC2" w:rsidRDefault="001E1A72" w:rsidP="001E1A72">
      <w:pPr>
        <w:pStyle w:val="Caption"/>
        <w:rPr>
          <w:rFonts w:ascii="Arial" w:hAnsi="Arial" w:cs="Arial"/>
          <w:sz w:val="20"/>
          <w:szCs w:val="20"/>
        </w:rPr>
      </w:pPr>
      <w:r w:rsidRPr="00E11FC2">
        <w:rPr>
          <w:rFonts w:ascii="Arial" w:hAnsi="Arial" w:cs="Arial"/>
          <w:sz w:val="20"/>
          <w:szCs w:val="20"/>
        </w:rPr>
        <w:t xml:space="preserve">Figure </w:t>
      </w:r>
      <w:r w:rsidRPr="00E11FC2">
        <w:rPr>
          <w:rFonts w:ascii="Arial" w:hAnsi="Arial" w:cs="Arial"/>
          <w:sz w:val="20"/>
          <w:szCs w:val="20"/>
        </w:rPr>
        <w:fldChar w:fldCharType="begin"/>
      </w:r>
      <w:r w:rsidRPr="00E11FC2">
        <w:rPr>
          <w:rFonts w:ascii="Arial" w:hAnsi="Arial" w:cs="Arial"/>
          <w:sz w:val="20"/>
          <w:szCs w:val="20"/>
        </w:rPr>
        <w:instrText xml:space="preserve"> SEQ Figure \* ARABIC </w:instrText>
      </w:r>
      <w:r w:rsidRPr="00E11FC2">
        <w:rPr>
          <w:rFonts w:ascii="Arial" w:hAnsi="Arial" w:cs="Arial"/>
          <w:sz w:val="20"/>
          <w:szCs w:val="20"/>
        </w:rPr>
        <w:fldChar w:fldCharType="separate"/>
      </w:r>
      <w:r w:rsidRPr="00E11FC2">
        <w:rPr>
          <w:rFonts w:ascii="Arial" w:hAnsi="Arial" w:cs="Arial"/>
          <w:noProof/>
          <w:sz w:val="20"/>
          <w:szCs w:val="20"/>
        </w:rPr>
        <w:t>18</w:t>
      </w:r>
      <w:r w:rsidRPr="00E11FC2">
        <w:rPr>
          <w:rFonts w:ascii="Arial" w:hAnsi="Arial" w:cs="Arial"/>
          <w:noProof/>
          <w:sz w:val="20"/>
          <w:szCs w:val="20"/>
        </w:rPr>
        <w:fldChar w:fldCharType="end"/>
      </w:r>
      <w:r w:rsidRPr="00E11FC2">
        <w:rPr>
          <w:rFonts w:ascii="Arial" w:hAnsi="Arial" w:cs="Arial"/>
          <w:sz w:val="20"/>
          <w:szCs w:val="20"/>
        </w:rPr>
        <w:t xml:space="preserve"> Number of taxa and total abundance observed in trawl samples from each sediment type. Indicator values range 0-1.</w:t>
      </w:r>
    </w:p>
    <w:p w14:paraId="050FE77A" w14:textId="77777777" w:rsidR="001E1A72" w:rsidRPr="00E11FC2" w:rsidRDefault="001E1A72" w:rsidP="001E1A72">
      <w:pPr>
        <w:rPr>
          <w:rFonts w:ascii="Verdana" w:hAnsi="Verdana"/>
          <w:lang w:val="en-GB"/>
        </w:rPr>
      </w:pPr>
    </w:p>
    <w:p w14:paraId="4E2FEE23" w14:textId="77777777" w:rsidR="001E1A72" w:rsidRPr="00E11FC2" w:rsidRDefault="001E1A72" w:rsidP="001E1A72">
      <w:pPr>
        <w:rPr>
          <w:rFonts w:ascii="Verdana" w:hAnsi="Verdana"/>
          <w:lang w:val="en-GB"/>
        </w:rPr>
      </w:pPr>
    </w:p>
    <w:p w14:paraId="1FCFA51C" w14:textId="77777777" w:rsidR="001E1A72" w:rsidRPr="00E11FC2" w:rsidRDefault="001E1A72" w:rsidP="001E1A72">
      <w:pPr>
        <w:rPr>
          <w:rFonts w:ascii="Verdana" w:hAnsi="Verdana"/>
          <w:lang w:val="en-GB"/>
        </w:rPr>
      </w:pPr>
    </w:p>
    <w:p w14:paraId="7BFDE854" w14:textId="77777777" w:rsidR="001E1A72" w:rsidRPr="00E11FC2" w:rsidRDefault="001E1A72" w:rsidP="001E1A72">
      <w:pPr>
        <w:rPr>
          <w:rFonts w:ascii="Verdana" w:hAnsi="Verdana"/>
          <w:lang w:val="en-GB"/>
        </w:rPr>
      </w:pPr>
    </w:p>
    <w:p w14:paraId="56C6D174" w14:textId="77777777" w:rsidR="001E1A72" w:rsidRPr="00E11FC2" w:rsidRDefault="001E1A72" w:rsidP="001E1A72">
      <w:pPr>
        <w:rPr>
          <w:rFonts w:ascii="Verdana" w:hAnsi="Verdana"/>
          <w:lang w:val="en-GB"/>
        </w:rPr>
      </w:pPr>
    </w:p>
    <w:p w14:paraId="245E418F" w14:textId="77777777" w:rsidR="001E1A72" w:rsidRPr="00E11FC2" w:rsidRDefault="001E1A72" w:rsidP="001E1A72">
      <w:pPr>
        <w:pStyle w:val="Caption"/>
        <w:keepNext/>
        <w:ind w:left="0"/>
        <w:rPr>
          <w:rFonts w:ascii="Arial" w:hAnsi="Arial" w:cs="Arial"/>
          <w:sz w:val="20"/>
          <w:szCs w:val="20"/>
        </w:rPr>
      </w:pPr>
      <w:bookmarkStart w:id="28" w:name="_Ref512008928"/>
      <w:r w:rsidRPr="00E11FC2">
        <w:rPr>
          <w:rFonts w:ascii="Arial" w:hAnsi="Arial" w:cs="Arial"/>
          <w:sz w:val="20"/>
          <w:szCs w:val="20"/>
        </w:rPr>
        <w:t xml:space="preserve">Table </w:t>
      </w:r>
      <w:r w:rsidRPr="00E11FC2">
        <w:rPr>
          <w:rFonts w:ascii="Arial" w:hAnsi="Arial" w:cs="Arial"/>
          <w:sz w:val="20"/>
          <w:szCs w:val="20"/>
        </w:rPr>
        <w:fldChar w:fldCharType="begin"/>
      </w:r>
      <w:r w:rsidRPr="00E11FC2">
        <w:rPr>
          <w:rFonts w:ascii="Arial" w:hAnsi="Arial" w:cs="Arial"/>
          <w:sz w:val="20"/>
          <w:szCs w:val="20"/>
        </w:rPr>
        <w:instrText xml:space="preserve"> SEQ Table \* ARABIC </w:instrText>
      </w:r>
      <w:r w:rsidRPr="00E11FC2">
        <w:rPr>
          <w:rFonts w:ascii="Arial" w:hAnsi="Arial" w:cs="Arial"/>
          <w:sz w:val="20"/>
          <w:szCs w:val="20"/>
        </w:rPr>
        <w:fldChar w:fldCharType="separate"/>
      </w:r>
      <w:r w:rsidRPr="00E11FC2">
        <w:rPr>
          <w:rFonts w:ascii="Arial" w:hAnsi="Arial" w:cs="Arial"/>
          <w:noProof/>
          <w:sz w:val="20"/>
          <w:szCs w:val="20"/>
        </w:rPr>
        <w:t>2</w:t>
      </w:r>
      <w:r w:rsidRPr="00E11FC2">
        <w:rPr>
          <w:rFonts w:ascii="Arial" w:hAnsi="Arial" w:cs="Arial"/>
          <w:noProof/>
          <w:sz w:val="20"/>
          <w:szCs w:val="20"/>
        </w:rPr>
        <w:fldChar w:fldCharType="end"/>
      </w:r>
      <w:bookmarkEnd w:id="28"/>
      <w:r w:rsidRPr="00E11FC2">
        <w:rPr>
          <w:rFonts w:ascii="Arial" w:hAnsi="Arial" w:cs="Arial"/>
          <w:sz w:val="20"/>
          <w:szCs w:val="20"/>
        </w:rPr>
        <w:t xml:space="preserve"> Results of the indicator species analysis. </w:t>
      </w:r>
    </w:p>
    <w:tbl>
      <w:tblPr>
        <w:tblW w:w="4114" w:type="pct"/>
        <w:tblLook w:val="07E0" w:firstRow="1" w:lastRow="1" w:firstColumn="1" w:lastColumn="1" w:noHBand="1" w:noVBand="1"/>
        <w:tblCaption w:val="Results of the indicator species analysis."/>
      </w:tblPr>
      <w:tblGrid>
        <w:gridCol w:w="1412"/>
        <w:gridCol w:w="3978"/>
        <w:gridCol w:w="1162"/>
        <w:gridCol w:w="875"/>
      </w:tblGrid>
      <w:tr w:rsidR="001E1A72" w:rsidRPr="00E11FC2" w14:paraId="073FF2B1" w14:textId="77777777" w:rsidTr="005C5190">
        <w:trPr>
          <w:trHeight w:val="516"/>
        </w:trPr>
        <w:tc>
          <w:tcPr>
            <w:tcW w:w="951" w:type="pct"/>
            <w:tcBorders>
              <w:top w:val="single" w:sz="4" w:space="0" w:color="auto"/>
              <w:bottom w:val="single" w:sz="0" w:space="0" w:color="auto"/>
            </w:tcBorders>
            <w:vAlign w:val="bottom"/>
          </w:tcPr>
          <w:p w14:paraId="4F05CC70"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Sediment type</w:t>
            </w:r>
          </w:p>
        </w:tc>
        <w:tc>
          <w:tcPr>
            <w:tcW w:w="2678" w:type="pct"/>
            <w:tcBorders>
              <w:top w:val="single" w:sz="4" w:space="0" w:color="auto"/>
              <w:bottom w:val="single" w:sz="0" w:space="0" w:color="auto"/>
            </w:tcBorders>
            <w:vAlign w:val="bottom"/>
          </w:tcPr>
          <w:p w14:paraId="2C80B516"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Indicator species</w:t>
            </w:r>
          </w:p>
        </w:tc>
        <w:tc>
          <w:tcPr>
            <w:tcW w:w="782" w:type="pct"/>
            <w:tcBorders>
              <w:top w:val="single" w:sz="4" w:space="0" w:color="auto"/>
              <w:bottom w:val="single" w:sz="0" w:space="0" w:color="auto"/>
            </w:tcBorders>
            <w:vAlign w:val="bottom"/>
          </w:tcPr>
          <w:p w14:paraId="60AFE302"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Indicator value</w:t>
            </w:r>
          </w:p>
        </w:tc>
        <w:tc>
          <w:tcPr>
            <w:tcW w:w="589" w:type="pct"/>
            <w:tcBorders>
              <w:top w:val="single" w:sz="4" w:space="0" w:color="auto"/>
              <w:bottom w:val="single" w:sz="0" w:space="0" w:color="auto"/>
            </w:tcBorders>
            <w:vAlign w:val="bottom"/>
          </w:tcPr>
          <w:p w14:paraId="56A4B1A5"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p-value</w:t>
            </w:r>
          </w:p>
        </w:tc>
      </w:tr>
      <w:tr w:rsidR="001E1A72" w:rsidRPr="00E11FC2" w14:paraId="23FA64CD" w14:textId="77777777" w:rsidTr="005C5190">
        <w:trPr>
          <w:trHeight w:val="295"/>
        </w:trPr>
        <w:tc>
          <w:tcPr>
            <w:tcW w:w="951" w:type="pct"/>
          </w:tcPr>
          <w:p w14:paraId="3B4E2B6B"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Mud</w:t>
            </w:r>
          </w:p>
        </w:tc>
        <w:tc>
          <w:tcPr>
            <w:tcW w:w="2678" w:type="pct"/>
          </w:tcPr>
          <w:p w14:paraId="40E48DC6" w14:textId="77777777" w:rsidR="001E1A72" w:rsidRPr="00E11FC2" w:rsidRDefault="001E1A72" w:rsidP="005C5190">
            <w:pPr>
              <w:pStyle w:val="Compact"/>
              <w:rPr>
                <w:rFonts w:ascii="Arial" w:hAnsi="Arial" w:cs="Arial"/>
                <w:sz w:val="20"/>
                <w:szCs w:val="20"/>
                <w:lang w:val="en-GB"/>
              </w:rPr>
            </w:pPr>
            <w:r w:rsidRPr="00E11FC2">
              <w:rPr>
                <w:rFonts w:ascii="Arial" w:hAnsi="Arial" w:cs="Arial"/>
                <w:i/>
                <w:sz w:val="20"/>
                <w:szCs w:val="20"/>
                <w:lang w:val="en-GB"/>
              </w:rPr>
              <w:t>Nematopalaemon schmitti</w:t>
            </w:r>
          </w:p>
        </w:tc>
        <w:tc>
          <w:tcPr>
            <w:tcW w:w="782" w:type="pct"/>
          </w:tcPr>
          <w:p w14:paraId="1B1FBFF8"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0.52</w:t>
            </w:r>
          </w:p>
        </w:tc>
        <w:tc>
          <w:tcPr>
            <w:tcW w:w="589" w:type="pct"/>
          </w:tcPr>
          <w:p w14:paraId="2C145B2C"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0.025</w:t>
            </w:r>
          </w:p>
        </w:tc>
      </w:tr>
      <w:tr w:rsidR="001E1A72" w:rsidRPr="00E11FC2" w14:paraId="7FE46D68" w14:textId="77777777" w:rsidTr="005C5190">
        <w:trPr>
          <w:trHeight w:val="307"/>
        </w:trPr>
        <w:tc>
          <w:tcPr>
            <w:tcW w:w="951" w:type="pct"/>
          </w:tcPr>
          <w:p w14:paraId="57F9E0B1"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Mud</w:t>
            </w:r>
          </w:p>
        </w:tc>
        <w:tc>
          <w:tcPr>
            <w:tcW w:w="2678" w:type="pct"/>
          </w:tcPr>
          <w:p w14:paraId="282DC670" w14:textId="77777777" w:rsidR="001E1A72" w:rsidRPr="00E11FC2" w:rsidRDefault="001E1A72" w:rsidP="005C5190">
            <w:pPr>
              <w:pStyle w:val="Compact"/>
              <w:rPr>
                <w:rFonts w:ascii="Arial" w:hAnsi="Arial" w:cs="Arial"/>
                <w:sz w:val="20"/>
                <w:szCs w:val="20"/>
                <w:lang w:val="en-GB"/>
              </w:rPr>
            </w:pPr>
            <w:r w:rsidRPr="00E11FC2">
              <w:rPr>
                <w:rFonts w:ascii="Arial" w:hAnsi="Arial" w:cs="Arial"/>
                <w:i/>
                <w:sz w:val="20"/>
                <w:szCs w:val="20"/>
                <w:lang w:val="en-GB"/>
              </w:rPr>
              <w:t>Xiphopenaeus kroyeri</w:t>
            </w:r>
          </w:p>
        </w:tc>
        <w:tc>
          <w:tcPr>
            <w:tcW w:w="782" w:type="pct"/>
          </w:tcPr>
          <w:p w14:paraId="7F226BE2"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0.76</w:t>
            </w:r>
          </w:p>
        </w:tc>
        <w:tc>
          <w:tcPr>
            <w:tcW w:w="589" w:type="pct"/>
          </w:tcPr>
          <w:p w14:paraId="6691BBF4"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0.001</w:t>
            </w:r>
          </w:p>
        </w:tc>
      </w:tr>
      <w:tr w:rsidR="001E1A72" w:rsidRPr="00E11FC2" w14:paraId="2A9B0EE2" w14:textId="77777777" w:rsidTr="005C5190">
        <w:trPr>
          <w:trHeight w:val="295"/>
        </w:trPr>
        <w:tc>
          <w:tcPr>
            <w:tcW w:w="951" w:type="pct"/>
          </w:tcPr>
          <w:p w14:paraId="794632F4"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Sand</w:t>
            </w:r>
          </w:p>
        </w:tc>
        <w:tc>
          <w:tcPr>
            <w:tcW w:w="2678" w:type="pct"/>
          </w:tcPr>
          <w:p w14:paraId="151DA45E" w14:textId="77777777" w:rsidR="001E1A72" w:rsidRPr="00E11FC2" w:rsidRDefault="001E1A72" w:rsidP="005C5190">
            <w:pPr>
              <w:pStyle w:val="Compact"/>
              <w:rPr>
                <w:rFonts w:ascii="Arial" w:hAnsi="Arial" w:cs="Arial"/>
                <w:sz w:val="20"/>
                <w:szCs w:val="20"/>
                <w:lang w:val="en-GB"/>
              </w:rPr>
            </w:pPr>
            <w:r w:rsidRPr="00E11FC2">
              <w:rPr>
                <w:rFonts w:ascii="Arial" w:hAnsi="Arial" w:cs="Arial"/>
                <w:i/>
                <w:sz w:val="20"/>
                <w:szCs w:val="20"/>
                <w:lang w:val="en-GB"/>
              </w:rPr>
              <w:t>Lupella forceps</w:t>
            </w:r>
          </w:p>
        </w:tc>
        <w:tc>
          <w:tcPr>
            <w:tcW w:w="782" w:type="pct"/>
          </w:tcPr>
          <w:p w14:paraId="2D376904"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0.41</w:t>
            </w:r>
          </w:p>
        </w:tc>
        <w:tc>
          <w:tcPr>
            <w:tcW w:w="589" w:type="pct"/>
          </w:tcPr>
          <w:p w14:paraId="41C48124"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0.004</w:t>
            </w:r>
          </w:p>
        </w:tc>
      </w:tr>
      <w:tr w:rsidR="001E1A72" w:rsidRPr="00E11FC2" w14:paraId="26ADE7D8" w14:textId="77777777" w:rsidTr="005C5190">
        <w:trPr>
          <w:trHeight w:val="295"/>
        </w:trPr>
        <w:tc>
          <w:tcPr>
            <w:tcW w:w="951" w:type="pct"/>
          </w:tcPr>
          <w:p w14:paraId="1996AE8C"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Sand</w:t>
            </w:r>
          </w:p>
        </w:tc>
        <w:tc>
          <w:tcPr>
            <w:tcW w:w="2678" w:type="pct"/>
          </w:tcPr>
          <w:p w14:paraId="44B2FE69" w14:textId="77777777" w:rsidR="001E1A72" w:rsidRPr="00E11FC2" w:rsidRDefault="001E1A72" w:rsidP="005C5190">
            <w:pPr>
              <w:pStyle w:val="Compact"/>
              <w:rPr>
                <w:rFonts w:ascii="Arial" w:hAnsi="Arial" w:cs="Arial"/>
                <w:sz w:val="20"/>
                <w:szCs w:val="20"/>
                <w:lang w:val="en-GB"/>
              </w:rPr>
            </w:pPr>
            <w:r w:rsidRPr="00E11FC2">
              <w:rPr>
                <w:rFonts w:ascii="Arial" w:hAnsi="Arial" w:cs="Arial"/>
                <w:i/>
                <w:sz w:val="20"/>
                <w:szCs w:val="20"/>
                <w:lang w:val="en-GB"/>
              </w:rPr>
              <w:t>Luidia clathrata</w:t>
            </w:r>
          </w:p>
        </w:tc>
        <w:tc>
          <w:tcPr>
            <w:tcW w:w="782" w:type="pct"/>
          </w:tcPr>
          <w:p w14:paraId="21D6DBE9"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0.45</w:t>
            </w:r>
          </w:p>
        </w:tc>
        <w:tc>
          <w:tcPr>
            <w:tcW w:w="589" w:type="pct"/>
          </w:tcPr>
          <w:p w14:paraId="4ABF4459"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0.001</w:t>
            </w:r>
          </w:p>
        </w:tc>
      </w:tr>
      <w:tr w:rsidR="001E1A72" w:rsidRPr="00E11FC2" w14:paraId="59F023EF" w14:textId="77777777" w:rsidTr="005C5190">
        <w:trPr>
          <w:trHeight w:val="295"/>
        </w:trPr>
        <w:tc>
          <w:tcPr>
            <w:tcW w:w="951" w:type="pct"/>
          </w:tcPr>
          <w:p w14:paraId="78A41751"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Sand</w:t>
            </w:r>
          </w:p>
        </w:tc>
        <w:tc>
          <w:tcPr>
            <w:tcW w:w="2678" w:type="pct"/>
          </w:tcPr>
          <w:p w14:paraId="4A1F7410" w14:textId="77777777" w:rsidR="001E1A72" w:rsidRPr="00E11FC2" w:rsidRDefault="001E1A72" w:rsidP="005C5190">
            <w:pPr>
              <w:pStyle w:val="Compact"/>
              <w:rPr>
                <w:rFonts w:ascii="Arial" w:hAnsi="Arial" w:cs="Arial"/>
                <w:sz w:val="20"/>
                <w:szCs w:val="20"/>
                <w:lang w:val="en-GB"/>
              </w:rPr>
            </w:pPr>
            <w:r w:rsidRPr="00E11FC2">
              <w:rPr>
                <w:rFonts w:ascii="Arial" w:hAnsi="Arial" w:cs="Arial"/>
                <w:i/>
                <w:sz w:val="20"/>
                <w:szCs w:val="20"/>
                <w:lang w:val="en-GB"/>
              </w:rPr>
              <w:t>Ophioderma brevispina</w:t>
            </w:r>
          </w:p>
        </w:tc>
        <w:tc>
          <w:tcPr>
            <w:tcW w:w="782" w:type="pct"/>
          </w:tcPr>
          <w:p w14:paraId="33B46A8C"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0.53</w:t>
            </w:r>
          </w:p>
        </w:tc>
        <w:tc>
          <w:tcPr>
            <w:tcW w:w="589" w:type="pct"/>
          </w:tcPr>
          <w:p w14:paraId="2B684372"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0.002</w:t>
            </w:r>
          </w:p>
        </w:tc>
      </w:tr>
      <w:tr w:rsidR="001E1A72" w:rsidRPr="00E11FC2" w14:paraId="3CE571EC" w14:textId="77777777" w:rsidTr="005C5190">
        <w:trPr>
          <w:trHeight w:val="295"/>
        </w:trPr>
        <w:tc>
          <w:tcPr>
            <w:tcW w:w="951" w:type="pct"/>
          </w:tcPr>
          <w:p w14:paraId="6C9F7884"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Sand</w:t>
            </w:r>
          </w:p>
        </w:tc>
        <w:tc>
          <w:tcPr>
            <w:tcW w:w="2678" w:type="pct"/>
          </w:tcPr>
          <w:p w14:paraId="3CDF40FC" w14:textId="77777777" w:rsidR="001E1A72" w:rsidRPr="00E11FC2" w:rsidRDefault="001E1A72" w:rsidP="005C5190">
            <w:pPr>
              <w:pStyle w:val="Compact"/>
              <w:rPr>
                <w:rFonts w:ascii="Arial" w:hAnsi="Arial" w:cs="Arial"/>
                <w:sz w:val="20"/>
                <w:szCs w:val="20"/>
                <w:lang w:val="en-GB"/>
              </w:rPr>
            </w:pPr>
            <w:r w:rsidRPr="00E11FC2">
              <w:rPr>
                <w:rFonts w:ascii="Arial" w:hAnsi="Arial" w:cs="Arial"/>
                <w:i/>
                <w:sz w:val="20"/>
                <w:szCs w:val="20"/>
                <w:lang w:val="en-GB"/>
              </w:rPr>
              <w:t>Ophiolepis elegans</w:t>
            </w:r>
          </w:p>
        </w:tc>
        <w:tc>
          <w:tcPr>
            <w:tcW w:w="782" w:type="pct"/>
          </w:tcPr>
          <w:p w14:paraId="5BCCE614"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0.59</w:t>
            </w:r>
          </w:p>
        </w:tc>
        <w:tc>
          <w:tcPr>
            <w:tcW w:w="589" w:type="pct"/>
          </w:tcPr>
          <w:p w14:paraId="5EA361A2"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0.001</w:t>
            </w:r>
          </w:p>
        </w:tc>
      </w:tr>
      <w:tr w:rsidR="001E1A72" w:rsidRPr="00E11FC2" w14:paraId="29AA3E9C" w14:textId="77777777" w:rsidTr="005C5190">
        <w:trPr>
          <w:trHeight w:val="295"/>
        </w:trPr>
        <w:tc>
          <w:tcPr>
            <w:tcW w:w="951" w:type="pct"/>
            <w:tcBorders>
              <w:bottom w:val="single" w:sz="4" w:space="0" w:color="auto"/>
            </w:tcBorders>
          </w:tcPr>
          <w:p w14:paraId="49503E0E"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Sand</w:t>
            </w:r>
          </w:p>
        </w:tc>
        <w:tc>
          <w:tcPr>
            <w:tcW w:w="2678" w:type="pct"/>
            <w:tcBorders>
              <w:bottom w:val="single" w:sz="4" w:space="0" w:color="auto"/>
            </w:tcBorders>
          </w:tcPr>
          <w:p w14:paraId="26697854" w14:textId="77777777" w:rsidR="001E1A72" w:rsidRPr="00E11FC2" w:rsidRDefault="001E1A72" w:rsidP="005C5190">
            <w:pPr>
              <w:pStyle w:val="Compact"/>
              <w:rPr>
                <w:rFonts w:ascii="Arial" w:hAnsi="Arial" w:cs="Arial"/>
                <w:sz w:val="20"/>
                <w:szCs w:val="20"/>
                <w:lang w:val="en-GB"/>
              </w:rPr>
            </w:pPr>
            <w:r w:rsidRPr="00E11FC2">
              <w:rPr>
                <w:rFonts w:ascii="Arial" w:hAnsi="Arial" w:cs="Arial"/>
                <w:i/>
                <w:sz w:val="20"/>
                <w:szCs w:val="20"/>
                <w:lang w:val="en-GB"/>
              </w:rPr>
              <w:t>Luidia senegalensis</w:t>
            </w:r>
          </w:p>
        </w:tc>
        <w:tc>
          <w:tcPr>
            <w:tcW w:w="782" w:type="pct"/>
            <w:tcBorders>
              <w:bottom w:val="single" w:sz="4" w:space="0" w:color="auto"/>
            </w:tcBorders>
          </w:tcPr>
          <w:p w14:paraId="3739EECE"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0.62</w:t>
            </w:r>
          </w:p>
        </w:tc>
        <w:tc>
          <w:tcPr>
            <w:tcW w:w="589" w:type="pct"/>
            <w:tcBorders>
              <w:bottom w:val="single" w:sz="4" w:space="0" w:color="auto"/>
            </w:tcBorders>
          </w:tcPr>
          <w:p w14:paraId="448B28D5"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0.001</w:t>
            </w:r>
          </w:p>
        </w:tc>
      </w:tr>
    </w:tbl>
    <w:p w14:paraId="0330A83D" w14:textId="77777777" w:rsidR="001E1A72" w:rsidRPr="00E11FC2" w:rsidRDefault="001E1A72" w:rsidP="001E1A72">
      <w:pPr>
        <w:pStyle w:val="BodyText"/>
        <w:rPr>
          <w:lang w:val="en-GB"/>
        </w:rPr>
      </w:pPr>
    </w:p>
    <w:p w14:paraId="7CB2DD29" w14:textId="77777777" w:rsidR="001E1A72" w:rsidRPr="00E11FC2" w:rsidRDefault="001E1A72" w:rsidP="001E1A72">
      <w:pPr>
        <w:rPr>
          <w:rFonts w:ascii="Verdana" w:hAnsi="Verdana"/>
          <w:lang w:val="en-GB"/>
        </w:rPr>
      </w:pPr>
    </w:p>
    <w:p w14:paraId="74DB6627" w14:textId="77777777" w:rsidR="001E1A72" w:rsidRPr="00E11FC2" w:rsidRDefault="001E1A72" w:rsidP="001E1A72">
      <w:pPr>
        <w:rPr>
          <w:rFonts w:ascii="Verdana" w:hAnsi="Verdana"/>
          <w:lang w:val="en-GB"/>
        </w:rPr>
      </w:pPr>
    </w:p>
    <w:p w14:paraId="1FEAEB78" w14:textId="77777777" w:rsidR="001E1A72" w:rsidRPr="00E11FC2" w:rsidRDefault="001E1A72" w:rsidP="001E1A72">
      <w:pPr>
        <w:rPr>
          <w:rFonts w:ascii="Verdana" w:hAnsi="Verdana"/>
          <w:lang w:val="en-GB"/>
        </w:rPr>
      </w:pPr>
    </w:p>
    <w:p w14:paraId="12581378" w14:textId="77777777" w:rsidR="001E1A72" w:rsidRPr="00E11FC2" w:rsidRDefault="001E1A72" w:rsidP="001E1A72">
      <w:pPr>
        <w:rPr>
          <w:rFonts w:ascii="Verdana" w:hAnsi="Verdana"/>
          <w:lang w:val="en-GB"/>
        </w:rPr>
      </w:pPr>
      <w:r w:rsidRPr="00E11FC2">
        <w:rPr>
          <w:noProof/>
        </w:rPr>
        <w:lastRenderedPageBreak/>
        <w:drawing>
          <wp:inline distT="0" distB="0" distL="0" distR="0" wp14:anchorId="7D411273" wp14:editId="29A534DF">
            <wp:extent cx="5057030" cy="6319766"/>
            <wp:effectExtent l="0" t="0" r="0" b="5080"/>
            <wp:docPr id="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Figs/unnamed-chunk-22-1.png"/>
                    <pic:cNvPicPr>
                      <a:picLocks noChangeAspect="1" noChangeArrowheads="1"/>
                    </pic:cNvPicPr>
                  </pic:nvPicPr>
                  <pic:blipFill>
                    <a:blip r:embed="rId34"/>
                    <a:stretch>
                      <a:fillRect/>
                    </a:stretch>
                  </pic:blipFill>
                  <pic:spPr bwMode="auto">
                    <a:xfrm>
                      <a:off x="0" y="0"/>
                      <a:ext cx="5086573" cy="6356686"/>
                    </a:xfrm>
                    <a:prstGeom prst="rect">
                      <a:avLst/>
                    </a:prstGeom>
                    <a:noFill/>
                    <a:ln w="9525">
                      <a:noFill/>
                      <a:headEnd/>
                      <a:tailEnd/>
                    </a:ln>
                  </pic:spPr>
                </pic:pic>
              </a:graphicData>
            </a:graphic>
          </wp:inline>
        </w:drawing>
      </w:r>
    </w:p>
    <w:p w14:paraId="57EF90E6" w14:textId="77777777" w:rsidR="001E1A72" w:rsidRPr="00E11FC2" w:rsidRDefault="001E1A72" w:rsidP="001E1A72">
      <w:pPr>
        <w:pStyle w:val="Caption"/>
      </w:pPr>
      <w:bookmarkStart w:id="29" w:name="_Ref512008950"/>
    </w:p>
    <w:p w14:paraId="1C96AB23" w14:textId="77777777" w:rsidR="001E1A72" w:rsidRPr="00E11FC2" w:rsidRDefault="001E1A72" w:rsidP="001E1A72">
      <w:pPr>
        <w:pStyle w:val="Caption"/>
        <w:rPr>
          <w:rFonts w:ascii="Arial" w:hAnsi="Arial" w:cs="Arial"/>
          <w:sz w:val="20"/>
          <w:szCs w:val="20"/>
        </w:rPr>
      </w:pPr>
      <w:r w:rsidRPr="00E11FC2">
        <w:rPr>
          <w:rFonts w:ascii="Arial" w:hAnsi="Arial" w:cs="Arial"/>
          <w:sz w:val="20"/>
          <w:szCs w:val="20"/>
        </w:rPr>
        <w:t xml:space="preserve">Figure </w:t>
      </w:r>
      <w:r w:rsidRPr="00E11FC2">
        <w:rPr>
          <w:rFonts w:ascii="Arial" w:hAnsi="Arial" w:cs="Arial"/>
          <w:sz w:val="20"/>
          <w:szCs w:val="20"/>
        </w:rPr>
        <w:fldChar w:fldCharType="begin"/>
      </w:r>
      <w:r w:rsidRPr="00E11FC2">
        <w:rPr>
          <w:rFonts w:ascii="Arial" w:hAnsi="Arial" w:cs="Arial"/>
          <w:sz w:val="20"/>
          <w:szCs w:val="20"/>
        </w:rPr>
        <w:instrText xml:space="preserve"> SEQ Figure \* ARABIC </w:instrText>
      </w:r>
      <w:r w:rsidRPr="00E11FC2">
        <w:rPr>
          <w:rFonts w:ascii="Arial" w:hAnsi="Arial" w:cs="Arial"/>
          <w:sz w:val="20"/>
          <w:szCs w:val="20"/>
        </w:rPr>
        <w:fldChar w:fldCharType="separate"/>
      </w:r>
      <w:r w:rsidRPr="00E11FC2">
        <w:rPr>
          <w:rFonts w:ascii="Arial" w:hAnsi="Arial" w:cs="Arial"/>
          <w:noProof/>
          <w:sz w:val="20"/>
          <w:szCs w:val="20"/>
        </w:rPr>
        <w:t>19</w:t>
      </w:r>
      <w:r w:rsidRPr="00E11FC2">
        <w:rPr>
          <w:rFonts w:ascii="Arial" w:hAnsi="Arial" w:cs="Arial"/>
          <w:noProof/>
          <w:sz w:val="20"/>
          <w:szCs w:val="20"/>
        </w:rPr>
        <w:fldChar w:fldCharType="end"/>
      </w:r>
      <w:bookmarkEnd w:id="29"/>
      <w:r w:rsidRPr="00E11FC2">
        <w:rPr>
          <w:rFonts w:ascii="Arial" w:hAnsi="Arial" w:cs="Arial"/>
          <w:sz w:val="20"/>
          <w:szCs w:val="20"/>
        </w:rPr>
        <w:t xml:space="preserve"> The relative density plots of biomass for the epibenthic taxa across sediment types.</w:t>
      </w:r>
    </w:p>
    <w:p w14:paraId="41E6C128" w14:textId="77777777" w:rsidR="00897ABC" w:rsidRPr="00E11FC2" w:rsidRDefault="00897ABC" w:rsidP="001E1A72">
      <w:pPr>
        <w:pStyle w:val="Heading2"/>
        <w:rPr>
          <w:lang w:val="en-GB"/>
        </w:rPr>
      </w:pPr>
      <w:bookmarkStart w:id="30" w:name="_Toc512593421"/>
    </w:p>
    <w:p w14:paraId="5B30208D" w14:textId="000D9A84" w:rsidR="001E1A72" w:rsidRPr="00E11FC2" w:rsidRDefault="000215ED" w:rsidP="000215ED">
      <w:pPr>
        <w:pStyle w:val="Heading2"/>
        <w:rPr>
          <w:lang w:val="en-GB"/>
        </w:rPr>
      </w:pPr>
      <w:bookmarkStart w:id="31" w:name="_Toc512867205"/>
      <w:r w:rsidRPr="00E11FC2">
        <w:rPr>
          <w:lang w:val="en-GB"/>
        </w:rPr>
        <w:t>5</w:t>
      </w:r>
      <w:r w:rsidR="001E1A72" w:rsidRPr="00E11FC2">
        <w:rPr>
          <w:lang w:val="en-GB"/>
        </w:rPr>
        <w:t>.3 Sensitive taxa</w:t>
      </w:r>
      <w:bookmarkEnd w:id="30"/>
      <w:bookmarkEnd w:id="31"/>
    </w:p>
    <w:p w14:paraId="605D9BF6" w14:textId="77777777" w:rsidR="001E1A72" w:rsidRPr="00E11FC2" w:rsidRDefault="001E1A72" w:rsidP="00897ABC">
      <w:pPr>
        <w:spacing w:before="120" w:line="360" w:lineRule="auto"/>
        <w:jc w:val="both"/>
        <w:rPr>
          <w:rFonts w:ascii="Verdana" w:hAnsi="Verdana"/>
          <w:sz w:val="20"/>
          <w:szCs w:val="20"/>
          <w:lang w:val="en-GB"/>
        </w:rPr>
      </w:pPr>
      <w:r w:rsidRPr="00E11FC2">
        <w:rPr>
          <w:rFonts w:ascii="Verdana" w:hAnsi="Verdana"/>
          <w:sz w:val="20"/>
          <w:szCs w:val="20"/>
          <w:lang w:val="en-GB"/>
        </w:rPr>
        <w:t>The OBIS data was used to identify any known locations on the Guyanese shelf with sensitive taxa that could indicate the presence of vulnerable habitats. The following taxa were included in the dataset:</w:t>
      </w:r>
    </w:p>
    <w:p w14:paraId="023504F0" w14:textId="77777777" w:rsidR="001E1A72" w:rsidRPr="00E11FC2" w:rsidRDefault="001E1A72" w:rsidP="00897ABC">
      <w:pPr>
        <w:pStyle w:val="ListParagraph"/>
        <w:numPr>
          <w:ilvl w:val="0"/>
          <w:numId w:val="6"/>
        </w:numPr>
        <w:spacing w:line="360" w:lineRule="auto"/>
        <w:jc w:val="both"/>
        <w:rPr>
          <w:rFonts w:ascii="Verdana" w:hAnsi="Verdana"/>
          <w:sz w:val="20"/>
          <w:szCs w:val="20"/>
          <w:lang w:val="en-GB"/>
        </w:rPr>
      </w:pPr>
      <w:r w:rsidRPr="00E11FC2">
        <w:rPr>
          <w:rFonts w:ascii="Verdana" w:hAnsi="Verdana"/>
          <w:sz w:val="20"/>
          <w:szCs w:val="20"/>
          <w:lang w:val="en-GB"/>
        </w:rPr>
        <w:t>Alcyonacea - soft corals</w:t>
      </w:r>
    </w:p>
    <w:p w14:paraId="470B1320" w14:textId="77777777" w:rsidR="001E1A72" w:rsidRPr="00E11FC2" w:rsidRDefault="001E1A72" w:rsidP="00897ABC">
      <w:pPr>
        <w:pStyle w:val="ListParagraph"/>
        <w:numPr>
          <w:ilvl w:val="0"/>
          <w:numId w:val="6"/>
        </w:numPr>
        <w:spacing w:line="360" w:lineRule="auto"/>
        <w:jc w:val="both"/>
        <w:rPr>
          <w:rFonts w:ascii="Verdana" w:hAnsi="Verdana"/>
          <w:sz w:val="20"/>
          <w:szCs w:val="20"/>
          <w:lang w:val="en-GB"/>
        </w:rPr>
      </w:pPr>
      <w:r w:rsidRPr="00E11FC2">
        <w:rPr>
          <w:rFonts w:ascii="Verdana" w:hAnsi="Verdana"/>
          <w:sz w:val="20"/>
          <w:szCs w:val="20"/>
          <w:lang w:val="en-GB"/>
        </w:rPr>
        <w:t>Scleractinia - hard corals</w:t>
      </w:r>
    </w:p>
    <w:p w14:paraId="0EE9855A" w14:textId="77777777" w:rsidR="001E1A72" w:rsidRPr="00E11FC2" w:rsidRDefault="001E1A72" w:rsidP="00897ABC">
      <w:pPr>
        <w:pStyle w:val="ListParagraph"/>
        <w:numPr>
          <w:ilvl w:val="0"/>
          <w:numId w:val="6"/>
        </w:numPr>
        <w:spacing w:line="360" w:lineRule="auto"/>
        <w:jc w:val="both"/>
        <w:rPr>
          <w:rFonts w:ascii="Verdana" w:hAnsi="Verdana"/>
          <w:sz w:val="20"/>
          <w:szCs w:val="20"/>
          <w:lang w:val="en-GB"/>
        </w:rPr>
      </w:pPr>
      <w:r w:rsidRPr="00E11FC2">
        <w:rPr>
          <w:rFonts w:ascii="Verdana" w:hAnsi="Verdana"/>
          <w:sz w:val="20"/>
          <w:szCs w:val="20"/>
          <w:lang w:val="en-GB"/>
        </w:rPr>
        <w:t>Pennatulacea - sea pens</w:t>
      </w:r>
    </w:p>
    <w:p w14:paraId="2FAD8631" w14:textId="77777777" w:rsidR="001E1A72" w:rsidRPr="00E11FC2" w:rsidRDefault="001E1A72" w:rsidP="00897ABC">
      <w:pPr>
        <w:spacing w:line="360" w:lineRule="auto"/>
        <w:jc w:val="both"/>
        <w:rPr>
          <w:rFonts w:ascii="Verdana" w:hAnsi="Verdana"/>
          <w:sz w:val="20"/>
          <w:szCs w:val="20"/>
          <w:lang w:val="en-GB"/>
        </w:rPr>
      </w:pPr>
      <w:r w:rsidRPr="00E11FC2">
        <w:rPr>
          <w:rFonts w:ascii="Verdana" w:hAnsi="Verdana"/>
          <w:sz w:val="20"/>
          <w:szCs w:val="20"/>
          <w:lang w:val="en-GB"/>
        </w:rPr>
        <w:lastRenderedPageBreak/>
        <w:t>Several species in each group have been identified at locations across the Guyanese shelf (Table 3, Figure 20).</w:t>
      </w:r>
    </w:p>
    <w:p w14:paraId="2F01DDFE" w14:textId="77777777" w:rsidR="001E1A72" w:rsidRPr="00E11FC2" w:rsidRDefault="001E1A72" w:rsidP="001E1A72">
      <w:pPr>
        <w:rPr>
          <w:rFonts w:ascii="Verdana" w:hAnsi="Verdana"/>
          <w:lang w:val="en-GB"/>
        </w:rPr>
      </w:pPr>
    </w:p>
    <w:p w14:paraId="75AE2B18" w14:textId="77777777" w:rsidR="001E1A72" w:rsidRPr="00E11FC2" w:rsidRDefault="001E1A72" w:rsidP="001E1A72">
      <w:pPr>
        <w:rPr>
          <w:rFonts w:ascii="Verdana" w:hAnsi="Verdana"/>
          <w:lang w:val="en-GB"/>
        </w:rPr>
      </w:pPr>
    </w:p>
    <w:p w14:paraId="35B81F0C" w14:textId="77777777" w:rsidR="001E1A72" w:rsidRPr="00E11FC2" w:rsidRDefault="001E1A72" w:rsidP="001E1A72">
      <w:pPr>
        <w:pStyle w:val="TableCaption"/>
        <w:ind w:left="0"/>
        <w:rPr>
          <w:rFonts w:ascii="Arial" w:hAnsi="Arial" w:cs="Arial"/>
          <w:sz w:val="20"/>
          <w:szCs w:val="20"/>
        </w:rPr>
      </w:pPr>
      <w:bookmarkStart w:id="32" w:name="_Ref512554404"/>
      <w:r w:rsidRPr="00E11FC2">
        <w:rPr>
          <w:rFonts w:ascii="Arial" w:hAnsi="Arial" w:cs="Arial"/>
          <w:sz w:val="20"/>
          <w:szCs w:val="20"/>
        </w:rPr>
        <w:t xml:space="preserve">Table </w:t>
      </w:r>
      <w:r w:rsidRPr="00E11FC2">
        <w:rPr>
          <w:rFonts w:ascii="Arial" w:hAnsi="Arial" w:cs="Arial"/>
          <w:sz w:val="20"/>
          <w:szCs w:val="20"/>
        </w:rPr>
        <w:fldChar w:fldCharType="begin"/>
      </w:r>
      <w:r w:rsidRPr="00E11FC2">
        <w:rPr>
          <w:rFonts w:ascii="Arial" w:hAnsi="Arial" w:cs="Arial"/>
          <w:sz w:val="20"/>
          <w:szCs w:val="20"/>
        </w:rPr>
        <w:instrText xml:space="preserve"> SEQ Table \* ARABIC </w:instrText>
      </w:r>
      <w:r w:rsidRPr="00E11FC2">
        <w:rPr>
          <w:rFonts w:ascii="Arial" w:hAnsi="Arial" w:cs="Arial"/>
          <w:sz w:val="20"/>
          <w:szCs w:val="20"/>
        </w:rPr>
        <w:fldChar w:fldCharType="separate"/>
      </w:r>
      <w:r w:rsidRPr="00E11FC2">
        <w:rPr>
          <w:rFonts w:ascii="Arial" w:hAnsi="Arial" w:cs="Arial"/>
          <w:noProof/>
          <w:sz w:val="20"/>
          <w:szCs w:val="20"/>
        </w:rPr>
        <w:t>3</w:t>
      </w:r>
      <w:r w:rsidRPr="00E11FC2">
        <w:rPr>
          <w:rFonts w:ascii="Arial" w:hAnsi="Arial" w:cs="Arial"/>
          <w:noProof/>
          <w:sz w:val="20"/>
          <w:szCs w:val="20"/>
        </w:rPr>
        <w:fldChar w:fldCharType="end"/>
      </w:r>
      <w:bookmarkEnd w:id="32"/>
      <w:r w:rsidRPr="00E11FC2">
        <w:rPr>
          <w:rFonts w:ascii="Arial" w:hAnsi="Arial" w:cs="Arial"/>
          <w:sz w:val="20"/>
          <w:szCs w:val="20"/>
        </w:rPr>
        <w:t xml:space="preserve"> Number of locations with observations, and the constituent genera for Alcyonacea, Pennatulacea and Scleractinia.</w:t>
      </w:r>
    </w:p>
    <w:tbl>
      <w:tblPr>
        <w:tblW w:w="5482" w:type="pct"/>
        <w:tblLayout w:type="fixed"/>
        <w:tblLook w:val="07E0" w:firstRow="1" w:lastRow="1" w:firstColumn="1" w:lastColumn="1" w:noHBand="1" w:noVBand="1"/>
        <w:tblCaption w:val="Number of locations with observations, and the constitutent genera for Alcyonacea, Pennatulacea and Scleractinia."/>
      </w:tblPr>
      <w:tblGrid>
        <w:gridCol w:w="1503"/>
        <w:gridCol w:w="1047"/>
        <w:gridCol w:w="1045"/>
        <w:gridCol w:w="1950"/>
        <w:gridCol w:w="1948"/>
        <w:gridCol w:w="2403"/>
      </w:tblGrid>
      <w:tr w:rsidR="001E1A72" w:rsidRPr="00E11FC2" w14:paraId="0D50C431" w14:textId="77777777" w:rsidTr="005C5190">
        <w:trPr>
          <w:trHeight w:val="769"/>
        </w:trPr>
        <w:tc>
          <w:tcPr>
            <w:tcW w:w="759" w:type="pct"/>
            <w:tcBorders>
              <w:top w:val="single" w:sz="4" w:space="0" w:color="auto"/>
              <w:bottom w:val="single" w:sz="2" w:space="0" w:color="auto"/>
            </w:tcBorders>
            <w:vAlign w:val="bottom"/>
          </w:tcPr>
          <w:p w14:paraId="738BD56A"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Order</w:t>
            </w:r>
          </w:p>
        </w:tc>
        <w:tc>
          <w:tcPr>
            <w:tcW w:w="529" w:type="pct"/>
            <w:tcBorders>
              <w:top w:val="single" w:sz="4" w:space="0" w:color="auto"/>
              <w:bottom w:val="single" w:sz="2" w:space="0" w:color="auto"/>
            </w:tcBorders>
            <w:vAlign w:val="bottom"/>
          </w:tcPr>
          <w:p w14:paraId="56873D57"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No. locations</w:t>
            </w:r>
          </w:p>
        </w:tc>
        <w:tc>
          <w:tcPr>
            <w:tcW w:w="528" w:type="pct"/>
            <w:tcBorders>
              <w:top w:val="single" w:sz="4" w:space="0" w:color="auto"/>
              <w:bottom w:val="single" w:sz="2" w:space="0" w:color="auto"/>
            </w:tcBorders>
            <w:vAlign w:val="bottom"/>
          </w:tcPr>
          <w:p w14:paraId="1D4919EF"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No. families</w:t>
            </w:r>
          </w:p>
        </w:tc>
        <w:tc>
          <w:tcPr>
            <w:tcW w:w="985" w:type="pct"/>
            <w:tcBorders>
              <w:top w:val="single" w:sz="4" w:space="0" w:color="auto"/>
              <w:bottom w:val="single" w:sz="2" w:space="0" w:color="auto"/>
            </w:tcBorders>
            <w:vAlign w:val="bottom"/>
          </w:tcPr>
          <w:p w14:paraId="1874ABCF"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Family</w:t>
            </w:r>
          </w:p>
        </w:tc>
        <w:tc>
          <w:tcPr>
            <w:tcW w:w="984" w:type="pct"/>
            <w:tcBorders>
              <w:top w:val="single" w:sz="4" w:space="0" w:color="auto"/>
              <w:bottom w:val="single" w:sz="2" w:space="0" w:color="auto"/>
            </w:tcBorders>
            <w:vAlign w:val="bottom"/>
          </w:tcPr>
          <w:p w14:paraId="4EEFF0B3"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Genus</w:t>
            </w:r>
          </w:p>
        </w:tc>
        <w:tc>
          <w:tcPr>
            <w:tcW w:w="1214" w:type="pct"/>
            <w:tcBorders>
              <w:top w:val="single" w:sz="4" w:space="0" w:color="auto"/>
              <w:bottom w:val="single" w:sz="2" w:space="0" w:color="auto"/>
            </w:tcBorders>
            <w:vAlign w:val="bottom"/>
          </w:tcPr>
          <w:p w14:paraId="65F1EE53"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Data collected</w:t>
            </w:r>
          </w:p>
        </w:tc>
      </w:tr>
      <w:tr w:rsidR="001E1A72" w:rsidRPr="00E11FC2" w14:paraId="7BDDFA4D" w14:textId="77777777" w:rsidTr="005C5190">
        <w:trPr>
          <w:trHeight w:val="541"/>
        </w:trPr>
        <w:tc>
          <w:tcPr>
            <w:tcW w:w="759" w:type="pct"/>
            <w:tcBorders>
              <w:top w:val="single" w:sz="2" w:space="0" w:color="auto"/>
            </w:tcBorders>
          </w:tcPr>
          <w:p w14:paraId="6E833DB3"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Alcyonacea</w:t>
            </w:r>
          </w:p>
        </w:tc>
        <w:tc>
          <w:tcPr>
            <w:tcW w:w="529" w:type="pct"/>
            <w:tcBorders>
              <w:top w:val="single" w:sz="2" w:space="0" w:color="auto"/>
            </w:tcBorders>
          </w:tcPr>
          <w:p w14:paraId="3BE2FB2E"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16</w:t>
            </w:r>
          </w:p>
        </w:tc>
        <w:tc>
          <w:tcPr>
            <w:tcW w:w="528" w:type="pct"/>
            <w:tcBorders>
              <w:top w:val="single" w:sz="2" w:space="0" w:color="auto"/>
            </w:tcBorders>
          </w:tcPr>
          <w:p w14:paraId="0DCAF6FF"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11</w:t>
            </w:r>
          </w:p>
        </w:tc>
        <w:tc>
          <w:tcPr>
            <w:tcW w:w="985" w:type="pct"/>
            <w:tcBorders>
              <w:top w:val="single" w:sz="2" w:space="0" w:color="auto"/>
            </w:tcBorders>
          </w:tcPr>
          <w:p w14:paraId="3E723B9A"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Acanthogorgiidae</w:t>
            </w:r>
          </w:p>
        </w:tc>
        <w:tc>
          <w:tcPr>
            <w:tcW w:w="984" w:type="pct"/>
            <w:tcBorders>
              <w:top w:val="single" w:sz="2" w:space="0" w:color="auto"/>
            </w:tcBorders>
          </w:tcPr>
          <w:p w14:paraId="3F6547CE"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Acanthogorgia</w:t>
            </w:r>
          </w:p>
        </w:tc>
        <w:tc>
          <w:tcPr>
            <w:tcW w:w="1214" w:type="pct"/>
            <w:tcBorders>
              <w:top w:val="single" w:sz="2" w:space="0" w:color="auto"/>
            </w:tcBorders>
          </w:tcPr>
          <w:p w14:paraId="2B8080E7"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6DAF55B4" w14:textId="77777777" w:rsidTr="005C5190">
        <w:trPr>
          <w:trHeight w:val="302"/>
        </w:trPr>
        <w:tc>
          <w:tcPr>
            <w:tcW w:w="759" w:type="pct"/>
          </w:tcPr>
          <w:p w14:paraId="0DD85AC1" w14:textId="77777777" w:rsidR="001E1A72" w:rsidRPr="00E11FC2" w:rsidRDefault="001E1A72" w:rsidP="005C5190">
            <w:pPr>
              <w:pStyle w:val="Compact"/>
              <w:rPr>
                <w:rFonts w:ascii="Arial" w:hAnsi="Arial" w:cs="Arial"/>
                <w:sz w:val="20"/>
                <w:szCs w:val="20"/>
                <w:lang w:val="en-GB"/>
              </w:rPr>
            </w:pPr>
          </w:p>
        </w:tc>
        <w:tc>
          <w:tcPr>
            <w:tcW w:w="529" w:type="pct"/>
          </w:tcPr>
          <w:p w14:paraId="401E5E7A" w14:textId="77777777" w:rsidR="001E1A72" w:rsidRPr="00E11FC2" w:rsidRDefault="001E1A72" w:rsidP="005C5190">
            <w:pPr>
              <w:pStyle w:val="Compact"/>
              <w:rPr>
                <w:rFonts w:ascii="Arial" w:hAnsi="Arial" w:cs="Arial"/>
                <w:sz w:val="20"/>
                <w:szCs w:val="20"/>
                <w:lang w:val="en-GB"/>
              </w:rPr>
            </w:pPr>
          </w:p>
        </w:tc>
        <w:tc>
          <w:tcPr>
            <w:tcW w:w="528" w:type="pct"/>
          </w:tcPr>
          <w:p w14:paraId="681B4948" w14:textId="77777777" w:rsidR="001E1A72" w:rsidRPr="00E11FC2" w:rsidRDefault="001E1A72" w:rsidP="005C5190">
            <w:pPr>
              <w:pStyle w:val="Compact"/>
              <w:rPr>
                <w:rFonts w:ascii="Arial" w:hAnsi="Arial" w:cs="Arial"/>
                <w:sz w:val="20"/>
                <w:szCs w:val="20"/>
                <w:lang w:val="en-GB"/>
              </w:rPr>
            </w:pPr>
          </w:p>
        </w:tc>
        <w:tc>
          <w:tcPr>
            <w:tcW w:w="985" w:type="pct"/>
          </w:tcPr>
          <w:p w14:paraId="79D73CA0"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Alcyoniidae</w:t>
            </w:r>
          </w:p>
        </w:tc>
        <w:tc>
          <w:tcPr>
            <w:tcW w:w="984" w:type="pct"/>
          </w:tcPr>
          <w:p w14:paraId="513DAE6D"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Anthomastus</w:t>
            </w:r>
          </w:p>
        </w:tc>
        <w:tc>
          <w:tcPr>
            <w:tcW w:w="1214" w:type="pct"/>
          </w:tcPr>
          <w:p w14:paraId="46595F71"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1FC95A50" w14:textId="77777777" w:rsidTr="005C5190">
        <w:trPr>
          <w:trHeight w:val="529"/>
        </w:trPr>
        <w:tc>
          <w:tcPr>
            <w:tcW w:w="759" w:type="pct"/>
          </w:tcPr>
          <w:p w14:paraId="7A77CA8E" w14:textId="77777777" w:rsidR="001E1A72" w:rsidRPr="00E11FC2" w:rsidRDefault="001E1A72" w:rsidP="005C5190">
            <w:pPr>
              <w:pStyle w:val="Compact"/>
              <w:rPr>
                <w:rFonts w:ascii="Arial" w:hAnsi="Arial" w:cs="Arial"/>
                <w:sz w:val="20"/>
                <w:szCs w:val="20"/>
                <w:lang w:val="en-GB"/>
              </w:rPr>
            </w:pPr>
          </w:p>
        </w:tc>
        <w:tc>
          <w:tcPr>
            <w:tcW w:w="529" w:type="pct"/>
          </w:tcPr>
          <w:p w14:paraId="60A2A6A4" w14:textId="77777777" w:rsidR="001E1A72" w:rsidRPr="00E11FC2" w:rsidRDefault="001E1A72" w:rsidP="005C5190">
            <w:pPr>
              <w:pStyle w:val="Compact"/>
              <w:rPr>
                <w:rFonts w:ascii="Arial" w:hAnsi="Arial" w:cs="Arial"/>
                <w:sz w:val="20"/>
                <w:szCs w:val="20"/>
                <w:lang w:val="en-GB"/>
              </w:rPr>
            </w:pPr>
          </w:p>
        </w:tc>
        <w:tc>
          <w:tcPr>
            <w:tcW w:w="528" w:type="pct"/>
          </w:tcPr>
          <w:p w14:paraId="5ADFC18F" w14:textId="77777777" w:rsidR="001E1A72" w:rsidRPr="00E11FC2" w:rsidRDefault="001E1A72" w:rsidP="005C5190">
            <w:pPr>
              <w:pStyle w:val="Compact"/>
              <w:rPr>
                <w:rFonts w:ascii="Arial" w:hAnsi="Arial" w:cs="Arial"/>
                <w:sz w:val="20"/>
                <w:szCs w:val="20"/>
                <w:lang w:val="en-GB"/>
              </w:rPr>
            </w:pPr>
          </w:p>
        </w:tc>
        <w:tc>
          <w:tcPr>
            <w:tcW w:w="985" w:type="pct"/>
          </w:tcPr>
          <w:p w14:paraId="55117EF0"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Chrysogorgiidae</w:t>
            </w:r>
          </w:p>
        </w:tc>
        <w:tc>
          <w:tcPr>
            <w:tcW w:w="984" w:type="pct"/>
          </w:tcPr>
          <w:p w14:paraId="1B3F9DEC"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Chrysogorgia</w:t>
            </w:r>
          </w:p>
        </w:tc>
        <w:tc>
          <w:tcPr>
            <w:tcW w:w="1214" w:type="pct"/>
          </w:tcPr>
          <w:p w14:paraId="729A2D50"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6D7676FC" w14:textId="77777777" w:rsidTr="005C5190">
        <w:trPr>
          <w:trHeight w:val="302"/>
        </w:trPr>
        <w:tc>
          <w:tcPr>
            <w:tcW w:w="759" w:type="pct"/>
          </w:tcPr>
          <w:p w14:paraId="0A9A7978" w14:textId="77777777" w:rsidR="001E1A72" w:rsidRPr="00E11FC2" w:rsidRDefault="001E1A72" w:rsidP="005C5190">
            <w:pPr>
              <w:pStyle w:val="Compact"/>
              <w:rPr>
                <w:rFonts w:ascii="Arial" w:hAnsi="Arial" w:cs="Arial"/>
                <w:sz w:val="20"/>
                <w:szCs w:val="20"/>
                <w:lang w:val="en-GB"/>
              </w:rPr>
            </w:pPr>
          </w:p>
        </w:tc>
        <w:tc>
          <w:tcPr>
            <w:tcW w:w="529" w:type="pct"/>
          </w:tcPr>
          <w:p w14:paraId="6332B23B" w14:textId="77777777" w:rsidR="001E1A72" w:rsidRPr="00E11FC2" w:rsidRDefault="001E1A72" w:rsidP="005C5190">
            <w:pPr>
              <w:pStyle w:val="Compact"/>
              <w:rPr>
                <w:rFonts w:ascii="Arial" w:hAnsi="Arial" w:cs="Arial"/>
                <w:sz w:val="20"/>
                <w:szCs w:val="20"/>
                <w:lang w:val="en-GB"/>
              </w:rPr>
            </w:pPr>
          </w:p>
        </w:tc>
        <w:tc>
          <w:tcPr>
            <w:tcW w:w="528" w:type="pct"/>
          </w:tcPr>
          <w:p w14:paraId="2AEC5FC5" w14:textId="77777777" w:rsidR="001E1A72" w:rsidRPr="00E11FC2" w:rsidRDefault="001E1A72" w:rsidP="005C5190">
            <w:pPr>
              <w:pStyle w:val="Compact"/>
              <w:rPr>
                <w:rFonts w:ascii="Arial" w:hAnsi="Arial" w:cs="Arial"/>
                <w:sz w:val="20"/>
                <w:szCs w:val="20"/>
                <w:lang w:val="en-GB"/>
              </w:rPr>
            </w:pPr>
          </w:p>
        </w:tc>
        <w:tc>
          <w:tcPr>
            <w:tcW w:w="985" w:type="pct"/>
          </w:tcPr>
          <w:p w14:paraId="4922D657"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Clavulariidae</w:t>
            </w:r>
          </w:p>
        </w:tc>
        <w:tc>
          <w:tcPr>
            <w:tcW w:w="984" w:type="pct"/>
          </w:tcPr>
          <w:p w14:paraId="5885B646"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Carijoa</w:t>
            </w:r>
          </w:p>
        </w:tc>
        <w:tc>
          <w:tcPr>
            <w:tcW w:w="1214" w:type="pct"/>
          </w:tcPr>
          <w:p w14:paraId="1CAE8023"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1958</w:t>
            </w:r>
          </w:p>
        </w:tc>
      </w:tr>
      <w:tr w:rsidR="001E1A72" w:rsidRPr="00E11FC2" w14:paraId="320992E4" w14:textId="77777777" w:rsidTr="005C5190">
        <w:trPr>
          <w:trHeight w:val="302"/>
        </w:trPr>
        <w:tc>
          <w:tcPr>
            <w:tcW w:w="759" w:type="pct"/>
          </w:tcPr>
          <w:p w14:paraId="74BF8B31" w14:textId="77777777" w:rsidR="001E1A72" w:rsidRPr="00E11FC2" w:rsidRDefault="001E1A72" w:rsidP="005C5190">
            <w:pPr>
              <w:pStyle w:val="Compact"/>
              <w:rPr>
                <w:rFonts w:ascii="Arial" w:hAnsi="Arial" w:cs="Arial"/>
                <w:sz w:val="20"/>
                <w:szCs w:val="20"/>
                <w:lang w:val="en-GB"/>
              </w:rPr>
            </w:pPr>
          </w:p>
        </w:tc>
        <w:tc>
          <w:tcPr>
            <w:tcW w:w="529" w:type="pct"/>
          </w:tcPr>
          <w:p w14:paraId="734BDB7F" w14:textId="77777777" w:rsidR="001E1A72" w:rsidRPr="00E11FC2" w:rsidRDefault="001E1A72" w:rsidP="005C5190">
            <w:pPr>
              <w:pStyle w:val="Compact"/>
              <w:rPr>
                <w:rFonts w:ascii="Arial" w:hAnsi="Arial" w:cs="Arial"/>
                <w:sz w:val="20"/>
                <w:szCs w:val="20"/>
                <w:lang w:val="en-GB"/>
              </w:rPr>
            </w:pPr>
          </w:p>
        </w:tc>
        <w:tc>
          <w:tcPr>
            <w:tcW w:w="528" w:type="pct"/>
          </w:tcPr>
          <w:p w14:paraId="40308B5A" w14:textId="77777777" w:rsidR="001E1A72" w:rsidRPr="00E11FC2" w:rsidRDefault="001E1A72" w:rsidP="005C5190">
            <w:pPr>
              <w:pStyle w:val="Compact"/>
              <w:rPr>
                <w:rFonts w:ascii="Arial" w:hAnsi="Arial" w:cs="Arial"/>
                <w:sz w:val="20"/>
                <w:szCs w:val="20"/>
                <w:lang w:val="en-GB"/>
              </w:rPr>
            </w:pPr>
          </w:p>
        </w:tc>
        <w:tc>
          <w:tcPr>
            <w:tcW w:w="985" w:type="pct"/>
          </w:tcPr>
          <w:p w14:paraId="215ECB0C" w14:textId="77777777" w:rsidR="001E1A72" w:rsidRPr="00E11FC2" w:rsidRDefault="001E1A72" w:rsidP="005C5190">
            <w:pPr>
              <w:pStyle w:val="Compact"/>
              <w:rPr>
                <w:rFonts w:ascii="Arial" w:hAnsi="Arial" w:cs="Arial"/>
                <w:sz w:val="20"/>
                <w:szCs w:val="20"/>
                <w:lang w:val="en-GB"/>
              </w:rPr>
            </w:pPr>
          </w:p>
        </w:tc>
        <w:tc>
          <w:tcPr>
            <w:tcW w:w="984" w:type="pct"/>
          </w:tcPr>
          <w:p w14:paraId="4CA04C8C"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Telesto</w:t>
            </w:r>
          </w:p>
        </w:tc>
        <w:tc>
          <w:tcPr>
            <w:tcW w:w="1214" w:type="pct"/>
          </w:tcPr>
          <w:p w14:paraId="3CA571BF"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1963, 1968</w:t>
            </w:r>
          </w:p>
        </w:tc>
      </w:tr>
      <w:tr w:rsidR="001E1A72" w:rsidRPr="00E11FC2" w14:paraId="597D3E51" w14:textId="77777777" w:rsidTr="005C5190">
        <w:trPr>
          <w:trHeight w:val="302"/>
        </w:trPr>
        <w:tc>
          <w:tcPr>
            <w:tcW w:w="759" w:type="pct"/>
          </w:tcPr>
          <w:p w14:paraId="3454FAE3" w14:textId="77777777" w:rsidR="001E1A72" w:rsidRPr="00E11FC2" w:rsidRDefault="001E1A72" w:rsidP="005C5190">
            <w:pPr>
              <w:pStyle w:val="Compact"/>
              <w:rPr>
                <w:rFonts w:ascii="Arial" w:hAnsi="Arial" w:cs="Arial"/>
                <w:sz w:val="20"/>
                <w:szCs w:val="20"/>
                <w:lang w:val="en-GB"/>
              </w:rPr>
            </w:pPr>
          </w:p>
        </w:tc>
        <w:tc>
          <w:tcPr>
            <w:tcW w:w="529" w:type="pct"/>
          </w:tcPr>
          <w:p w14:paraId="3B29A9F0" w14:textId="77777777" w:rsidR="001E1A72" w:rsidRPr="00E11FC2" w:rsidRDefault="001E1A72" w:rsidP="005C5190">
            <w:pPr>
              <w:pStyle w:val="Compact"/>
              <w:rPr>
                <w:rFonts w:ascii="Arial" w:hAnsi="Arial" w:cs="Arial"/>
                <w:sz w:val="20"/>
                <w:szCs w:val="20"/>
                <w:lang w:val="en-GB"/>
              </w:rPr>
            </w:pPr>
          </w:p>
        </w:tc>
        <w:tc>
          <w:tcPr>
            <w:tcW w:w="528" w:type="pct"/>
          </w:tcPr>
          <w:p w14:paraId="48691D00" w14:textId="77777777" w:rsidR="001E1A72" w:rsidRPr="00E11FC2" w:rsidRDefault="001E1A72" w:rsidP="005C5190">
            <w:pPr>
              <w:pStyle w:val="Compact"/>
              <w:rPr>
                <w:rFonts w:ascii="Arial" w:hAnsi="Arial" w:cs="Arial"/>
                <w:sz w:val="20"/>
                <w:szCs w:val="20"/>
                <w:lang w:val="en-GB"/>
              </w:rPr>
            </w:pPr>
          </w:p>
        </w:tc>
        <w:tc>
          <w:tcPr>
            <w:tcW w:w="985" w:type="pct"/>
          </w:tcPr>
          <w:p w14:paraId="038A676A" w14:textId="77777777" w:rsidR="001E1A72" w:rsidRPr="00E11FC2" w:rsidRDefault="001E1A72" w:rsidP="005C5190">
            <w:pPr>
              <w:pStyle w:val="Compact"/>
              <w:rPr>
                <w:rFonts w:ascii="Arial" w:hAnsi="Arial" w:cs="Arial"/>
                <w:sz w:val="20"/>
                <w:szCs w:val="20"/>
                <w:lang w:val="en-GB"/>
              </w:rPr>
            </w:pPr>
          </w:p>
        </w:tc>
        <w:tc>
          <w:tcPr>
            <w:tcW w:w="984" w:type="pct"/>
          </w:tcPr>
          <w:p w14:paraId="6FADFBE3"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Scleranthelia</w:t>
            </w:r>
          </w:p>
        </w:tc>
        <w:tc>
          <w:tcPr>
            <w:tcW w:w="1214" w:type="pct"/>
          </w:tcPr>
          <w:p w14:paraId="00A51E04"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1958, 1963, 1968</w:t>
            </w:r>
          </w:p>
        </w:tc>
      </w:tr>
      <w:tr w:rsidR="001E1A72" w:rsidRPr="00E11FC2" w14:paraId="3F5975ED" w14:textId="77777777" w:rsidTr="005C5190">
        <w:trPr>
          <w:trHeight w:val="315"/>
        </w:trPr>
        <w:tc>
          <w:tcPr>
            <w:tcW w:w="759" w:type="pct"/>
          </w:tcPr>
          <w:p w14:paraId="34CC927A" w14:textId="77777777" w:rsidR="001E1A72" w:rsidRPr="00E11FC2" w:rsidRDefault="001E1A72" w:rsidP="005C5190">
            <w:pPr>
              <w:pStyle w:val="Compact"/>
              <w:rPr>
                <w:rFonts w:ascii="Arial" w:hAnsi="Arial" w:cs="Arial"/>
                <w:sz w:val="20"/>
                <w:szCs w:val="20"/>
                <w:lang w:val="en-GB"/>
              </w:rPr>
            </w:pPr>
          </w:p>
        </w:tc>
        <w:tc>
          <w:tcPr>
            <w:tcW w:w="529" w:type="pct"/>
          </w:tcPr>
          <w:p w14:paraId="271C2A96" w14:textId="77777777" w:rsidR="001E1A72" w:rsidRPr="00E11FC2" w:rsidRDefault="001E1A72" w:rsidP="005C5190">
            <w:pPr>
              <w:pStyle w:val="Compact"/>
              <w:rPr>
                <w:rFonts w:ascii="Arial" w:hAnsi="Arial" w:cs="Arial"/>
                <w:sz w:val="20"/>
                <w:szCs w:val="20"/>
                <w:lang w:val="en-GB"/>
              </w:rPr>
            </w:pPr>
          </w:p>
        </w:tc>
        <w:tc>
          <w:tcPr>
            <w:tcW w:w="528" w:type="pct"/>
          </w:tcPr>
          <w:p w14:paraId="7E9A9547" w14:textId="77777777" w:rsidR="001E1A72" w:rsidRPr="00E11FC2" w:rsidRDefault="001E1A72" w:rsidP="005C5190">
            <w:pPr>
              <w:pStyle w:val="Compact"/>
              <w:rPr>
                <w:rFonts w:ascii="Arial" w:hAnsi="Arial" w:cs="Arial"/>
                <w:sz w:val="20"/>
                <w:szCs w:val="20"/>
                <w:lang w:val="en-GB"/>
              </w:rPr>
            </w:pPr>
          </w:p>
        </w:tc>
        <w:tc>
          <w:tcPr>
            <w:tcW w:w="985" w:type="pct"/>
          </w:tcPr>
          <w:p w14:paraId="0B5DCE5D"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Coralliidae</w:t>
            </w:r>
          </w:p>
        </w:tc>
        <w:tc>
          <w:tcPr>
            <w:tcW w:w="984" w:type="pct"/>
          </w:tcPr>
          <w:p w14:paraId="28C28C25"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Corallium</w:t>
            </w:r>
          </w:p>
        </w:tc>
        <w:tc>
          <w:tcPr>
            <w:tcW w:w="1214" w:type="pct"/>
          </w:tcPr>
          <w:p w14:paraId="4A87306C"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6C919A44" w14:textId="77777777" w:rsidTr="005C5190">
        <w:trPr>
          <w:trHeight w:val="302"/>
        </w:trPr>
        <w:tc>
          <w:tcPr>
            <w:tcW w:w="759" w:type="pct"/>
          </w:tcPr>
          <w:p w14:paraId="660DE501" w14:textId="77777777" w:rsidR="001E1A72" w:rsidRPr="00E11FC2" w:rsidRDefault="001E1A72" w:rsidP="005C5190">
            <w:pPr>
              <w:pStyle w:val="Compact"/>
              <w:rPr>
                <w:rFonts w:ascii="Arial" w:hAnsi="Arial" w:cs="Arial"/>
                <w:sz w:val="20"/>
                <w:szCs w:val="20"/>
                <w:lang w:val="en-GB"/>
              </w:rPr>
            </w:pPr>
          </w:p>
        </w:tc>
        <w:tc>
          <w:tcPr>
            <w:tcW w:w="529" w:type="pct"/>
          </w:tcPr>
          <w:p w14:paraId="3E174462" w14:textId="77777777" w:rsidR="001E1A72" w:rsidRPr="00E11FC2" w:rsidRDefault="001E1A72" w:rsidP="005C5190">
            <w:pPr>
              <w:pStyle w:val="Compact"/>
              <w:rPr>
                <w:rFonts w:ascii="Arial" w:hAnsi="Arial" w:cs="Arial"/>
                <w:sz w:val="20"/>
                <w:szCs w:val="20"/>
                <w:lang w:val="en-GB"/>
              </w:rPr>
            </w:pPr>
          </w:p>
        </w:tc>
        <w:tc>
          <w:tcPr>
            <w:tcW w:w="528" w:type="pct"/>
          </w:tcPr>
          <w:p w14:paraId="1DA74875" w14:textId="77777777" w:rsidR="001E1A72" w:rsidRPr="00E11FC2" w:rsidRDefault="001E1A72" w:rsidP="005C5190">
            <w:pPr>
              <w:pStyle w:val="Compact"/>
              <w:rPr>
                <w:rFonts w:ascii="Arial" w:hAnsi="Arial" w:cs="Arial"/>
                <w:sz w:val="20"/>
                <w:szCs w:val="20"/>
                <w:lang w:val="en-GB"/>
              </w:rPr>
            </w:pPr>
          </w:p>
        </w:tc>
        <w:tc>
          <w:tcPr>
            <w:tcW w:w="985" w:type="pct"/>
          </w:tcPr>
          <w:p w14:paraId="359376B6"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Ellisellidae</w:t>
            </w:r>
          </w:p>
        </w:tc>
        <w:tc>
          <w:tcPr>
            <w:tcW w:w="984" w:type="pct"/>
          </w:tcPr>
          <w:p w14:paraId="753E0585"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Nicella</w:t>
            </w:r>
          </w:p>
        </w:tc>
        <w:tc>
          <w:tcPr>
            <w:tcW w:w="1214" w:type="pct"/>
          </w:tcPr>
          <w:p w14:paraId="6766C49D"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2C07AC0F" w14:textId="77777777" w:rsidTr="005C5190">
        <w:trPr>
          <w:trHeight w:val="302"/>
        </w:trPr>
        <w:tc>
          <w:tcPr>
            <w:tcW w:w="759" w:type="pct"/>
          </w:tcPr>
          <w:p w14:paraId="28D81DBD" w14:textId="77777777" w:rsidR="001E1A72" w:rsidRPr="00E11FC2" w:rsidRDefault="001E1A72" w:rsidP="005C5190">
            <w:pPr>
              <w:pStyle w:val="Compact"/>
              <w:rPr>
                <w:rFonts w:ascii="Arial" w:hAnsi="Arial" w:cs="Arial"/>
                <w:sz w:val="20"/>
                <w:szCs w:val="20"/>
                <w:lang w:val="en-GB"/>
              </w:rPr>
            </w:pPr>
          </w:p>
        </w:tc>
        <w:tc>
          <w:tcPr>
            <w:tcW w:w="529" w:type="pct"/>
          </w:tcPr>
          <w:p w14:paraId="05F99908" w14:textId="77777777" w:rsidR="001E1A72" w:rsidRPr="00E11FC2" w:rsidRDefault="001E1A72" w:rsidP="005C5190">
            <w:pPr>
              <w:pStyle w:val="Compact"/>
              <w:rPr>
                <w:rFonts w:ascii="Arial" w:hAnsi="Arial" w:cs="Arial"/>
                <w:sz w:val="20"/>
                <w:szCs w:val="20"/>
                <w:lang w:val="en-GB"/>
              </w:rPr>
            </w:pPr>
          </w:p>
        </w:tc>
        <w:tc>
          <w:tcPr>
            <w:tcW w:w="528" w:type="pct"/>
          </w:tcPr>
          <w:p w14:paraId="53707251" w14:textId="77777777" w:rsidR="001E1A72" w:rsidRPr="00E11FC2" w:rsidRDefault="001E1A72" w:rsidP="005C5190">
            <w:pPr>
              <w:pStyle w:val="Compact"/>
              <w:rPr>
                <w:rFonts w:ascii="Arial" w:hAnsi="Arial" w:cs="Arial"/>
                <w:sz w:val="20"/>
                <w:szCs w:val="20"/>
                <w:lang w:val="en-GB"/>
              </w:rPr>
            </w:pPr>
          </w:p>
        </w:tc>
        <w:tc>
          <w:tcPr>
            <w:tcW w:w="985" w:type="pct"/>
          </w:tcPr>
          <w:p w14:paraId="1BDE5FED" w14:textId="77777777" w:rsidR="001E1A72" w:rsidRPr="00E11FC2" w:rsidRDefault="001E1A72" w:rsidP="005C5190">
            <w:pPr>
              <w:pStyle w:val="Compact"/>
              <w:rPr>
                <w:rFonts w:ascii="Arial" w:hAnsi="Arial" w:cs="Arial"/>
                <w:sz w:val="20"/>
                <w:szCs w:val="20"/>
                <w:lang w:val="en-GB"/>
              </w:rPr>
            </w:pPr>
          </w:p>
        </w:tc>
        <w:tc>
          <w:tcPr>
            <w:tcW w:w="984" w:type="pct"/>
          </w:tcPr>
          <w:p w14:paraId="3D12BA0D"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Ellisella</w:t>
            </w:r>
          </w:p>
        </w:tc>
        <w:tc>
          <w:tcPr>
            <w:tcW w:w="1214" w:type="pct"/>
          </w:tcPr>
          <w:p w14:paraId="12784BFC"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51991F20" w14:textId="77777777" w:rsidTr="005C5190">
        <w:trPr>
          <w:trHeight w:val="302"/>
        </w:trPr>
        <w:tc>
          <w:tcPr>
            <w:tcW w:w="759" w:type="pct"/>
          </w:tcPr>
          <w:p w14:paraId="3D60870D" w14:textId="77777777" w:rsidR="001E1A72" w:rsidRPr="00E11FC2" w:rsidRDefault="001E1A72" w:rsidP="005C5190">
            <w:pPr>
              <w:pStyle w:val="Compact"/>
              <w:rPr>
                <w:rFonts w:ascii="Arial" w:hAnsi="Arial" w:cs="Arial"/>
                <w:sz w:val="20"/>
                <w:szCs w:val="20"/>
                <w:lang w:val="en-GB"/>
              </w:rPr>
            </w:pPr>
          </w:p>
        </w:tc>
        <w:tc>
          <w:tcPr>
            <w:tcW w:w="529" w:type="pct"/>
          </w:tcPr>
          <w:p w14:paraId="3B29E221" w14:textId="77777777" w:rsidR="001E1A72" w:rsidRPr="00E11FC2" w:rsidRDefault="001E1A72" w:rsidP="005C5190">
            <w:pPr>
              <w:pStyle w:val="Compact"/>
              <w:rPr>
                <w:rFonts w:ascii="Arial" w:hAnsi="Arial" w:cs="Arial"/>
                <w:sz w:val="20"/>
                <w:szCs w:val="20"/>
                <w:lang w:val="en-GB"/>
              </w:rPr>
            </w:pPr>
          </w:p>
        </w:tc>
        <w:tc>
          <w:tcPr>
            <w:tcW w:w="528" w:type="pct"/>
          </w:tcPr>
          <w:p w14:paraId="50D4CEC0" w14:textId="77777777" w:rsidR="001E1A72" w:rsidRPr="00E11FC2" w:rsidRDefault="001E1A72" w:rsidP="005C5190">
            <w:pPr>
              <w:pStyle w:val="Compact"/>
              <w:rPr>
                <w:rFonts w:ascii="Arial" w:hAnsi="Arial" w:cs="Arial"/>
                <w:sz w:val="20"/>
                <w:szCs w:val="20"/>
                <w:lang w:val="en-GB"/>
              </w:rPr>
            </w:pPr>
          </w:p>
        </w:tc>
        <w:tc>
          <w:tcPr>
            <w:tcW w:w="985" w:type="pct"/>
          </w:tcPr>
          <w:p w14:paraId="0F0C6F86" w14:textId="77777777" w:rsidR="001E1A72" w:rsidRPr="00E11FC2" w:rsidRDefault="001E1A72" w:rsidP="005C5190">
            <w:pPr>
              <w:pStyle w:val="Compact"/>
              <w:rPr>
                <w:rFonts w:ascii="Arial" w:hAnsi="Arial" w:cs="Arial"/>
                <w:sz w:val="20"/>
                <w:szCs w:val="20"/>
                <w:lang w:val="en-GB"/>
              </w:rPr>
            </w:pPr>
          </w:p>
        </w:tc>
        <w:tc>
          <w:tcPr>
            <w:tcW w:w="984" w:type="pct"/>
          </w:tcPr>
          <w:p w14:paraId="6B1F1E00"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Ctenocella</w:t>
            </w:r>
          </w:p>
        </w:tc>
        <w:tc>
          <w:tcPr>
            <w:tcW w:w="1214" w:type="pct"/>
          </w:tcPr>
          <w:p w14:paraId="23CEDA4A"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3E6788A4" w14:textId="77777777" w:rsidTr="005C5190">
        <w:trPr>
          <w:trHeight w:val="302"/>
        </w:trPr>
        <w:tc>
          <w:tcPr>
            <w:tcW w:w="759" w:type="pct"/>
          </w:tcPr>
          <w:p w14:paraId="7A4BEB15" w14:textId="77777777" w:rsidR="001E1A72" w:rsidRPr="00E11FC2" w:rsidRDefault="001E1A72" w:rsidP="005C5190">
            <w:pPr>
              <w:pStyle w:val="Compact"/>
              <w:rPr>
                <w:rFonts w:ascii="Arial" w:hAnsi="Arial" w:cs="Arial"/>
                <w:sz w:val="20"/>
                <w:szCs w:val="20"/>
                <w:lang w:val="en-GB"/>
              </w:rPr>
            </w:pPr>
          </w:p>
        </w:tc>
        <w:tc>
          <w:tcPr>
            <w:tcW w:w="529" w:type="pct"/>
          </w:tcPr>
          <w:p w14:paraId="4D868A60" w14:textId="77777777" w:rsidR="001E1A72" w:rsidRPr="00E11FC2" w:rsidRDefault="001E1A72" w:rsidP="005C5190">
            <w:pPr>
              <w:pStyle w:val="Compact"/>
              <w:rPr>
                <w:rFonts w:ascii="Arial" w:hAnsi="Arial" w:cs="Arial"/>
                <w:sz w:val="20"/>
                <w:szCs w:val="20"/>
                <w:lang w:val="en-GB"/>
              </w:rPr>
            </w:pPr>
          </w:p>
        </w:tc>
        <w:tc>
          <w:tcPr>
            <w:tcW w:w="528" w:type="pct"/>
          </w:tcPr>
          <w:p w14:paraId="3D77678E" w14:textId="77777777" w:rsidR="001E1A72" w:rsidRPr="00E11FC2" w:rsidRDefault="001E1A72" w:rsidP="005C5190">
            <w:pPr>
              <w:pStyle w:val="Compact"/>
              <w:rPr>
                <w:rFonts w:ascii="Arial" w:hAnsi="Arial" w:cs="Arial"/>
                <w:sz w:val="20"/>
                <w:szCs w:val="20"/>
                <w:lang w:val="en-GB"/>
              </w:rPr>
            </w:pPr>
          </w:p>
        </w:tc>
        <w:tc>
          <w:tcPr>
            <w:tcW w:w="985" w:type="pct"/>
          </w:tcPr>
          <w:p w14:paraId="28CC94E5"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Gorgoniidae</w:t>
            </w:r>
          </w:p>
        </w:tc>
        <w:tc>
          <w:tcPr>
            <w:tcW w:w="984" w:type="pct"/>
          </w:tcPr>
          <w:p w14:paraId="4B78D4A8"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Leptogorgia</w:t>
            </w:r>
          </w:p>
        </w:tc>
        <w:tc>
          <w:tcPr>
            <w:tcW w:w="1214" w:type="pct"/>
          </w:tcPr>
          <w:p w14:paraId="75830519"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1958, 1968</w:t>
            </w:r>
          </w:p>
        </w:tc>
      </w:tr>
      <w:tr w:rsidR="001E1A72" w:rsidRPr="00E11FC2" w14:paraId="47DE1EA3" w14:textId="77777777" w:rsidTr="005C5190">
        <w:trPr>
          <w:trHeight w:val="302"/>
        </w:trPr>
        <w:tc>
          <w:tcPr>
            <w:tcW w:w="759" w:type="pct"/>
          </w:tcPr>
          <w:p w14:paraId="24F1DF76" w14:textId="77777777" w:rsidR="001E1A72" w:rsidRPr="00E11FC2" w:rsidRDefault="001E1A72" w:rsidP="005C5190">
            <w:pPr>
              <w:pStyle w:val="Compact"/>
              <w:rPr>
                <w:rFonts w:ascii="Arial" w:hAnsi="Arial" w:cs="Arial"/>
                <w:sz w:val="20"/>
                <w:szCs w:val="20"/>
                <w:lang w:val="en-GB"/>
              </w:rPr>
            </w:pPr>
          </w:p>
        </w:tc>
        <w:tc>
          <w:tcPr>
            <w:tcW w:w="529" w:type="pct"/>
          </w:tcPr>
          <w:p w14:paraId="6E166A36" w14:textId="77777777" w:rsidR="001E1A72" w:rsidRPr="00E11FC2" w:rsidRDefault="001E1A72" w:rsidP="005C5190">
            <w:pPr>
              <w:pStyle w:val="Compact"/>
              <w:rPr>
                <w:rFonts w:ascii="Arial" w:hAnsi="Arial" w:cs="Arial"/>
                <w:sz w:val="20"/>
                <w:szCs w:val="20"/>
                <w:lang w:val="en-GB"/>
              </w:rPr>
            </w:pPr>
          </w:p>
        </w:tc>
        <w:tc>
          <w:tcPr>
            <w:tcW w:w="528" w:type="pct"/>
          </w:tcPr>
          <w:p w14:paraId="6CF58A3B" w14:textId="77777777" w:rsidR="001E1A72" w:rsidRPr="00E11FC2" w:rsidRDefault="001E1A72" w:rsidP="005C5190">
            <w:pPr>
              <w:pStyle w:val="Compact"/>
              <w:rPr>
                <w:rFonts w:ascii="Arial" w:hAnsi="Arial" w:cs="Arial"/>
                <w:sz w:val="20"/>
                <w:szCs w:val="20"/>
                <w:lang w:val="en-GB"/>
              </w:rPr>
            </w:pPr>
          </w:p>
        </w:tc>
        <w:tc>
          <w:tcPr>
            <w:tcW w:w="985" w:type="pct"/>
          </w:tcPr>
          <w:p w14:paraId="22C4F9F0"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Isididae</w:t>
            </w:r>
          </w:p>
        </w:tc>
        <w:tc>
          <w:tcPr>
            <w:tcW w:w="984" w:type="pct"/>
          </w:tcPr>
          <w:p w14:paraId="79B53371"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Acanella</w:t>
            </w:r>
          </w:p>
        </w:tc>
        <w:tc>
          <w:tcPr>
            <w:tcW w:w="1214" w:type="pct"/>
          </w:tcPr>
          <w:p w14:paraId="37836C4A"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1B3A5BEE" w14:textId="77777777" w:rsidTr="005C5190">
        <w:trPr>
          <w:trHeight w:val="302"/>
        </w:trPr>
        <w:tc>
          <w:tcPr>
            <w:tcW w:w="759" w:type="pct"/>
          </w:tcPr>
          <w:p w14:paraId="2F4A1F32" w14:textId="77777777" w:rsidR="001E1A72" w:rsidRPr="00E11FC2" w:rsidRDefault="001E1A72" w:rsidP="005C5190">
            <w:pPr>
              <w:pStyle w:val="Compact"/>
              <w:rPr>
                <w:rFonts w:ascii="Arial" w:hAnsi="Arial" w:cs="Arial"/>
                <w:sz w:val="20"/>
                <w:szCs w:val="20"/>
                <w:lang w:val="en-GB"/>
              </w:rPr>
            </w:pPr>
          </w:p>
        </w:tc>
        <w:tc>
          <w:tcPr>
            <w:tcW w:w="529" w:type="pct"/>
          </w:tcPr>
          <w:p w14:paraId="499B7BAF" w14:textId="77777777" w:rsidR="001E1A72" w:rsidRPr="00E11FC2" w:rsidRDefault="001E1A72" w:rsidP="005C5190">
            <w:pPr>
              <w:pStyle w:val="Compact"/>
              <w:rPr>
                <w:rFonts w:ascii="Arial" w:hAnsi="Arial" w:cs="Arial"/>
                <w:sz w:val="20"/>
                <w:szCs w:val="20"/>
                <w:lang w:val="en-GB"/>
              </w:rPr>
            </w:pPr>
          </w:p>
        </w:tc>
        <w:tc>
          <w:tcPr>
            <w:tcW w:w="528" w:type="pct"/>
          </w:tcPr>
          <w:p w14:paraId="6CE4BD17" w14:textId="77777777" w:rsidR="001E1A72" w:rsidRPr="00E11FC2" w:rsidRDefault="001E1A72" w:rsidP="005C5190">
            <w:pPr>
              <w:pStyle w:val="Compact"/>
              <w:rPr>
                <w:rFonts w:ascii="Arial" w:hAnsi="Arial" w:cs="Arial"/>
                <w:sz w:val="20"/>
                <w:szCs w:val="20"/>
                <w:lang w:val="en-GB"/>
              </w:rPr>
            </w:pPr>
          </w:p>
        </w:tc>
        <w:tc>
          <w:tcPr>
            <w:tcW w:w="985" w:type="pct"/>
          </w:tcPr>
          <w:p w14:paraId="1E37175D" w14:textId="77777777" w:rsidR="001E1A72" w:rsidRPr="00E11FC2" w:rsidRDefault="001E1A72" w:rsidP="005C5190">
            <w:pPr>
              <w:pStyle w:val="Compact"/>
              <w:rPr>
                <w:rFonts w:ascii="Arial" w:hAnsi="Arial" w:cs="Arial"/>
                <w:sz w:val="20"/>
                <w:szCs w:val="20"/>
                <w:lang w:val="en-GB"/>
              </w:rPr>
            </w:pPr>
          </w:p>
        </w:tc>
        <w:tc>
          <w:tcPr>
            <w:tcW w:w="984" w:type="pct"/>
          </w:tcPr>
          <w:p w14:paraId="428815F0"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Keratoisis</w:t>
            </w:r>
          </w:p>
        </w:tc>
        <w:tc>
          <w:tcPr>
            <w:tcW w:w="1214" w:type="pct"/>
          </w:tcPr>
          <w:p w14:paraId="79BE7924"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0E903D8F" w14:textId="77777777" w:rsidTr="005C5190">
        <w:trPr>
          <w:trHeight w:val="302"/>
        </w:trPr>
        <w:tc>
          <w:tcPr>
            <w:tcW w:w="759" w:type="pct"/>
          </w:tcPr>
          <w:p w14:paraId="28E58B0F" w14:textId="77777777" w:rsidR="001E1A72" w:rsidRPr="00E11FC2" w:rsidRDefault="001E1A72" w:rsidP="005C5190">
            <w:pPr>
              <w:pStyle w:val="Compact"/>
              <w:rPr>
                <w:rFonts w:ascii="Arial" w:hAnsi="Arial" w:cs="Arial"/>
                <w:sz w:val="20"/>
                <w:szCs w:val="20"/>
                <w:lang w:val="en-GB"/>
              </w:rPr>
            </w:pPr>
          </w:p>
        </w:tc>
        <w:tc>
          <w:tcPr>
            <w:tcW w:w="529" w:type="pct"/>
          </w:tcPr>
          <w:p w14:paraId="091490E0" w14:textId="77777777" w:rsidR="001E1A72" w:rsidRPr="00E11FC2" w:rsidRDefault="001E1A72" w:rsidP="005C5190">
            <w:pPr>
              <w:pStyle w:val="Compact"/>
              <w:rPr>
                <w:rFonts w:ascii="Arial" w:hAnsi="Arial" w:cs="Arial"/>
                <w:sz w:val="20"/>
                <w:szCs w:val="20"/>
                <w:lang w:val="en-GB"/>
              </w:rPr>
            </w:pPr>
          </w:p>
        </w:tc>
        <w:tc>
          <w:tcPr>
            <w:tcW w:w="528" w:type="pct"/>
          </w:tcPr>
          <w:p w14:paraId="75068D5B" w14:textId="77777777" w:rsidR="001E1A72" w:rsidRPr="00E11FC2" w:rsidRDefault="001E1A72" w:rsidP="005C5190">
            <w:pPr>
              <w:pStyle w:val="Compact"/>
              <w:rPr>
                <w:rFonts w:ascii="Arial" w:hAnsi="Arial" w:cs="Arial"/>
                <w:sz w:val="20"/>
                <w:szCs w:val="20"/>
                <w:lang w:val="en-GB"/>
              </w:rPr>
            </w:pPr>
          </w:p>
        </w:tc>
        <w:tc>
          <w:tcPr>
            <w:tcW w:w="985" w:type="pct"/>
          </w:tcPr>
          <w:p w14:paraId="1769CDCD"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Plexauridae</w:t>
            </w:r>
          </w:p>
        </w:tc>
        <w:tc>
          <w:tcPr>
            <w:tcW w:w="984" w:type="pct"/>
          </w:tcPr>
          <w:p w14:paraId="5109011F"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Paramuricea</w:t>
            </w:r>
          </w:p>
        </w:tc>
        <w:tc>
          <w:tcPr>
            <w:tcW w:w="1214" w:type="pct"/>
          </w:tcPr>
          <w:p w14:paraId="617CDF52"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1968, 1969</w:t>
            </w:r>
          </w:p>
        </w:tc>
      </w:tr>
      <w:tr w:rsidR="001E1A72" w:rsidRPr="00E11FC2" w14:paraId="60845A7D" w14:textId="77777777" w:rsidTr="005C5190">
        <w:trPr>
          <w:trHeight w:val="315"/>
        </w:trPr>
        <w:tc>
          <w:tcPr>
            <w:tcW w:w="759" w:type="pct"/>
          </w:tcPr>
          <w:p w14:paraId="4E965896" w14:textId="77777777" w:rsidR="001E1A72" w:rsidRPr="00E11FC2" w:rsidRDefault="001E1A72" w:rsidP="005C5190">
            <w:pPr>
              <w:pStyle w:val="Compact"/>
              <w:rPr>
                <w:rFonts w:ascii="Arial" w:hAnsi="Arial" w:cs="Arial"/>
                <w:sz w:val="20"/>
                <w:szCs w:val="20"/>
                <w:lang w:val="en-GB"/>
              </w:rPr>
            </w:pPr>
          </w:p>
        </w:tc>
        <w:tc>
          <w:tcPr>
            <w:tcW w:w="529" w:type="pct"/>
          </w:tcPr>
          <w:p w14:paraId="78D150D3" w14:textId="77777777" w:rsidR="001E1A72" w:rsidRPr="00E11FC2" w:rsidRDefault="001E1A72" w:rsidP="005C5190">
            <w:pPr>
              <w:pStyle w:val="Compact"/>
              <w:rPr>
                <w:rFonts w:ascii="Arial" w:hAnsi="Arial" w:cs="Arial"/>
                <w:sz w:val="20"/>
                <w:szCs w:val="20"/>
                <w:lang w:val="en-GB"/>
              </w:rPr>
            </w:pPr>
          </w:p>
        </w:tc>
        <w:tc>
          <w:tcPr>
            <w:tcW w:w="528" w:type="pct"/>
          </w:tcPr>
          <w:p w14:paraId="1116A2CB" w14:textId="77777777" w:rsidR="001E1A72" w:rsidRPr="00E11FC2" w:rsidRDefault="001E1A72" w:rsidP="005C5190">
            <w:pPr>
              <w:pStyle w:val="Compact"/>
              <w:rPr>
                <w:rFonts w:ascii="Arial" w:hAnsi="Arial" w:cs="Arial"/>
                <w:sz w:val="20"/>
                <w:szCs w:val="20"/>
                <w:lang w:val="en-GB"/>
              </w:rPr>
            </w:pPr>
          </w:p>
        </w:tc>
        <w:tc>
          <w:tcPr>
            <w:tcW w:w="985" w:type="pct"/>
          </w:tcPr>
          <w:p w14:paraId="2C700E34" w14:textId="77777777" w:rsidR="001E1A72" w:rsidRPr="00E11FC2" w:rsidRDefault="001E1A72" w:rsidP="005C5190">
            <w:pPr>
              <w:pStyle w:val="Compact"/>
              <w:rPr>
                <w:rFonts w:ascii="Arial" w:hAnsi="Arial" w:cs="Arial"/>
                <w:sz w:val="20"/>
                <w:szCs w:val="20"/>
                <w:lang w:val="en-GB"/>
              </w:rPr>
            </w:pPr>
          </w:p>
        </w:tc>
        <w:tc>
          <w:tcPr>
            <w:tcW w:w="984" w:type="pct"/>
          </w:tcPr>
          <w:p w14:paraId="61DDAD2A"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Muricea</w:t>
            </w:r>
          </w:p>
        </w:tc>
        <w:tc>
          <w:tcPr>
            <w:tcW w:w="1214" w:type="pct"/>
          </w:tcPr>
          <w:p w14:paraId="10492104"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7C95703B" w14:textId="77777777" w:rsidTr="005C5190">
        <w:trPr>
          <w:trHeight w:val="302"/>
        </w:trPr>
        <w:tc>
          <w:tcPr>
            <w:tcW w:w="759" w:type="pct"/>
          </w:tcPr>
          <w:p w14:paraId="5090448D" w14:textId="77777777" w:rsidR="001E1A72" w:rsidRPr="00E11FC2" w:rsidRDefault="001E1A72" w:rsidP="005C5190">
            <w:pPr>
              <w:pStyle w:val="Compact"/>
              <w:rPr>
                <w:rFonts w:ascii="Arial" w:hAnsi="Arial" w:cs="Arial"/>
                <w:sz w:val="20"/>
                <w:szCs w:val="20"/>
                <w:lang w:val="en-GB"/>
              </w:rPr>
            </w:pPr>
          </w:p>
        </w:tc>
        <w:tc>
          <w:tcPr>
            <w:tcW w:w="529" w:type="pct"/>
          </w:tcPr>
          <w:p w14:paraId="49A2B894" w14:textId="77777777" w:rsidR="001E1A72" w:rsidRPr="00E11FC2" w:rsidRDefault="001E1A72" w:rsidP="005C5190">
            <w:pPr>
              <w:pStyle w:val="Compact"/>
              <w:rPr>
                <w:rFonts w:ascii="Arial" w:hAnsi="Arial" w:cs="Arial"/>
                <w:sz w:val="20"/>
                <w:szCs w:val="20"/>
                <w:lang w:val="en-GB"/>
              </w:rPr>
            </w:pPr>
          </w:p>
        </w:tc>
        <w:tc>
          <w:tcPr>
            <w:tcW w:w="528" w:type="pct"/>
          </w:tcPr>
          <w:p w14:paraId="028FDA10" w14:textId="77777777" w:rsidR="001E1A72" w:rsidRPr="00E11FC2" w:rsidRDefault="001E1A72" w:rsidP="005C5190">
            <w:pPr>
              <w:pStyle w:val="Compact"/>
              <w:rPr>
                <w:rFonts w:ascii="Arial" w:hAnsi="Arial" w:cs="Arial"/>
                <w:sz w:val="20"/>
                <w:szCs w:val="20"/>
                <w:lang w:val="en-GB"/>
              </w:rPr>
            </w:pPr>
          </w:p>
        </w:tc>
        <w:tc>
          <w:tcPr>
            <w:tcW w:w="985" w:type="pct"/>
          </w:tcPr>
          <w:p w14:paraId="63AD588C" w14:textId="77777777" w:rsidR="001E1A72" w:rsidRPr="00E11FC2" w:rsidRDefault="001E1A72" w:rsidP="005C5190">
            <w:pPr>
              <w:pStyle w:val="Compact"/>
              <w:rPr>
                <w:rFonts w:ascii="Arial" w:hAnsi="Arial" w:cs="Arial"/>
                <w:sz w:val="20"/>
                <w:szCs w:val="20"/>
                <w:lang w:val="en-GB"/>
              </w:rPr>
            </w:pPr>
          </w:p>
        </w:tc>
        <w:tc>
          <w:tcPr>
            <w:tcW w:w="984" w:type="pct"/>
          </w:tcPr>
          <w:p w14:paraId="0C2AF0AB"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Villogorgia</w:t>
            </w:r>
          </w:p>
        </w:tc>
        <w:tc>
          <w:tcPr>
            <w:tcW w:w="1214" w:type="pct"/>
          </w:tcPr>
          <w:p w14:paraId="665F99A0"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716CCB30" w14:textId="77777777" w:rsidTr="005C5190">
        <w:trPr>
          <w:trHeight w:val="302"/>
        </w:trPr>
        <w:tc>
          <w:tcPr>
            <w:tcW w:w="759" w:type="pct"/>
          </w:tcPr>
          <w:p w14:paraId="0BFF70DC" w14:textId="77777777" w:rsidR="001E1A72" w:rsidRPr="00E11FC2" w:rsidRDefault="001E1A72" w:rsidP="005C5190">
            <w:pPr>
              <w:pStyle w:val="Compact"/>
              <w:rPr>
                <w:rFonts w:ascii="Arial" w:hAnsi="Arial" w:cs="Arial"/>
                <w:sz w:val="20"/>
                <w:szCs w:val="20"/>
                <w:lang w:val="en-GB"/>
              </w:rPr>
            </w:pPr>
          </w:p>
        </w:tc>
        <w:tc>
          <w:tcPr>
            <w:tcW w:w="529" w:type="pct"/>
          </w:tcPr>
          <w:p w14:paraId="61997146" w14:textId="77777777" w:rsidR="001E1A72" w:rsidRPr="00E11FC2" w:rsidRDefault="001E1A72" w:rsidP="005C5190">
            <w:pPr>
              <w:pStyle w:val="Compact"/>
              <w:rPr>
                <w:rFonts w:ascii="Arial" w:hAnsi="Arial" w:cs="Arial"/>
                <w:sz w:val="20"/>
                <w:szCs w:val="20"/>
                <w:lang w:val="en-GB"/>
              </w:rPr>
            </w:pPr>
          </w:p>
        </w:tc>
        <w:tc>
          <w:tcPr>
            <w:tcW w:w="528" w:type="pct"/>
          </w:tcPr>
          <w:p w14:paraId="569B83F6" w14:textId="77777777" w:rsidR="001E1A72" w:rsidRPr="00E11FC2" w:rsidRDefault="001E1A72" w:rsidP="005C5190">
            <w:pPr>
              <w:pStyle w:val="Compact"/>
              <w:rPr>
                <w:rFonts w:ascii="Arial" w:hAnsi="Arial" w:cs="Arial"/>
                <w:sz w:val="20"/>
                <w:szCs w:val="20"/>
                <w:lang w:val="en-GB"/>
              </w:rPr>
            </w:pPr>
          </w:p>
        </w:tc>
        <w:tc>
          <w:tcPr>
            <w:tcW w:w="985" w:type="pct"/>
          </w:tcPr>
          <w:p w14:paraId="27226609" w14:textId="77777777" w:rsidR="001E1A72" w:rsidRPr="00E11FC2" w:rsidRDefault="001E1A72" w:rsidP="005C5190">
            <w:pPr>
              <w:pStyle w:val="Compact"/>
              <w:rPr>
                <w:rFonts w:ascii="Arial" w:hAnsi="Arial" w:cs="Arial"/>
                <w:sz w:val="20"/>
                <w:szCs w:val="20"/>
                <w:lang w:val="en-GB"/>
              </w:rPr>
            </w:pPr>
          </w:p>
        </w:tc>
        <w:tc>
          <w:tcPr>
            <w:tcW w:w="984" w:type="pct"/>
          </w:tcPr>
          <w:p w14:paraId="6DB12FCC"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Swiftia</w:t>
            </w:r>
          </w:p>
        </w:tc>
        <w:tc>
          <w:tcPr>
            <w:tcW w:w="1214" w:type="pct"/>
          </w:tcPr>
          <w:p w14:paraId="41839EB8"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60AF47A2" w14:textId="77777777" w:rsidTr="005C5190">
        <w:trPr>
          <w:trHeight w:val="302"/>
        </w:trPr>
        <w:tc>
          <w:tcPr>
            <w:tcW w:w="759" w:type="pct"/>
          </w:tcPr>
          <w:p w14:paraId="75BBE22D" w14:textId="77777777" w:rsidR="001E1A72" w:rsidRPr="00E11FC2" w:rsidRDefault="001E1A72" w:rsidP="005C5190">
            <w:pPr>
              <w:pStyle w:val="Compact"/>
              <w:rPr>
                <w:rFonts w:ascii="Arial" w:hAnsi="Arial" w:cs="Arial"/>
                <w:sz w:val="20"/>
                <w:szCs w:val="20"/>
                <w:lang w:val="en-GB"/>
              </w:rPr>
            </w:pPr>
          </w:p>
        </w:tc>
        <w:tc>
          <w:tcPr>
            <w:tcW w:w="529" w:type="pct"/>
          </w:tcPr>
          <w:p w14:paraId="43E0CE5C" w14:textId="77777777" w:rsidR="001E1A72" w:rsidRPr="00E11FC2" w:rsidRDefault="001E1A72" w:rsidP="005C5190">
            <w:pPr>
              <w:pStyle w:val="Compact"/>
              <w:rPr>
                <w:rFonts w:ascii="Arial" w:hAnsi="Arial" w:cs="Arial"/>
                <w:sz w:val="20"/>
                <w:szCs w:val="20"/>
                <w:lang w:val="en-GB"/>
              </w:rPr>
            </w:pPr>
          </w:p>
        </w:tc>
        <w:tc>
          <w:tcPr>
            <w:tcW w:w="528" w:type="pct"/>
          </w:tcPr>
          <w:p w14:paraId="22597C8F" w14:textId="77777777" w:rsidR="001E1A72" w:rsidRPr="00E11FC2" w:rsidRDefault="001E1A72" w:rsidP="005C5190">
            <w:pPr>
              <w:pStyle w:val="Compact"/>
              <w:rPr>
                <w:rFonts w:ascii="Arial" w:hAnsi="Arial" w:cs="Arial"/>
                <w:sz w:val="20"/>
                <w:szCs w:val="20"/>
                <w:lang w:val="en-GB"/>
              </w:rPr>
            </w:pPr>
          </w:p>
        </w:tc>
        <w:tc>
          <w:tcPr>
            <w:tcW w:w="985" w:type="pct"/>
          </w:tcPr>
          <w:p w14:paraId="5E0C4B52" w14:textId="77777777" w:rsidR="001E1A72" w:rsidRPr="00E11FC2" w:rsidRDefault="001E1A72" w:rsidP="005C5190">
            <w:pPr>
              <w:pStyle w:val="Compact"/>
              <w:rPr>
                <w:rFonts w:ascii="Arial" w:hAnsi="Arial" w:cs="Arial"/>
                <w:sz w:val="20"/>
                <w:szCs w:val="20"/>
                <w:lang w:val="en-GB"/>
              </w:rPr>
            </w:pPr>
          </w:p>
        </w:tc>
        <w:tc>
          <w:tcPr>
            <w:tcW w:w="984" w:type="pct"/>
          </w:tcPr>
          <w:p w14:paraId="18B26CAC"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Bebryce</w:t>
            </w:r>
          </w:p>
        </w:tc>
        <w:tc>
          <w:tcPr>
            <w:tcW w:w="1214" w:type="pct"/>
          </w:tcPr>
          <w:p w14:paraId="0FFFBAD5"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7B85DCBB" w14:textId="77777777" w:rsidTr="005C5190">
        <w:trPr>
          <w:trHeight w:val="302"/>
        </w:trPr>
        <w:tc>
          <w:tcPr>
            <w:tcW w:w="759" w:type="pct"/>
          </w:tcPr>
          <w:p w14:paraId="3F5BEBEA" w14:textId="77777777" w:rsidR="001E1A72" w:rsidRPr="00E11FC2" w:rsidRDefault="001E1A72" w:rsidP="005C5190">
            <w:pPr>
              <w:pStyle w:val="Compact"/>
              <w:rPr>
                <w:rFonts w:ascii="Arial" w:hAnsi="Arial" w:cs="Arial"/>
                <w:sz w:val="20"/>
                <w:szCs w:val="20"/>
                <w:lang w:val="en-GB"/>
              </w:rPr>
            </w:pPr>
          </w:p>
        </w:tc>
        <w:tc>
          <w:tcPr>
            <w:tcW w:w="529" w:type="pct"/>
          </w:tcPr>
          <w:p w14:paraId="44765696" w14:textId="77777777" w:rsidR="001E1A72" w:rsidRPr="00E11FC2" w:rsidRDefault="001E1A72" w:rsidP="005C5190">
            <w:pPr>
              <w:pStyle w:val="Compact"/>
              <w:rPr>
                <w:rFonts w:ascii="Arial" w:hAnsi="Arial" w:cs="Arial"/>
                <w:sz w:val="20"/>
                <w:szCs w:val="20"/>
                <w:lang w:val="en-GB"/>
              </w:rPr>
            </w:pPr>
          </w:p>
        </w:tc>
        <w:tc>
          <w:tcPr>
            <w:tcW w:w="528" w:type="pct"/>
          </w:tcPr>
          <w:p w14:paraId="0AE48586" w14:textId="77777777" w:rsidR="001E1A72" w:rsidRPr="00E11FC2" w:rsidRDefault="001E1A72" w:rsidP="005C5190">
            <w:pPr>
              <w:pStyle w:val="Compact"/>
              <w:rPr>
                <w:rFonts w:ascii="Arial" w:hAnsi="Arial" w:cs="Arial"/>
                <w:sz w:val="20"/>
                <w:szCs w:val="20"/>
                <w:lang w:val="en-GB"/>
              </w:rPr>
            </w:pPr>
          </w:p>
        </w:tc>
        <w:tc>
          <w:tcPr>
            <w:tcW w:w="985" w:type="pct"/>
          </w:tcPr>
          <w:p w14:paraId="7BE30EAA" w14:textId="77777777" w:rsidR="001E1A72" w:rsidRPr="00E11FC2" w:rsidRDefault="001E1A72" w:rsidP="005C5190">
            <w:pPr>
              <w:pStyle w:val="Compact"/>
              <w:rPr>
                <w:rFonts w:ascii="Arial" w:hAnsi="Arial" w:cs="Arial"/>
                <w:sz w:val="20"/>
                <w:szCs w:val="20"/>
                <w:lang w:val="en-GB"/>
              </w:rPr>
            </w:pPr>
          </w:p>
        </w:tc>
        <w:tc>
          <w:tcPr>
            <w:tcW w:w="984" w:type="pct"/>
          </w:tcPr>
          <w:p w14:paraId="50B6774F"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Scleracis</w:t>
            </w:r>
          </w:p>
        </w:tc>
        <w:tc>
          <w:tcPr>
            <w:tcW w:w="1214" w:type="pct"/>
          </w:tcPr>
          <w:p w14:paraId="030BECBE"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46F75925" w14:textId="77777777" w:rsidTr="005C5190">
        <w:trPr>
          <w:trHeight w:val="302"/>
        </w:trPr>
        <w:tc>
          <w:tcPr>
            <w:tcW w:w="759" w:type="pct"/>
          </w:tcPr>
          <w:p w14:paraId="5971FC7A" w14:textId="77777777" w:rsidR="001E1A72" w:rsidRPr="00E11FC2" w:rsidRDefault="001E1A72" w:rsidP="005C5190">
            <w:pPr>
              <w:pStyle w:val="Compact"/>
              <w:rPr>
                <w:rFonts w:ascii="Arial" w:hAnsi="Arial" w:cs="Arial"/>
                <w:sz w:val="20"/>
                <w:szCs w:val="20"/>
                <w:lang w:val="en-GB"/>
              </w:rPr>
            </w:pPr>
          </w:p>
        </w:tc>
        <w:tc>
          <w:tcPr>
            <w:tcW w:w="529" w:type="pct"/>
          </w:tcPr>
          <w:p w14:paraId="04EFBF8C" w14:textId="77777777" w:rsidR="001E1A72" w:rsidRPr="00E11FC2" w:rsidRDefault="001E1A72" w:rsidP="005C5190">
            <w:pPr>
              <w:pStyle w:val="Compact"/>
              <w:rPr>
                <w:rFonts w:ascii="Arial" w:hAnsi="Arial" w:cs="Arial"/>
                <w:sz w:val="20"/>
                <w:szCs w:val="20"/>
                <w:lang w:val="en-GB"/>
              </w:rPr>
            </w:pPr>
          </w:p>
        </w:tc>
        <w:tc>
          <w:tcPr>
            <w:tcW w:w="528" w:type="pct"/>
          </w:tcPr>
          <w:p w14:paraId="7C940E8F" w14:textId="77777777" w:rsidR="001E1A72" w:rsidRPr="00E11FC2" w:rsidRDefault="001E1A72" w:rsidP="005C5190">
            <w:pPr>
              <w:pStyle w:val="Compact"/>
              <w:rPr>
                <w:rFonts w:ascii="Arial" w:hAnsi="Arial" w:cs="Arial"/>
                <w:sz w:val="20"/>
                <w:szCs w:val="20"/>
                <w:lang w:val="en-GB"/>
              </w:rPr>
            </w:pPr>
          </w:p>
        </w:tc>
        <w:tc>
          <w:tcPr>
            <w:tcW w:w="985" w:type="pct"/>
          </w:tcPr>
          <w:p w14:paraId="56FF86B3"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Primnoidae</w:t>
            </w:r>
          </w:p>
        </w:tc>
        <w:tc>
          <w:tcPr>
            <w:tcW w:w="984" w:type="pct"/>
          </w:tcPr>
          <w:p w14:paraId="23DF5985"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Thouarella</w:t>
            </w:r>
          </w:p>
        </w:tc>
        <w:tc>
          <w:tcPr>
            <w:tcW w:w="1214" w:type="pct"/>
          </w:tcPr>
          <w:p w14:paraId="4A7A0AA6"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46B72297" w14:textId="77777777" w:rsidTr="005C5190">
        <w:trPr>
          <w:trHeight w:val="541"/>
        </w:trPr>
        <w:tc>
          <w:tcPr>
            <w:tcW w:w="759" w:type="pct"/>
            <w:tcBorders>
              <w:bottom w:val="single" w:sz="4" w:space="0" w:color="auto"/>
            </w:tcBorders>
          </w:tcPr>
          <w:p w14:paraId="1A23CE4A" w14:textId="77777777" w:rsidR="001E1A72" w:rsidRPr="00E11FC2" w:rsidRDefault="001E1A72" w:rsidP="005C5190">
            <w:pPr>
              <w:pStyle w:val="Compact"/>
              <w:rPr>
                <w:rFonts w:ascii="Arial" w:hAnsi="Arial" w:cs="Arial"/>
                <w:sz w:val="20"/>
                <w:szCs w:val="20"/>
                <w:lang w:val="en-GB"/>
              </w:rPr>
            </w:pPr>
          </w:p>
        </w:tc>
        <w:tc>
          <w:tcPr>
            <w:tcW w:w="529" w:type="pct"/>
            <w:tcBorders>
              <w:bottom w:val="single" w:sz="4" w:space="0" w:color="auto"/>
            </w:tcBorders>
          </w:tcPr>
          <w:p w14:paraId="6AADAB4C" w14:textId="77777777" w:rsidR="001E1A72" w:rsidRPr="00E11FC2" w:rsidRDefault="001E1A72" w:rsidP="005C5190">
            <w:pPr>
              <w:pStyle w:val="Compact"/>
              <w:rPr>
                <w:rFonts w:ascii="Arial" w:hAnsi="Arial" w:cs="Arial"/>
                <w:sz w:val="20"/>
                <w:szCs w:val="20"/>
                <w:lang w:val="en-GB"/>
              </w:rPr>
            </w:pPr>
          </w:p>
        </w:tc>
        <w:tc>
          <w:tcPr>
            <w:tcW w:w="528" w:type="pct"/>
            <w:tcBorders>
              <w:bottom w:val="single" w:sz="4" w:space="0" w:color="auto"/>
            </w:tcBorders>
          </w:tcPr>
          <w:p w14:paraId="23916837" w14:textId="77777777" w:rsidR="001E1A72" w:rsidRPr="00E11FC2" w:rsidRDefault="001E1A72" w:rsidP="005C5190">
            <w:pPr>
              <w:pStyle w:val="Compact"/>
              <w:rPr>
                <w:rFonts w:ascii="Arial" w:hAnsi="Arial" w:cs="Arial"/>
                <w:sz w:val="20"/>
                <w:szCs w:val="20"/>
                <w:lang w:val="en-GB"/>
              </w:rPr>
            </w:pPr>
          </w:p>
        </w:tc>
        <w:tc>
          <w:tcPr>
            <w:tcW w:w="985" w:type="pct"/>
            <w:tcBorders>
              <w:bottom w:val="single" w:sz="4" w:space="0" w:color="auto"/>
            </w:tcBorders>
          </w:tcPr>
          <w:p w14:paraId="1C57C526"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Spongiodermidae</w:t>
            </w:r>
          </w:p>
        </w:tc>
        <w:tc>
          <w:tcPr>
            <w:tcW w:w="984" w:type="pct"/>
            <w:tcBorders>
              <w:bottom w:val="single" w:sz="4" w:space="0" w:color="auto"/>
            </w:tcBorders>
          </w:tcPr>
          <w:p w14:paraId="6E32FB00"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Diodogorgia</w:t>
            </w:r>
          </w:p>
        </w:tc>
        <w:tc>
          <w:tcPr>
            <w:tcW w:w="1214" w:type="pct"/>
            <w:tcBorders>
              <w:bottom w:val="single" w:sz="4" w:space="0" w:color="auto"/>
            </w:tcBorders>
          </w:tcPr>
          <w:p w14:paraId="34D411AE"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371E0C06" w14:textId="77777777" w:rsidTr="005C5190">
        <w:trPr>
          <w:trHeight w:val="529"/>
        </w:trPr>
        <w:tc>
          <w:tcPr>
            <w:tcW w:w="759" w:type="pct"/>
            <w:tcBorders>
              <w:top w:val="single" w:sz="4" w:space="0" w:color="auto"/>
            </w:tcBorders>
          </w:tcPr>
          <w:p w14:paraId="7AB6E7A6"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Pennatulacea</w:t>
            </w:r>
          </w:p>
        </w:tc>
        <w:tc>
          <w:tcPr>
            <w:tcW w:w="529" w:type="pct"/>
            <w:tcBorders>
              <w:top w:val="single" w:sz="4" w:space="0" w:color="auto"/>
            </w:tcBorders>
          </w:tcPr>
          <w:p w14:paraId="55E1C19E"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5</w:t>
            </w:r>
          </w:p>
        </w:tc>
        <w:tc>
          <w:tcPr>
            <w:tcW w:w="528" w:type="pct"/>
            <w:tcBorders>
              <w:top w:val="single" w:sz="4" w:space="0" w:color="auto"/>
            </w:tcBorders>
          </w:tcPr>
          <w:p w14:paraId="50CD9D0B"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4</w:t>
            </w:r>
          </w:p>
        </w:tc>
        <w:tc>
          <w:tcPr>
            <w:tcW w:w="985" w:type="pct"/>
            <w:tcBorders>
              <w:top w:val="single" w:sz="4" w:space="0" w:color="auto"/>
            </w:tcBorders>
          </w:tcPr>
          <w:p w14:paraId="7B0E963E"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Kophobelemnidae</w:t>
            </w:r>
          </w:p>
        </w:tc>
        <w:tc>
          <w:tcPr>
            <w:tcW w:w="984" w:type="pct"/>
            <w:tcBorders>
              <w:top w:val="single" w:sz="4" w:space="0" w:color="auto"/>
            </w:tcBorders>
          </w:tcPr>
          <w:p w14:paraId="79A6D443"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Sclerobelemnon</w:t>
            </w:r>
          </w:p>
        </w:tc>
        <w:tc>
          <w:tcPr>
            <w:tcW w:w="1214" w:type="pct"/>
            <w:tcBorders>
              <w:top w:val="single" w:sz="4" w:space="0" w:color="auto"/>
            </w:tcBorders>
          </w:tcPr>
          <w:p w14:paraId="102A0567"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26E05B6F" w14:textId="77777777" w:rsidTr="005C5190">
        <w:trPr>
          <w:trHeight w:val="302"/>
        </w:trPr>
        <w:tc>
          <w:tcPr>
            <w:tcW w:w="759" w:type="pct"/>
          </w:tcPr>
          <w:p w14:paraId="16C00039" w14:textId="77777777" w:rsidR="001E1A72" w:rsidRPr="00E11FC2" w:rsidRDefault="001E1A72" w:rsidP="005C5190">
            <w:pPr>
              <w:pStyle w:val="Compact"/>
              <w:rPr>
                <w:rFonts w:ascii="Arial" w:hAnsi="Arial" w:cs="Arial"/>
                <w:sz w:val="20"/>
                <w:szCs w:val="20"/>
                <w:lang w:val="en-GB"/>
              </w:rPr>
            </w:pPr>
          </w:p>
        </w:tc>
        <w:tc>
          <w:tcPr>
            <w:tcW w:w="529" w:type="pct"/>
          </w:tcPr>
          <w:p w14:paraId="5ED54D77" w14:textId="77777777" w:rsidR="001E1A72" w:rsidRPr="00E11FC2" w:rsidRDefault="001E1A72" w:rsidP="005C5190">
            <w:pPr>
              <w:pStyle w:val="Compact"/>
              <w:rPr>
                <w:rFonts w:ascii="Arial" w:hAnsi="Arial" w:cs="Arial"/>
                <w:sz w:val="20"/>
                <w:szCs w:val="20"/>
                <w:lang w:val="en-GB"/>
              </w:rPr>
            </w:pPr>
          </w:p>
        </w:tc>
        <w:tc>
          <w:tcPr>
            <w:tcW w:w="528" w:type="pct"/>
          </w:tcPr>
          <w:p w14:paraId="3809C85D" w14:textId="77777777" w:rsidR="001E1A72" w:rsidRPr="00E11FC2" w:rsidRDefault="001E1A72" w:rsidP="005C5190">
            <w:pPr>
              <w:pStyle w:val="Compact"/>
              <w:rPr>
                <w:rFonts w:ascii="Arial" w:hAnsi="Arial" w:cs="Arial"/>
                <w:sz w:val="20"/>
                <w:szCs w:val="20"/>
                <w:lang w:val="en-GB"/>
              </w:rPr>
            </w:pPr>
          </w:p>
        </w:tc>
        <w:tc>
          <w:tcPr>
            <w:tcW w:w="985" w:type="pct"/>
          </w:tcPr>
          <w:p w14:paraId="6A587478"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Renillidae</w:t>
            </w:r>
          </w:p>
        </w:tc>
        <w:tc>
          <w:tcPr>
            <w:tcW w:w="984" w:type="pct"/>
          </w:tcPr>
          <w:p w14:paraId="5E7913E2"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Renilla</w:t>
            </w:r>
          </w:p>
        </w:tc>
        <w:tc>
          <w:tcPr>
            <w:tcW w:w="1214" w:type="pct"/>
          </w:tcPr>
          <w:p w14:paraId="65FC9B58"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1958, 1968, 1969</w:t>
            </w:r>
          </w:p>
        </w:tc>
      </w:tr>
      <w:tr w:rsidR="001E1A72" w:rsidRPr="00E11FC2" w14:paraId="1766DBA5" w14:textId="77777777" w:rsidTr="005C5190">
        <w:trPr>
          <w:trHeight w:val="302"/>
        </w:trPr>
        <w:tc>
          <w:tcPr>
            <w:tcW w:w="759" w:type="pct"/>
          </w:tcPr>
          <w:p w14:paraId="08206A59" w14:textId="77777777" w:rsidR="001E1A72" w:rsidRPr="00E11FC2" w:rsidRDefault="001E1A72" w:rsidP="005C5190">
            <w:pPr>
              <w:pStyle w:val="Compact"/>
              <w:rPr>
                <w:rFonts w:ascii="Arial" w:hAnsi="Arial" w:cs="Arial"/>
                <w:sz w:val="20"/>
                <w:szCs w:val="20"/>
                <w:lang w:val="en-GB"/>
              </w:rPr>
            </w:pPr>
          </w:p>
        </w:tc>
        <w:tc>
          <w:tcPr>
            <w:tcW w:w="529" w:type="pct"/>
          </w:tcPr>
          <w:p w14:paraId="5E9C9493" w14:textId="77777777" w:rsidR="001E1A72" w:rsidRPr="00E11FC2" w:rsidRDefault="001E1A72" w:rsidP="005C5190">
            <w:pPr>
              <w:pStyle w:val="Compact"/>
              <w:rPr>
                <w:rFonts w:ascii="Arial" w:hAnsi="Arial" w:cs="Arial"/>
                <w:sz w:val="20"/>
                <w:szCs w:val="20"/>
                <w:lang w:val="en-GB"/>
              </w:rPr>
            </w:pPr>
          </w:p>
        </w:tc>
        <w:tc>
          <w:tcPr>
            <w:tcW w:w="528" w:type="pct"/>
          </w:tcPr>
          <w:p w14:paraId="37FCA6BE" w14:textId="77777777" w:rsidR="001E1A72" w:rsidRPr="00E11FC2" w:rsidRDefault="001E1A72" w:rsidP="005C5190">
            <w:pPr>
              <w:pStyle w:val="Compact"/>
              <w:rPr>
                <w:rFonts w:ascii="Arial" w:hAnsi="Arial" w:cs="Arial"/>
                <w:sz w:val="20"/>
                <w:szCs w:val="20"/>
                <w:lang w:val="en-GB"/>
              </w:rPr>
            </w:pPr>
          </w:p>
        </w:tc>
        <w:tc>
          <w:tcPr>
            <w:tcW w:w="985" w:type="pct"/>
          </w:tcPr>
          <w:p w14:paraId="72958A9B"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Umbellulidae</w:t>
            </w:r>
          </w:p>
        </w:tc>
        <w:tc>
          <w:tcPr>
            <w:tcW w:w="984" w:type="pct"/>
          </w:tcPr>
          <w:p w14:paraId="6DF3565D"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Umbellula</w:t>
            </w:r>
          </w:p>
        </w:tc>
        <w:tc>
          <w:tcPr>
            <w:tcW w:w="1214" w:type="pct"/>
          </w:tcPr>
          <w:p w14:paraId="2B4529F1"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4AC65C74" w14:textId="77777777" w:rsidTr="005C5190">
        <w:trPr>
          <w:trHeight w:val="302"/>
        </w:trPr>
        <w:tc>
          <w:tcPr>
            <w:tcW w:w="759" w:type="pct"/>
            <w:tcBorders>
              <w:bottom w:val="single" w:sz="4" w:space="0" w:color="auto"/>
            </w:tcBorders>
          </w:tcPr>
          <w:p w14:paraId="6004FB4B" w14:textId="77777777" w:rsidR="001E1A72" w:rsidRPr="00E11FC2" w:rsidRDefault="001E1A72" w:rsidP="005C5190">
            <w:pPr>
              <w:pStyle w:val="Compact"/>
              <w:rPr>
                <w:rFonts w:ascii="Arial" w:hAnsi="Arial" w:cs="Arial"/>
                <w:sz w:val="20"/>
                <w:szCs w:val="20"/>
                <w:lang w:val="en-GB"/>
              </w:rPr>
            </w:pPr>
          </w:p>
        </w:tc>
        <w:tc>
          <w:tcPr>
            <w:tcW w:w="529" w:type="pct"/>
            <w:tcBorders>
              <w:bottom w:val="single" w:sz="4" w:space="0" w:color="auto"/>
            </w:tcBorders>
          </w:tcPr>
          <w:p w14:paraId="3A29487C" w14:textId="77777777" w:rsidR="001E1A72" w:rsidRPr="00E11FC2" w:rsidRDefault="001E1A72" w:rsidP="005C5190">
            <w:pPr>
              <w:pStyle w:val="Compact"/>
              <w:rPr>
                <w:rFonts w:ascii="Arial" w:hAnsi="Arial" w:cs="Arial"/>
                <w:sz w:val="20"/>
                <w:szCs w:val="20"/>
                <w:lang w:val="en-GB"/>
              </w:rPr>
            </w:pPr>
          </w:p>
        </w:tc>
        <w:tc>
          <w:tcPr>
            <w:tcW w:w="528" w:type="pct"/>
            <w:tcBorders>
              <w:bottom w:val="single" w:sz="4" w:space="0" w:color="auto"/>
            </w:tcBorders>
          </w:tcPr>
          <w:p w14:paraId="5CCE8786" w14:textId="77777777" w:rsidR="001E1A72" w:rsidRPr="00E11FC2" w:rsidRDefault="001E1A72" w:rsidP="005C5190">
            <w:pPr>
              <w:pStyle w:val="Compact"/>
              <w:rPr>
                <w:rFonts w:ascii="Arial" w:hAnsi="Arial" w:cs="Arial"/>
                <w:sz w:val="20"/>
                <w:szCs w:val="20"/>
                <w:lang w:val="en-GB"/>
              </w:rPr>
            </w:pPr>
          </w:p>
        </w:tc>
        <w:tc>
          <w:tcPr>
            <w:tcW w:w="985" w:type="pct"/>
            <w:tcBorders>
              <w:bottom w:val="single" w:sz="4" w:space="0" w:color="auto"/>
            </w:tcBorders>
          </w:tcPr>
          <w:p w14:paraId="7A320EA5"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Virgulariidae</w:t>
            </w:r>
          </w:p>
        </w:tc>
        <w:tc>
          <w:tcPr>
            <w:tcW w:w="984" w:type="pct"/>
            <w:tcBorders>
              <w:bottom w:val="single" w:sz="4" w:space="0" w:color="auto"/>
            </w:tcBorders>
          </w:tcPr>
          <w:p w14:paraId="6D68D084"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Virgularia</w:t>
            </w:r>
          </w:p>
        </w:tc>
        <w:tc>
          <w:tcPr>
            <w:tcW w:w="1214" w:type="pct"/>
            <w:tcBorders>
              <w:bottom w:val="single" w:sz="4" w:space="0" w:color="auto"/>
            </w:tcBorders>
          </w:tcPr>
          <w:p w14:paraId="69144C77"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0CDA0416" w14:textId="77777777" w:rsidTr="005C5190">
        <w:trPr>
          <w:trHeight w:val="541"/>
        </w:trPr>
        <w:tc>
          <w:tcPr>
            <w:tcW w:w="759" w:type="pct"/>
            <w:tcBorders>
              <w:top w:val="single" w:sz="4" w:space="0" w:color="auto"/>
            </w:tcBorders>
          </w:tcPr>
          <w:p w14:paraId="36D5A535"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Scleractinia</w:t>
            </w:r>
          </w:p>
        </w:tc>
        <w:tc>
          <w:tcPr>
            <w:tcW w:w="529" w:type="pct"/>
            <w:tcBorders>
              <w:top w:val="single" w:sz="4" w:space="0" w:color="auto"/>
            </w:tcBorders>
          </w:tcPr>
          <w:p w14:paraId="3D2FBEA4"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20</w:t>
            </w:r>
          </w:p>
        </w:tc>
        <w:tc>
          <w:tcPr>
            <w:tcW w:w="528" w:type="pct"/>
            <w:tcBorders>
              <w:top w:val="single" w:sz="4" w:space="0" w:color="auto"/>
            </w:tcBorders>
          </w:tcPr>
          <w:p w14:paraId="6BB171FE"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10</w:t>
            </w:r>
          </w:p>
        </w:tc>
        <w:tc>
          <w:tcPr>
            <w:tcW w:w="985" w:type="pct"/>
            <w:tcBorders>
              <w:top w:val="single" w:sz="4" w:space="0" w:color="auto"/>
            </w:tcBorders>
          </w:tcPr>
          <w:p w14:paraId="116F0401"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Agariciidae</w:t>
            </w:r>
          </w:p>
        </w:tc>
        <w:tc>
          <w:tcPr>
            <w:tcW w:w="984" w:type="pct"/>
            <w:tcBorders>
              <w:top w:val="single" w:sz="4" w:space="0" w:color="auto"/>
            </w:tcBorders>
          </w:tcPr>
          <w:p w14:paraId="6AF94F09"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Helioseris</w:t>
            </w:r>
          </w:p>
        </w:tc>
        <w:tc>
          <w:tcPr>
            <w:tcW w:w="1214" w:type="pct"/>
            <w:tcBorders>
              <w:top w:val="single" w:sz="4" w:space="0" w:color="auto"/>
            </w:tcBorders>
          </w:tcPr>
          <w:p w14:paraId="795A00B4"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1963</w:t>
            </w:r>
          </w:p>
        </w:tc>
      </w:tr>
      <w:tr w:rsidR="001E1A72" w:rsidRPr="00E11FC2" w14:paraId="577EE043" w14:textId="77777777" w:rsidTr="005C5190">
        <w:trPr>
          <w:trHeight w:val="302"/>
        </w:trPr>
        <w:tc>
          <w:tcPr>
            <w:tcW w:w="759" w:type="pct"/>
          </w:tcPr>
          <w:p w14:paraId="22DB7BDD" w14:textId="77777777" w:rsidR="001E1A72" w:rsidRPr="00E11FC2" w:rsidRDefault="001E1A72" w:rsidP="005C5190">
            <w:pPr>
              <w:pStyle w:val="Compact"/>
              <w:rPr>
                <w:rFonts w:ascii="Arial" w:hAnsi="Arial" w:cs="Arial"/>
                <w:sz w:val="20"/>
                <w:szCs w:val="20"/>
                <w:lang w:val="en-GB"/>
              </w:rPr>
            </w:pPr>
          </w:p>
        </w:tc>
        <w:tc>
          <w:tcPr>
            <w:tcW w:w="529" w:type="pct"/>
          </w:tcPr>
          <w:p w14:paraId="592B85C8" w14:textId="77777777" w:rsidR="001E1A72" w:rsidRPr="00E11FC2" w:rsidRDefault="001E1A72" w:rsidP="005C5190">
            <w:pPr>
              <w:pStyle w:val="Compact"/>
              <w:rPr>
                <w:rFonts w:ascii="Arial" w:hAnsi="Arial" w:cs="Arial"/>
                <w:sz w:val="20"/>
                <w:szCs w:val="20"/>
                <w:lang w:val="en-GB"/>
              </w:rPr>
            </w:pPr>
          </w:p>
        </w:tc>
        <w:tc>
          <w:tcPr>
            <w:tcW w:w="528" w:type="pct"/>
          </w:tcPr>
          <w:p w14:paraId="75B821D8" w14:textId="77777777" w:rsidR="001E1A72" w:rsidRPr="00E11FC2" w:rsidRDefault="001E1A72" w:rsidP="005C5190">
            <w:pPr>
              <w:pStyle w:val="Compact"/>
              <w:rPr>
                <w:rFonts w:ascii="Arial" w:hAnsi="Arial" w:cs="Arial"/>
                <w:sz w:val="20"/>
                <w:szCs w:val="20"/>
                <w:lang w:val="en-GB"/>
              </w:rPr>
            </w:pPr>
          </w:p>
        </w:tc>
        <w:tc>
          <w:tcPr>
            <w:tcW w:w="985" w:type="pct"/>
          </w:tcPr>
          <w:p w14:paraId="33F753A8" w14:textId="77777777" w:rsidR="001E1A72" w:rsidRPr="00E11FC2" w:rsidRDefault="001E1A72" w:rsidP="005C5190">
            <w:pPr>
              <w:pStyle w:val="Compact"/>
              <w:rPr>
                <w:rFonts w:ascii="Arial" w:hAnsi="Arial" w:cs="Arial"/>
                <w:sz w:val="20"/>
                <w:szCs w:val="20"/>
                <w:lang w:val="en-GB"/>
              </w:rPr>
            </w:pPr>
          </w:p>
        </w:tc>
        <w:tc>
          <w:tcPr>
            <w:tcW w:w="984" w:type="pct"/>
          </w:tcPr>
          <w:p w14:paraId="325114FF"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Agaricia</w:t>
            </w:r>
          </w:p>
        </w:tc>
        <w:tc>
          <w:tcPr>
            <w:tcW w:w="1214" w:type="pct"/>
          </w:tcPr>
          <w:p w14:paraId="6B9F409E"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1963</w:t>
            </w:r>
          </w:p>
        </w:tc>
      </w:tr>
      <w:tr w:rsidR="001E1A72" w:rsidRPr="00E11FC2" w14:paraId="73DD94C0" w14:textId="77777777" w:rsidTr="005C5190">
        <w:trPr>
          <w:trHeight w:val="302"/>
        </w:trPr>
        <w:tc>
          <w:tcPr>
            <w:tcW w:w="759" w:type="pct"/>
          </w:tcPr>
          <w:p w14:paraId="396E55B6" w14:textId="77777777" w:rsidR="001E1A72" w:rsidRPr="00E11FC2" w:rsidRDefault="001E1A72" w:rsidP="005C5190">
            <w:pPr>
              <w:pStyle w:val="Compact"/>
              <w:rPr>
                <w:rFonts w:ascii="Arial" w:hAnsi="Arial" w:cs="Arial"/>
                <w:sz w:val="20"/>
                <w:szCs w:val="20"/>
                <w:lang w:val="en-GB"/>
              </w:rPr>
            </w:pPr>
          </w:p>
        </w:tc>
        <w:tc>
          <w:tcPr>
            <w:tcW w:w="529" w:type="pct"/>
          </w:tcPr>
          <w:p w14:paraId="58DB0C1F" w14:textId="77777777" w:rsidR="001E1A72" w:rsidRPr="00E11FC2" w:rsidRDefault="001E1A72" w:rsidP="005C5190">
            <w:pPr>
              <w:pStyle w:val="Compact"/>
              <w:rPr>
                <w:rFonts w:ascii="Arial" w:hAnsi="Arial" w:cs="Arial"/>
                <w:sz w:val="20"/>
                <w:szCs w:val="20"/>
                <w:lang w:val="en-GB"/>
              </w:rPr>
            </w:pPr>
          </w:p>
        </w:tc>
        <w:tc>
          <w:tcPr>
            <w:tcW w:w="528" w:type="pct"/>
          </w:tcPr>
          <w:p w14:paraId="666CD567" w14:textId="77777777" w:rsidR="001E1A72" w:rsidRPr="00E11FC2" w:rsidRDefault="001E1A72" w:rsidP="005C5190">
            <w:pPr>
              <w:pStyle w:val="Compact"/>
              <w:rPr>
                <w:rFonts w:ascii="Arial" w:hAnsi="Arial" w:cs="Arial"/>
                <w:sz w:val="20"/>
                <w:szCs w:val="20"/>
                <w:lang w:val="en-GB"/>
              </w:rPr>
            </w:pPr>
          </w:p>
        </w:tc>
        <w:tc>
          <w:tcPr>
            <w:tcW w:w="985" w:type="pct"/>
          </w:tcPr>
          <w:p w14:paraId="7843CFF1"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Astrocoeniidae</w:t>
            </w:r>
          </w:p>
        </w:tc>
        <w:tc>
          <w:tcPr>
            <w:tcW w:w="984" w:type="pct"/>
          </w:tcPr>
          <w:p w14:paraId="5C8D5699"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Madracis</w:t>
            </w:r>
          </w:p>
        </w:tc>
        <w:tc>
          <w:tcPr>
            <w:tcW w:w="1214" w:type="pct"/>
          </w:tcPr>
          <w:p w14:paraId="354003C6"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1963, 1964, 1968</w:t>
            </w:r>
          </w:p>
        </w:tc>
      </w:tr>
      <w:tr w:rsidR="001E1A72" w:rsidRPr="00E11FC2" w14:paraId="16D7D0B4" w14:textId="77777777" w:rsidTr="005C5190">
        <w:trPr>
          <w:trHeight w:val="302"/>
        </w:trPr>
        <w:tc>
          <w:tcPr>
            <w:tcW w:w="759" w:type="pct"/>
          </w:tcPr>
          <w:p w14:paraId="16A07114" w14:textId="77777777" w:rsidR="001E1A72" w:rsidRPr="00E11FC2" w:rsidRDefault="001E1A72" w:rsidP="005C5190">
            <w:pPr>
              <w:pStyle w:val="Compact"/>
              <w:rPr>
                <w:rFonts w:ascii="Arial" w:hAnsi="Arial" w:cs="Arial"/>
                <w:sz w:val="20"/>
                <w:szCs w:val="20"/>
                <w:lang w:val="en-GB"/>
              </w:rPr>
            </w:pPr>
          </w:p>
        </w:tc>
        <w:tc>
          <w:tcPr>
            <w:tcW w:w="529" w:type="pct"/>
          </w:tcPr>
          <w:p w14:paraId="241ED253" w14:textId="77777777" w:rsidR="001E1A72" w:rsidRPr="00E11FC2" w:rsidRDefault="001E1A72" w:rsidP="005C5190">
            <w:pPr>
              <w:pStyle w:val="Compact"/>
              <w:rPr>
                <w:rFonts w:ascii="Arial" w:hAnsi="Arial" w:cs="Arial"/>
                <w:sz w:val="20"/>
                <w:szCs w:val="20"/>
                <w:lang w:val="en-GB"/>
              </w:rPr>
            </w:pPr>
          </w:p>
        </w:tc>
        <w:tc>
          <w:tcPr>
            <w:tcW w:w="528" w:type="pct"/>
          </w:tcPr>
          <w:p w14:paraId="4D778D9F" w14:textId="77777777" w:rsidR="001E1A72" w:rsidRPr="00E11FC2" w:rsidRDefault="001E1A72" w:rsidP="005C5190">
            <w:pPr>
              <w:pStyle w:val="Compact"/>
              <w:rPr>
                <w:rFonts w:ascii="Arial" w:hAnsi="Arial" w:cs="Arial"/>
                <w:sz w:val="20"/>
                <w:szCs w:val="20"/>
                <w:lang w:val="en-GB"/>
              </w:rPr>
            </w:pPr>
          </w:p>
        </w:tc>
        <w:tc>
          <w:tcPr>
            <w:tcW w:w="985" w:type="pct"/>
          </w:tcPr>
          <w:p w14:paraId="7E80F3EF"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Caryophylliidae</w:t>
            </w:r>
          </w:p>
        </w:tc>
        <w:tc>
          <w:tcPr>
            <w:tcW w:w="984" w:type="pct"/>
          </w:tcPr>
          <w:p w14:paraId="341B1C99"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Paracyathus</w:t>
            </w:r>
          </w:p>
        </w:tc>
        <w:tc>
          <w:tcPr>
            <w:tcW w:w="1214" w:type="pct"/>
          </w:tcPr>
          <w:p w14:paraId="0F24EE54"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1963</w:t>
            </w:r>
          </w:p>
        </w:tc>
      </w:tr>
      <w:tr w:rsidR="001E1A72" w:rsidRPr="00E11FC2" w14:paraId="5D89F118" w14:textId="77777777" w:rsidTr="005C5190">
        <w:trPr>
          <w:trHeight w:val="529"/>
        </w:trPr>
        <w:tc>
          <w:tcPr>
            <w:tcW w:w="759" w:type="pct"/>
          </w:tcPr>
          <w:p w14:paraId="706E481A" w14:textId="77777777" w:rsidR="001E1A72" w:rsidRPr="00E11FC2" w:rsidRDefault="001E1A72" w:rsidP="005C5190">
            <w:pPr>
              <w:pStyle w:val="Compact"/>
              <w:rPr>
                <w:rFonts w:ascii="Arial" w:hAnsi="Arial" w:cs="Arial"/>
                <w:sz w:val="20"/>
                <w:szCs w:val="20"/>
                <w:lang w:val="en-GB"/>
              </w:rPr>
            </w:pPr>
          </w:p>
        </w:tc>
        <w:tc>
          <w:tcPr>
            <w:tcW w:w="529" w:type="pct"/>
          </w:tcPr>
          <w:p w14:paraId="51D10EEC" w14:textId="77777777" w:rsidR="001E1A72" w:rsidRPr="00E11FC2" w:rsidRDefault="001E1A72" w:rsidP="005C5190">
            <w:pPr>
              <w:pStyle w:val="Compact"/>
              <w:rPr>
                <w:rFonts w:ascii="Arial" w:hAnsi="Arial" w:cs="Arial"/>
                <w:sz w:val="20"/>
                <w:szCs w:val="20"/>
                <w:lang w:val="en-GB"/>
              </w:rPr>
            </w:pPr>
          </w:p>
        </w:tc>
        <w:tc>
          <w:tcPr>
            <w:tcW w:w="528" w:type="pct"/>
          </w:tcPr>
          <w:p w14:paraId="5C3648C7" w14:textId="77777777" w:rsidR="001E1A72" w:rsidRPr="00E11FC2" w:rsidRDefault="001E1A72" w:rsidP="005C5190">
            <w:pPr>
              <w:pStyle w:val="Compact"/>
              <w:rPr>
                <w:rFonts w:ascii="Arial" w:hAnsi="Arial" w:cs="Arial"/>
                <w:sz w:val="20"/>
                <w:szCs w:val="20"/>
                <w:lang w:val="en-GB"/>
              </w:rPr>
            </w:pPr>
          </w:p>
        </w:tc>
        <w:tc>
          <w:tcPr>
            <w:tcW w:w="985" w:type="pct"/>
          </w:tcPr>
          <w:p w14:paraId="2992DA5A" w14:textId="77777777" w:rsidR="001E1A72" w:rsidRPr="00E11FC2" w:rsidRDefault="001E1A72" w:rsidP="005C5190">
            <w:pPr>
              <w:pStyle w:val="Compact"/>
              <w:rPr>
                <w:rFonts w:ascii="Arial" w:hAnsi="Arial" w:cs="Arial"/>
                <w:sz w:val="20"/>
                <w:szCs w:val="20"/>
                <w:lang w:val="en-GB"/>
              </w:rPr>
            </w:pPr>
          </w:p>
        </w:tc>
        <w:tc>
          <w:tcPr>
            <w:tcW w:w="984" w:type="pct"/>
          </w:tcPr>
          <w:p w14:paraId="01CF834B"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Stephanocyathus</w:t>
            </w:r>
          </w:p>
        </w:tc>
        <w:tc>
          <w:tcPr>
            <w:tcW w:w="1214" w:type="pct"/>
          </w:tcPr>
          <w:p w14:paraId="10EC8A7F"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4C8397CE" w14:textId="77777777" w:rsidTr="005C5190">
        <w:trPr>
          <w:trHeight w:val="302"/>
        </w:trPr>
        <w:tc>
          <w:tcPr>
            <w:tcW w:w="759" w:type="pct"/>
          </w:tcPr>
          <w:p w14:paraId="0FF31717" w14:textId="77777777" w:rsidR="001E1A72" w:rsidRPr="00E11FC2" w:rsidRDefault="001E1A72" w:rsidP="005C5190">
            <w:pPr>
              <w:pStyle w:val="Compact"/>
              <w:rPr>
                <w:rFonts w:ascii="Arial" w:hAnsi="Arial" w:cs="Arial"/>
                <w:sz w:val="20"/>
                <w:szCs w:val="20"/>
                <w:lang w:val="en-GB"/>
              </w:rPr>
            </w:pPr>
          </w:p>
        </w:tc>
        <w:tc>
          <w:tcPr>
            <w:tcW w:w="529" w:type="pct"/>
          </w:tcPr>
          <w:p w14:paraId="7BC97A02" w14:textId="77777777" w:rsidR="001E1A72" w:rsidRPr="00E11FC2" w:rsidRDefault="001E1A72" w:rsidP="005C5190">
            <w:pPr>
              <w:pStyle w:val="Compact"/>
              <w:rPr>
                <w:rFonts w:ascii="Arial" w:hAnsi="Arial" w:cs="Arial"/>
                <w:sz w:val="20"/>
                <w:szCs w:val="20"/>
                <w:lang w:val="en-GB"/>
              </w:rPr>
            </w:pPr>
          </w:p>
        </w:tc>
        <w:tc>
          <w:tcPr>
            <w:tcW w:w="528" w:type="pct"/>
          </w:tcPr>
          <w:p w14:paraId="7B5AA8D1" w14:textId="77777777" w:rsidR="001E1A72" w:rsidRPr="00E11FC2" w:rsidRDefault="001E1A72" w:rsidP="005C5190">
            <w:pPr>
              <w:pStyle w:val="Compact"/>
              <w:rPr>
                <w:rFonts w:ascii="Arial" w:hAnsi="Arial" w:cs="Arial"/>
                <w:sz w:val="20"/>
                <w:szCs w:val="20"/>
                <w:lang w:val="en-GB"/>
              </w:rPr>
            </w:pPr>
          </w:p>
        </w:tc>
        <w:tc>
          <w:tcPr>
            <w:tcW w:w="985" w:type="pct"/>
          </w:tcPr>
          <w:p w14:paraId="600B5123" w14:textId="77777777" w:rsidR="001E1A72" w:rsidRPr="00E11FC2" w:rsidRDefault="001E1A72" w:rsidP="005C5190">
            <w:pPr>
              <w:pStyle w:val="Compact"/>
              <w:rPr>
                <w:rFonts w:ascii="Arial" w:hAnsi="Arial" w:cs="Arial"/>
                <w:sz w:val="20"/>
                <w:szCs w:val="20"/>
                <w:lang w:val="en-GB"/>
              </w:rPr>
            </w:pPr>
          </w:p>
        </w:tc>
        <w:tc>
          <w:tcPr>
            <w:tcW w:w="984" w:type="pct"/>
          </w:tcPr>
          <w:p w14:paraId="2D348541"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Polycyathus</w:t>
            </w:r>
          </w:p>
        </w:tc>
        <w:tc>
          <w:tcPr>
            <w:tcW w:w="1214" w:type="pct"/>
          </w:tcPr>
          <w:p w14:paraId="52E8EAC6"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1963, 1968</w:t>
            </w:r>
          </w:p>
        </w:tc>
      </w:tr>
      <w:tr w:rsidR="001E1A72" w:rsidRPr="00E11FC2" w14:paraId="49685443" w14:textId="77777777" w:rsidTr="005C5190">
        <w:trPr>
          <w:trHeight w:val="541"/>
        </w:trPr>
        <w:tc>
          <w:tcPr>
            <w:tcW w:w="759" w:type="pct"/>
          </w:tcPr>
          <w:p w14:paraId="6F63868F" w14:textId="77777777" w:rsidR="001E1A72" w:rsidRPr="00E11FC2" w:rsidRDefault="001E1A72" w:rsidP="005C5190">
            <w:pPr>
              <w:pStyle w:val="Compact"/>
              <w:rPr>
                <w:rFonts w:ascii="Arial" w:hAnsi="Arial" w:cs="Arial"/>
                <w:sz w:val="20"/>
                <w:szCs w:val="20"/>
                <w:lang w:val="en-GB"/>
              </w:rPr>
            </w:pPr>
          </w:p>
        </w:tc>
        <w:tc>
          <w:tcPr>
            <w:tcW w:w="529" w:type="pct"/>
          </w:tcPr>
          <w:p w14:paraId="582E1C26" w14:textId="77777777" w:rsidR="001E1A72" w:rsidRPr="00E11FC2" w:rsidRDefault="001E1A72" w:rsidP="005C5190">
            <w:pPr>
              <w:pStyle w:val="Compact"/>
              <w:rPr>
                <w:rFonts w:ascii="Arial" w:hAnsi="Arial" w:cs="Arial"/>
                <w:sz w:val="20"/>
                <w:szCs w:val="20"/>
                <w:lang w:val="en-GB"/>
              </w:rPr>
            </w:pPr>
          </w:p>
        </w:tc>
        <w:tc>
          <w:tcPr>
            <w:tcW w:w="528" w:type="pct"/>
          </w:tcPr>
          <w:p w14:paraId="7BFAD5E9" w14:textId="77777777" w:rsidR="001E1A72" w:rsidRPr="00E11FC2" w:rsidRDefault="001E1A72" w:rsidP="005C5190">
            <w:pPr>
              <w:pStyle w:val="Compact"/>
              <w:rPr>
                <w:rFonts w:ascii="Arial" w:hAnsi="Arial" w:cs="Arial"/>
                <w:sz w:val="20"/>
                <w:szCs w:val="20"/>
                <w:lang w:val="en-GB"/>
              </w:rPr>
            </w:pPr>
          </w:p>
        </w:tc>
        <w:tc>
          <w:tcPr>
            <w:tcW w:w="985" w:type="pct"/>
          </w:tcPr>
          <w:p w14:paraId="60ED525D" w14:textId="77777777" w:rsidR="001E1A72" w:rsidRPr="00E11FC2" w:rsidRDefault="001E1A72" w:rsidP="005C5190">
            <w:pPr>
              <w:pStyle w:val="Compact"/>
              <w:rPr>
                <w:rFonts w:ascii="Arial" w:hAnsi="Arial" w:cs="Arial"/>
                <w:sz w:val="20"/>
                <w:szCs w:val="20"/>
                <w:lang w:val="en-GB"/>
              </w:rPr>
            </w:pPr>
          </w:p>
        </w:tc>
        <w:tc>
          <w:tcPr>
            <w:tcW w:w="984" w:type="pct"/>
          </w:tcPr>
          <w:p w14:paraId="0B7DAA68"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Caryophyllia</w:t>
            </w:r>
          </w:p>
        </w:tc>
        <w:tc>
          <w:tcPr>
            <w:tcW w:w="1214" w:type="pct"/>
          </w:tcPr>
          <w:p w14:paraId="6EFF0B7B"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1957, 1963, 1968, 1969</w:t>
            </w:r>
          </w:p>
        </w:tc>
      </w:tr>
      <w:tr w:rsidR="001E1A72" w:rsidRPr="00E11FC2" w14:paraId="1A0DFA7C" w14:textId="77777777" w:rsidTr="005C5190">
        <w:trPr>
          <w:trHeight w:val="302"/>
        </w:trPr>
        <w:tc>
          <w:tcPr>
            <w:tcW w:w="759" w:type="pct"/>
          </w:tcPr>
          <w:p w14:paraId="42755B71" w14:textId="77777777" w:rsidR="001E1A72" w:rsidRPr="00E11FC2" w:rsidRDefault="001E1A72" w:rsidP="005C5190">
            <w:pPr>
              <w:pStyle w:val="Compact"/>
              <w:rPr>
                <w:rFonts w:ascii="Arial" w:hAnsi="Arial" w:cs="Arial"/>
                <w:sz w:val="20"/>
                <w:szCs w:val="20"/>
                <w:lang w:val="en-GB"/>
              </w:rPr>
            </w:pPr>
          </w:p>
        </w:tc>
        <w:tc>
          <w:tcPr>
            <w:tcW w:w="529" w:type="pct"/>
          </w:tcPr>
          <w:p w14:paraId="2B41D45F" w14:textId="77777777" w:rsidR="001E1A72" w:rsidRPr="00E11FC2" w:rsidRDefault="001E1A72" w:rsidP="005C5190">
            <w:pPr>
              <w:pStyle w:val="Compact"/>
              <w:rPr>
                <w:rFonts w:ascii="Arial" w:hAnsi="Arial" w:cs="Arial"/>
                <w:sz w:val="20"/>
                <w:szCs w:val="20"/>
                <w:lang w:val="en-GB"/>
              </w:rPr>
            </w:pPr>
          </w:p>
        </w:tc>
        <w:tc>
          <w:tcPr>
            <w:tcW w:w="528" w:type="pct"/>
          </w:tcPr>
          <w:p w14:paraId="177CFD95" w14:textId="77777777" w:rsidR="001E1A72" w:rsidRPr="00E11FC2" w:rsidRDefault="001E1A72" w:rsidP="005C5190">
            <w:pPr>
              <w:pStyle w:val="Compact"/>
              <w:rPr>
                <w:rFonts w:ascii="Arial" w:hAnsi="Arial" w:cs="Arial"/>
                <w:sz w:val="20"/>
                <w:szCs w:val="20"/>
                <w:lang w:val="en-GB"/>
              </w:rPr>
            </w:pPr>
          </w:p>
        </w:tc>
        <w:tc>
          <w:tcPr>
            <w:tcW w:w="985" w:type="pct"/>
          </w:tcPr>
          <w:p w14:paraId="3118F208" w14:textId="77777777" w:rsidR="001E1A72" w:rsidRPr="00E11FC2" w:rsidRDefault="001E1A72" w:rsidP="005C5190">
            <w:pPr>
              <w:pStyle w:val="Compact"/>
              <w:rPr>
                <w:rFonts w:ascii="Arial" w:hAnsi="Arial" w:cs="Arial"/>
                <w:sz w:val="20"/>
                <w:szCs w:val="20"/>
                <w:lang w:val="en-GB"/>
              </w:rPr>
            </w:pPr>
          </w:p>
        </w:tc>
        <w:tc>
          <w:tcPr>
            <w:tcW w:w="984" w:type="pct"/>
          </w:tcPr>
          <w:p w14:paraId="2509D986"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Trochocyathus</w:t>
            </w:r>
          </w:p>
        </w:tc>
        <w:tc>
          <w:tcPr>
            <w:tcW w:w="1214" w:type="pct"/>
          </w:tcPr>
          <w:p w14:paraId="05EAC180"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1969</w:t>
            </w:r>
          </w:p>
        </w:tc>
      </w:tr>
      <w:tr w:rsidR="001E1A72" w:rsidRPr="00E11FC2" w14:paraId="3E18B687" w14:textId="77777777" w:rsidTr="005C5190">
        <w:trPr>
          <w:trHeight w:val="541"/>
        </w:trPr>
        <w:tc>
          <w:tcPr>
            <w:tcW w:w="759" w:type="pct"/>
          </w:tcPr>
          <w:p w14:paraId="254F1641" w14:textId="77777777" w:rsidR="001E1A72" w:rsidRPr="00E11FC2" w:rsidRDefault="001E1A72" w:rsidP="005C5190">
            <w:pPr>
              <w:pStyle w:val="Compact"/>
              <w:rPr>
                <w:rFonts w:ascii="Arial" w:hAnsi="Arial" w:cs="Arial"/>
                <w:sz w:val="20"/>
                <w:szCs w:val="20"/>
                <w:lang w:val="en-GB"/>
              </w:rPr>
            </w:pPr>
          </w:p>
        </w:tc>
        <w:tc>
          <w:tcPr>
            <w:tcW w:w="529" w:type="pct"/>
          </w:tcPr>
          <w:p w14:paraId="66157FB9" w14:textId="77777777" w:rsidR="001E1A72" w:rsidRPr="00E11FC2" w:rsidRDefault="001E1A72" w:rsidP="005C5190">
            <w:pPr>
              <w:pStyle w:val="Compact"/>
              <w:rPr>
                <w:rFonts w:ascii="Arial" w:hAnsi="Arial" w:cs="Arial"/>
                <w:sz w:val="20"/>
                <w:szCs w:val="20"/>
                <w:lang w:val="en-GB"/>
              </w:rPr>
            </w:pPr>
          </w:p>
        </w:tc>
        <w:tc>
          <w:tcPr>
            <w:tcW w:w="528" w:type="pct"/>
          </w:tcPr>
          <w:p w14:paraId="61D1BA51" w14:textId="77777777" w:rsidR="001E1A72" w:rsidRPr="00E11FC2" w:rsidRDefault="001E1A72" w:rsidP="005C5190">
            <w:pPr>
              <w:pStyle w:val="Compact"/>
              <w:rPr>
                <w:rFonts w:ascii="Arial" w:hAnsi="Arial" w:cs="Arial"/>
                <w:sz w:val="20"/>
                <w:szCs w:val="20"/>
                <w:lang w:val="en-GB"/>
              </w:rPr>
            </w:pPr>
          </w:p>
        </w:tc>
        <w:tc>
          <w:tcPr>
            <w:tcW w:w="985" w:type="pct"/>
          </w:tcPr>
          <w:p w14:paraId="45E594A9" w14:textId="77777777" w:rsidR="001E1A72" w:rsidRPr="00E11FC2" w:rsidRDefault="001E1A72" w:rsidP="005C5190">
            <w:pPr>
              <w:pStyle w:val="Compact"/>
              <w:rPr>
                <w:rFonts w:ascii="Arial" w:hAnsi="Arial" w:cs="Arial"/>
                <w:sz w:val="20"/>
                <w:szCs w:val="20"/>
                <w:lang w:val="en-GB"/>
              </w:rPr>
            </w:pPr>
          </w:p>
        </w:tc>
        <w:tc>
          <w:tcPr>
            <w:tcW w:w="984" w:type="pct"/>
          </w:tcPr>
          <w:p w14:paraId="1384EC11"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Phacelocyathus</w:t>
            </w:r>
          </w:p>
        </w:tc>
        <w:tc>
          <w:tcPr>
            <w:tcW w:w="1214" w:type="pct"/>
          </w:tcPr>
          <w:p w14:paraId="6D610564"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1957</w:t>
            </w:r>
          </w:p>
        </w:tc>
      </w:tr>
      <w:tr w:rsidR="001E1A72" w:rsidRPr="00E11FC2" w14:paraId="2199A252" w14:textId="77777777" w:rsidTr="005C5190">
        <w:trPr>
          <w:trHeight w:val="302"/>
        </w:trPr>
        <w:tc>
          <w:tcPr>
            <w:tcW w:w="759" w:type="pct"/>
          </w:tcPr>
          <w:p w14:paraId="551F33C8" w14:textId="77777777" w:rsidR="001E1A72" w:rsidRPr="00E11FC2" w:rsidRDefault="001E1A72" w:rsidP="005C5190">
            <w:pPr>
              <w:pStyle w:val="Compact"/>
              <w:rPr>
                <w:rFonts w:ascii="Arial" w:hAnsi="Arial" w:cs="Arial"/>
                <w:sz w:val="20"/>
                <w:szCs w:val="20"/>
                <w:lang w:val="en-GB"/>
              </w:rPr>
            </w:pPr>
          </w:p>
        </w:tc>
        <w:tc>
          <w:tcPr>
            <w:tcW w:w="529" w:type="pct"/>
          </w:tcPr>
          <w:p w14:paraId="29125839" w14:textId="77777777" w:rsidR="001E1A72" w:rsidRPr="00E11FC2" w:rsidRDefault="001E1A72" w:rsidP="005C5190">
            <w:pPr>
              <w:pStyle w:val="Compact"/>
              <w:rPr>
                <w:rFonts w:ascii="Arial" w:hAnsi="Arial" w:cs="Arial"/>
                <w:sz w:val="20"/>
                <w:szCs w:val="20"/>
                <w:lang w:val="en-GB"/>
              </w:rPr>
            </w:pPr>
          </w:p>
        </w:tc>
        <w:tc>
          <w:tcPr>
            <w:tcW w:w="528" w:type="pct"/>
          </w:tcPr>
          <w:p w14:paraId="3FCF5102" w14:textId="77777777" w:rsidR="001E1A72" w:rsidRPr="00E11FC2" w:rsidRDefault="001E1A72" w:rsidP="005C5190">
            <w:pPr>
              <w:pStyle w:val="Compact"/>
              <w:rPr>
                <w:rFonts w:ascii="Arial" w:hAnsi="Arial" w:cs="Arial"/>
                <w:sz w:val="20"/>
                <w:szCs w:val="20"/>
                <w:lang w:val="en-GB"/>
              </w:rPr>
            </w:pPr>
          </w:p>
        </w:tc>
        <w:tc>
          <w:tcPr>
            <w:tcW w:w="985" w:type="pct"/>
          </w:tcPr>
          <w:p w14:paraId="0F638C73" w14:textId="77777777" w:rsidR="001E1A72" w:rsidRPr="00E11FC2" w:rsidRDefault="001E1A72" w:rsidP="005C5190">
            <w:pPr>
              <w:pStyle w:val="Compact"/>
              <w:rPr>
                <w:rFonts w:ascii="Arial" w:hAnsi="Arial" w:cs="Arial"/>
                <w:sz w:val="20"/>
                <w:szCs w:val="20"/>
                <w:lang w:val="en-GB"/>
              </w:rPr>
            </w:pPr>
          </w:p>
        </w:tc>
        <w:tc>
          <w:tcPr>
            <w:tcW w:w="984" w:type="pct"/>
          </w:tcPr>
          <w:p w14:paraId="790FDFA1"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Coenosmilia</w:t>
            </w:r>
          </w:p>
        </w:tc>
        <w:tc>
          <w:tcPr>
            <w:tcW w:w="1214" w:type="pct"/>
          </w:tcPr>
          <w:p w14:paraId="71032B1B"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1969</w:t>
            </w:r>
          </w:p>
        </w:tc>
      </w:tr>
      <w:tr w:rsidR="001E1A72" w:rsidRPr="00E11FC2" w14:paraId="7BCB86B9" w14:textId="77777777" w:rsidTr="005C5190">
        <w:trPr>
          <w:trHeight w:val="302"/>
        </w:trPr>
        <w:tc>
          <w:tcPr>
            <w:tcW w:w="759" w:type="pct"/>
          </w:tcPr>
          <w:p w14:paraId="1DF4F2D7" w14:textId="77777777" w:rsidR="001E1A72" w:rsidRPr="00E11FC2" w:rsidRDefault="001E1A72" w:rsidP="005C5190">
            <w:pPr>
              <w:pStyle w:val="Compact"/>
              <w:rPr>
                <w:rFonts w:ascii="Arial" w:hAnsi="Arial" w:cs="Arial"/>
                <w:sz w:val="20"/>
                <w:szCs w:val="20"/>
                <w:lang w:val="en-GB"/>
              </w:rPr>
            </w:pPr>
          </w:p>
        </w:tc>
        <w:tc>
          <w:tcPr>
            <w:tcW w:w="529" w:type="pct"/>
          </w:tcPr>
          <w:p w14:paraId="5914EDC8" w14:textId="77777777" w:rsidR="001E1A72" w:rsidRPr="00E11FC2" w:rsidRDefault="001E1A72" w:rsidP="005C5190">
            <w:pPr>
              <w:pStyle w:val="Compact"/>
              <w:rPr>
                <w:rFonts w:ascii="Arial" w:hAnsi="Arial" w:cs="Arial"/>
                <w:sz w:val="20"/>
                <w:szCs w:val="20"/>
                <w:lang w:val="en-GB"/>
              </w:rPr>
            </w:pPr>
          </w:p>
        </w:tc>
        <w:tc>
          <w:tcPr>
            <w:tcW w:w="528" w:type="pct"/>
          </w:tcPr>
          <w:p w14:paraId="12F2FD08" w14:textId="77777777" w:rsidR="001E1A72" w:rsidRPr="00E11FC2" w:rsidRDefault="001E1A72" w:rsidP="005C5190">
            <w:pPr>
              <w:pStyle w:val="Compact"/>
              <w:rPr>
                <w:rFonts w:ascii="Arial" w:hAnsi="Arial" w:cs="Arial"/>
                <w:sz w:val="20"/>
                <w:szCs w:val="20"/>
                <w:lang w:val="en-GB"/>
              </w:rPr>
            </w:pPr>
          </w:p>
        </w:tc>
        <w:tc>
          <w:tcPr>
            <w:tcW w:w="985" w:type="pct"/>
          </w:tcPr>
          <w:p w14:paraId="0EE1DA8D" w14:textId="77777777" w:rsidR="001E1A72" w:rsidRPr="00E11FC2" w:rsidRDefault="001E1A72" w:rsidP="005C5190">
            <w:pPr>
              <w:pStyle w:val="Compact"/>
              <w:rPr>
                <w:rFonts w:ascii="Arial" w:hAnsi="Arial" w:cs="Arial"/>
                <w:sz w:val="20"/>
                <w:szCs w:val="20"/>
                <w:lang w:val="en-GB"/>
              </w:rPr>
            </w:pPr>
          </w:p>
        </w:tc>
        <w:tc>
          <w:tcPr>
            <w:tcW w:w="984" w:type="pct"/>
          </w:tcPr>
          <w:p w14:paraId="098A0102"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Oxysmilia</w:t>
            </w:r>
          </w:p>
        </w:tc>
        <w:tc>
          <w:tcPr>
            <w:tcW w:w="1214" w:type="pct"/>
          </w:tcPr>
          <w:p w14:paraId="0E555C88"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1963</w:t>
            </w:r>
          </w:p>
        </w:tc>
      </w:tr>
      <w:tr w:rsidR="001E1A72" w:rsidRPr="00E11FC2" w14:paraId="56C6CE6D" w14:textId="77777777" w:rsidTr="005C5190">
        <w:trPr>
          <w:trHeight w:val="302"/>
        </w:trPr>
        <w:tc>
          <w:tcPr>
            <w:tcW w:w="759" w:type="pct"/>
          </w:tcPr>
          <w:p w14:paraId="49FC65B0" w14:textId="77777777" w:rsidR="001E1A72" w:rsidRPr="00E11FC2" w:rsidRDefault="001E1A72" w:rsidP="005C5190">
            <w:pPr>
              <w:pStyle w:val="Compact"/>
              <w:rPr>
                <w:rFonts w:ascii="Arial" w:hAnsi="Arial" w:cs="Arial"/>
                <w:sz w:val="20"/>
                <w:szCs w:val="20"/>
                <w:lang w:val="en-GB"/>
              </w:rPr>
            </w:pPr>
          </w:p>
        </w:tc>
        <w:tc>
          <w:tcPr>
            <w:tcW w:w="529" w:type="pct"/>
          </w:tcPr>
          <w:p w14:paraId="72D5DBCA" w14:textId="77777777" w:rsidR="001E1A72" w:rsidRPr="00E11FC2" w:rsidRDefault="001E1A72" w:rsidP="005C5190">
            <w:pPr>
              <w:pStyle w:val="Compact"/>
              <w:rPr>
                <w:rFonts w:ascii="Arial" w:hAnsi="Arial" w:cs="Arial"/>
                <w:sz w:val="20"/>
                <w:szCs w:val="20"/>
                <w:lang w:val="en-GB"/>
              </w:rPr>
            </w:pPr>
          </w:p>
        </w:tc>
        <w:tc>
          <w:tcPr>
            <w:tcW w:w="528" w:type="pct"/>
          </w:tcPr>
          <w:p w14:paraId="115DBFD5" w14:textId="77777777" w:rsidR="001E1A72" w:rsidRPr="00E11FC2" w:rsidRDefault="001E1A72" w:rsidP="005C5190">
            <w:pPr>
              <w:pStyle w:val="Compact"/>
              <w:rPr>
                <w:rFonts w:ascii="Arial" w:hAnsi="Arial" w:cs="Arial"/>
                <w:sz w:val="20"/>
                <w:szCs w:val="20"/>
                <w:lang w:val="en-GB"/>
              </w:rPr>
            </w:pPr>
          </w:p>
        </w:tc>
        <w:tc>
          <w:tcPr>
            <w:tcW w:w="985" w:type="pct"/>
          </w:tcPr>
          <w:p w14:paraId="54951423" w14:textId="77777777" w:rsidR="001E1A72" w:rsidRPr="00E11FC2" w:rsidRDefault="001E1A72" w:rsidP="005C5190">
            <w:pPr>
              <w:pStyle w:val="Compact"/>
              <w:rPr>
                <w:rFonts w:ascii="Arial" w:hAnsi="Arial" w:cs="Arial"/>
                <w:sz w:val="20"/>
                <w:szCs w:val="20"/>
                <w:lang w:val="en-GB"/>
              </w:rPr>
            </w:pPr>
          </w:p>
        </w:tc>
        <w:tc>
          <w:tcPr>
            <w:tcW w:w="984" w:type="pct"/>
          </w:tcPr>
          <w:p w14:paraId="763260AC"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Solenosmilia</w:t>
            </w:r>
          </w:p>
        </w:tc>
        <w:tc>
          <w:tcPr>
            <w:tcW w:w="1214" w:type="pct"/>
          </w:tcPr>
          <w:p w14:paraId="05B39E26"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1957, 1969</w:t>
            </w:r>
          </w:p>
        </w:tc>
      </w:tr>
      <w:tr w:rsidR="001E1A72" w:rsidRPr="00E11FC2" w14:paraId="4D8C7115" w14:textId="77777777" w:rsidTr="005C5190">
        <w:trPr>
          <w:trHeight w:val="302"/>
        </w:trPr>
        <w:tc>
          <w:tcPr>
            <w:tcW w:w="759" w:type="pct"/>
          </w:tcPr>
          <w:p w14:paraId="23EA1566" w14:textId="77777777" w:rsidR="001E1A72" w:rsidRPr="00E11FC2" w:rsidRDefault="001E1A72" w:rsidP="005C5190">
            <w:pPr>
              <w:pStyle w:val="Compact"/>
              <w:rPr>
                <w:rFonts w:ascii="Arial" w:hAnsi="Arial" w:cs="Arial"/>
                <w:sz w:val="20"/>
                <w:szCs w:val="20"/>
                <w:lang w:val="en-GB"/>
              </w:rPr>
            </w:pPr>
          </w:p>
        </w:tc>
        <w:tc>
          <w:tcPr>
            <w:tcW w:w="529" w:type="pct"/>
          </w:tcPr>
          <w:p w14:paraId="6643AFD0" w14:textId="77777777" w:rsidR="001E1A72" w:rsidRPr="00E11FC2" w:rsidRDefault="001E1A72" w:rsidP="005C5190">
            <w:pPr>
              <w:pStyle w:val="Compact"/>
              <w:rPr>
                <w:rFonts w:ascii="Arial" w:hAnsi="Arial" w:cs="Arial"/>
                <w:sz w:val="20"/>
                <w:szCs w:val="20"/>
                <w:lang w:val="en-GB"/>
              </w:rPr>
            </w:pPr>
          </w:p>
        </w:tc>
        <w:tc>
          <w:tcPr>
            <w:tcW w:w="528" w:type="pct"/>
          </w:tcPr>
          <w:p w14:paraId="4DBC9C86" w14:textId="77777777" w:rsidR="001E1A72" w:rsidRPr="00E11FC2" w:rsidRDefault="001E1A72" w:rsidP="005C5190">
            <w:pPr>
              <w:pStyle w:val="Compact"/>
              <w:rPr>
                <w:rFonts w:ascii="Arial" w:hAnsi="Arial" w:cs="Arial"/>
                <w:sz w:val="20"/>
                <w:szCs w:val="20"/>
                <w:lang w:val="en-GB"/>
              </w:rPr>
            </w:pPr>
          </w:p>
        </w:tc>
        <w:tc>
          <w:tcPr>
            <w:tcW w:w="985" w:type="pct"/>
          </w:tcPr>
          <w:p w14:paraId="57CD91FA"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Deltocyathidae</w:t>
            </w:r>
          </w:p>
        </w:tc>
        <w:tc>
          <w:tcPr>
            <w:tcW w:w="984" w:type="pct"/>
          </w:tcPr>
          <w:p w14:paraId="046600BC"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Deltocyathus</w:t>
            </w:r>
          </w:p>
        </w:tc>
        <w:tc>
          <w:tcPr>
            <w:tcW w:w="1214" w:type="pct"/>
          </w:tcPr>
          <w:p w14:paraId="5836E8C3"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1963</w:t>
            </w:r>
          </w:p>
        </w:tc>
      </w:tr>
      <w:tr w:rsidR="001E1A72" w:rsidRPr="00E11FC2" w14:paraId="66BE47AF" w14:textId="77777777" w:rsidTr="005C5190">
        <w:trPr>
          <w:trHeight w:val="529"/>
        </w:trPr>
        <w:tc>
          <w:tcPr>
            <w:tcW w:w="759" w:type="pct"/>
          </w:tcPr>
          <w:p w14:paraId="1FDB1037" w14:textId="77777777" w:rsidR="001E1A72" w:rsidRPr="00E11FC2" w:rsidRDefault="001E1A72" w:rsidP="005C5190">
            <w:pPr>
              <w:pStyle w:val="Compact"/>
              <w:rPr>
                <w:rFonts w:ascii="Arial" w:hAnsi="Arial" w:cs="Arial"/>
                <w:sz w:val="20"/>
                <w:szCs w:val="20"/>
                <w:lang w:val="en-GB"/>
              </w:rPr>
            </w:pPr>
          </w:p>
        </w:tc>
        <w:tc>
          <w:tcPr>
            <w:tcW w:w="529" w:type="pct"/>
          </w:tcPr>
          <w:p w14:paraId="3209E2CD" w14:textId="77777777" w:rsidR="001E1A72" w:rsidRPr="00E11FC2" w:rsidRDefault="001E1A72" w:rsidP="005C5190">
            <w:pPr>
              <w:pStyle w:val="Compact"/>
              <w:rPr>
                <w:rFonts w:ascii="Arial" w:hAnsi="Arial" w:cs="Arial"/>
                <w:sz w:val="20"/>
                <w:szCs w:val="20"/>
                <w:lang w:val="en-GB"/>
              </w:rPr>
            </w:pPr>
          </w:p>
        </w:tc>
        <w:tc>
          <w:tcPr>
            <w:tcW w:w="528" w:type="pct"/>
          </w:tcPr>
          <w:p w14:paraId="404E9DA0" w14:textId="77777777" w:rsidR="001E1A72" w:rsidRPr="00E11FC2" w:rsidRDefault="001E1A72" w:rsidP="005C5190">
            <w:pPr>
              <w:pStyle w:val="Compact"/>
              <w:rPr>
                <w:rFonts w:ascii="Arial" w:hAnsi="Arial" w:cs="Arial"/>
                <w:sz w:val="20"/>
                <w:szCs w:val="20"/>
                <w:lang w:val="en-GB"/>
              </w:rPr>
            </w:pPr>
          </w:p>
        </w:tc>
        <w:tc>
          <w:tcPr>
            <w:tcW w:w="985" w:type="pct"/>
          </w:tcPr>
          <w:p w14:paraId="2301E416"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Dendrophylliidae</w:t>
            </w:r>
          </w:p>
        </w:tc>
        <w:tc>
          <w:tcPr>
            <w:tcW w:w="984" w:type="pct"/>
          </w:tcPr>
          <w:p w14:paraId="1A97D51E"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Balanophyllia</w:t>
            </w:r>
          </w:p>
        </w:tc>
        <w:tc>
          <w:tcPr>
            <w:tcW w:w="1214" w:type="pct"/>
          </w:tcPr>
          <w:p w14:paraId="4DD7B16B"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1963, 1968</w:t>
            </w:r>
          </w:p>
        </w:tc>
      </w:tr>
      <w:tr w:rsidR="001E1A72" w:rsidRPr="00E11FC2" w14:paraId="4CDB68BA" w14:textId="77777777" w:rsidTr="005C5190">
        <w:trPr>
          <w:trHeight w:val="315"/>
        </w:trPr>
        <w:tc>
          <w:tcPr>
            <w:tcW w:w="759" w:type="pct"/>
          </w:tcPr>
          <w:p w14:paraId="2CD10168" w14:textId="77777777" w:rsidR="001E1A72" w:rsidRPr="00E11FC2" w:rsidRDefault="001E1A72" w:rsidP="005C5190">
            <w:pPr>
              <w:pStyle w:val="Compact"/>
              <w:rPr>
                <w:rFonts w:ascii="Arial" w:hAnsi="Arial" w:cs="Arial"/>
                <w:sz w:val="20"/>
                <w:szCs w:val="20"/>
                <w:lang w:val="en-GB"/>
              </w:rPr>
            </w:pPr>
          </w:p>
        </w:tc>
        <w:tc>
          <w:tcPr>
            <w:tcW w:w="529" w:type="pct"/>
          </w:tcPr>
          <w:p w14:paraId="692FBDC8" w14:textId="77777777" w:rsidR="001E1A72" w:rsidRPr="00E11FC2" w:rsidRDefault="001E1A72" w:rsidP="005C5190">
            <w:pPr>
              <w:pStyle w:val="Compact"/>
              <w:rPr>
                <w:rFonts w:ascii="Arial" w:hAnsi="Arial" w:cs="Arial"/>
                <w:sz w:val="20"/>
                <w:szCs w:val="20"/>
                <w:lang w:val="en-GB"/>
              </w:rPr>
            </w:pPr>
          </w:p>
        </w:tc>
        <w:tc>
          <w:tcPr>
            <w:tcW w:w="528" w:type="pct"/>
          </w:tcPr>
          <w:p w14:paraId="67909B0A" w14:textId="77777777" w:rsidR="001E1A72" w:rsidRPr="00E11FC2" w:rsidRDefault="001E1A72" w:rsidP="005C5190">
            <w:pPr>
              <w:pStyle w:val="Compact"/>
              <w:rPr>
                <w:rFonts w:ascii="Arial" w:hAnsi="Arial" w:cs="Arial"/>
                <w:sz w:val="20"/>
                <w:szCs w:val="20"/>
                <w:lang w:val="en-GB"/>
              </w:rPr>
            </w:pPr>
          </w:p>
        </w:tc>
        <w:tc>
          <w:tcPr>
            <w:tcW w:w="985" w:type="pct"/>
          </w:tcPr>
          <w:p w14:paraId="3198B25D" w14:textId="77777777" w:rsidR="001E1A72" w:rsidRPr="00E11FC2" w:rsidRDefault="001E1A72" w:rsidP="005C5190">
            <w:pPr>
              <w:pStyle w:val="Compact"/>
              <w:rPr>
                <w:rFonts w:ascii="Arial" w:hAnsi="Arial" w:cs="Arial"/>
                <w:sz w:val="20"/>
                <w:szCs w:val="20"/>
                <w:lang w:val="en-GB"/>
              </w:rPr>
            </w:pPr>
          </w:p>
        </w:tc>
        <w:tc>
          <w:tcPr>
            <w:tcW w:w="984" w:type="pct"/>
          </w:tcPr>
          <w:p w14:paraId="49FF6A8F"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Dendrophyllia</w:t>
            </w:r>
          </w:p>
        </w:tc>
        <w:tc>
          <w:tcPr>
            <w:tcW w:w="1214" w:type="pct"/>
          </w:tcPr>
          <w:p w14:paraId="66A7C271"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1957</w:t>
            </w:r>
          </w:p>
        </w:tc>
      </w:tr>
      <w:tr w:rsidR="001E1A72" w:rsidRPr="00E11FC2" w14:paraId="4B0FDE5F" w14:textId="77777777" w:rsidTr="005C5190">
        <w:trPr>
          <w:trHeight w:val="302"/>
        </w:trPr>
        <w:tc>
          <w:tcPr>
            <w:tcW w:w="759" w:type="pct"/>
          </w:tcPr>
          <w:p w14:paraId="184D9531" w14:textId="77777777" w:rsidR="001E1A72" w:rsidRPr="00E11FC2" w:rsidRDefault="001E1A72" w:rsidP="005C5190">
            <w:pPr>
              <w:pStyle w:val="Compact"/>
              <w:rPr>
                <w:rFonts w:ascii="Arial" w:hAnsi="Arial" w:cs="Arial"/>
                <w:sz w:val="20"/>
                <w:szCs w:val="20"/>
                <w:lang w:val="en-GB"/>
              </w:rPr>
            </w:pPr>
          </w:p>
        </w:tc>
        <w:tc>
          <w:tcPr>
            <w:tcW w:w="529" w:type="pct"/>
          </w:tcPr>
          <w:p w14:paraId="736148AC" w14:textId="77777777" w:rsidR="001E1A72" w:rsidRPr="00E11FC2" w:rsidRDefault="001E1A72" w:rsidP="005C5190">
            <w:pPr>
              <w:pStyle w:val="Compact"/>
              <w:rPr>
                <w:rFonts w:ascii="Arial" w:hAnsi="Arial" w:cs="Arial"/>
                <w:sz w:val="20"/>
                <w:szCs w:val="20"/>
                <w:lang w:val="en-GB"/>
              </w:rPr>
            </w:pPr>
          </w:p>
        </w:tc>
        <w:tc>
          <w:tcPr>
            <w:tcW w:w="528" w:type="pct"/>
          </w:tcPr>
          <w:p w14:paraId="762DE073" w14:textId="77777777" w:rsidR="001E1A72" w:rsidRPr="00E11FC2" w:rsidRDefault="001E1A72" w:rsidP="005C5190">
            <w:pPr>
              <w:pStyle w:val="Compact"/>
              <w:rPr>
                <w:rFonts w:ascii="Arial" w:hAnsi="Arial" w:cs="Arial"/>
                <w:sz w:val="20"/>
                <w:szCs w:val="20"/>
                <w:lang w:val="en-GB"/>
              </w:rPr>
            </w:pPr>
          </w:p>
        </w:tc>
        <w:tc>
          <w:tcPr>
            <w:tcW w:w="985" w:type="pct"/>
          </w:tcPr>
          <w:p w14:paraId="59088041"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Flabellidae</w:t>
            </w:r>
          </w:p>
        </w:tc>
        <w:tc>
          <w:tcPr>
            <w:tcW w:w="984" w:type="pct"/>
          </w:tcPr>
          <w:p w14:paraId="362D2DC8"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Javania</w:t>
            </w:r>
          </w:p>
        </w:tc>
        <w:tc>
          <w:tcPr>
            <w:tcW w:w="1214" w:type="pct"/>
          </w:tcPr>
          <w:p w14:paraId="7E422845"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1963</w:t>
            </w:r>
          </w:p>
        </w:tc>
      </w:tr>
      <w:tr w:rsidR="001E1A72" w:rsidRPr="00E11FC2" w14:paraId="0DFC8526" w14:textId="77777777" w:rsidTr="005C5190">
        <w:trPr>
          <w:trHeight w:val="302"/>
        </w:trPr>
        <w:tc>
          <w:tcPr>
            <w:tcW w:w="759" w:type="pct"/>
          </w:tcPr>
          <w:p w14:paraId="3AD2AD5E" w14:textId="77777777" w:rsidR="001E1A72" w:rsidRPr="00E11FC2" w:rsidRDefault="001E1A72" w:rsidP="005C5190">
            <w:pPr>
              <w:pStyle w:val="Compact"/>
              <w:rPr>
                <w:rFonts w:ascii="Arial" w:hAnsi="Arial" w:cs="Arial"/>
                <w:sz w:val="20"/>
                <w:szCs w:val="20"/>
                <w:lang w:val="en-GB"/>
              </w:rPr>
            </w:pPr>
          </w:p>
        </w:tc>
        <w:tc>
          <w:tcPr>
            <w:tcW w:w="529" w:type="pct"/>
          </w:tcPr>
          <w:p w14:paraId="3F51B43C" w14:textId="77777777" w:rsidR="001E1A72" w:rsidRPr="00E11FC2" w:rsidRDefault="001E1A72" w:rsidP="005C5190">
            <w:pPr>
              <w:pStyle w:val="Compact"/>
              <w:rPr>
                <w:rFonts w:ascii="Arial" w:hAnsi="Arial" w:cs="Arial"/>
                <w:sz w:val="20"/>
                <w:szCs w:val="20"/>
                <w:lang w:val="en-GB"/>
              </w:rPr>
            </w:pPr>
          </w:p>
        </w:tc>
        <w:tc>
          <w:tcPr>
            <w:tcW w:w="528" w:type="pct"/>
          </w:tcPr>
          <w:p w14:paraId="3C7C2768" w14:textId="77777777" w:rsidR="001E1A72" w:rsidRPr="00E11FC2" w:rsidRDefault="001E1A72" w:rsidP="005C5190">
            <w:pPr>
              <w:pStyle w:val="Compact"/>
              <w:rPr>
                <w:rFonts w:ascii="Arial" w:hAnsi="Arial" w:cs="Arial"/>
                <w:sz w:val="20"/>
                <w:szCs w:val="20"/>
                <w:lang w:val="en-GB"/>
              </w:rPr>
            </w:pPr>
          </w:p>
        </w:tc>
        <w:tc>
          <w:tcPr>
            <w:tcW w:w="985" w:type="pct"/>
          </w:tcPr>
          <w:p w14:paraId="020090CF"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Guyniidae</w:t>
            </w:r>
          </w:p>
        </w:tc>
        <w:tc>
          <w:tcPr>
            <w:tcW w:w="984" w:type="pct"/>
          </w:tcPr>
          <w:p w14:paraId="6AC0085F"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Guynia</w:t>
            </w:r>
          </w:p>
        </w:tc>
        <w:tc>
          <w:tcPr>
            <w:tcW w:w="1214" w:type="pct"/>
          </w:tcPr>
          <w:p w14:paraId="640E270A"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1963</w:t>
            </w:r>
          </w:p>
        </w:tc>
      </w:tr>
      <w:tr w:rsidR="001E1A72" w:rsidRPr="00E11FC2" w14:paraId="2D9576A4" w14:textId="77777777" w:rsidTr="005C5190">
        <w:trPr>
          <w:trHeight w:val="302"/>
        </w:trPr>
        <w:tc>
          <w:tcPr>
            <w:tcW w:w="759" w:type="pct"/>
          </w:tcPr>
          <w:p w14:paraId="2B8CC677" w14:textId="77777777" w:rsidR="001E1A72" w:rsidRPr="00E11FC2" w:rsidRDefault="001E1A72" w:rsidP="005C5190">
            <w:pPr>
              <w:pStyle w:val="Compact"/>
              <w:rPr>
                <w:rFonts w:ascii="Arial" w:hAnsi="Arial" w:cs="Arial"/>
                <w:sz w:val="20"/>
                <w:szCs w:val="20"/>
                <w:lang w:val="en-GB"/>
              </w:rPr>
            </w:pPr>
          </w:p>
        </w:tc>
        <w:tc>
          <w:tcPr>
            <w:tcW w:w="529" w:type="pct"/>
          </w:tcPr>
          <w:p w14:paraId="52A69DE5" w14:textId="77777777" w:rsidR="001E1A72" w:rsidRPr="00E11FC2" w:rsidRDefault="001E1A72" w:rsidP="005C5190">
            <w:pPr>
              <w:pStyle w:val="Compact"/>
              <w:rPr>
                <w:rFonts w:ascii="Arial" w:hAnsi="Arial" w:cs="Arial"/>
                <w:sz w:val="20"/>
                <w:szCs w:val="20"/>
                <w:lang w:val="en-GB"/>
              </w:rPr>
            </w:pPr>
          </w:p>
        </w:tc>
        <w:tc>
          <w:tcPr>
            <w:tcW w:w="528" w:type="pct"/>
          </w:tcPr>
          <w:p w14:paraId="5D042BC9" w14:textId="77777777" w:rsidR="001E1A72" w:rsidRPr="00E11FC2" w:rsidRDefault="001E1A72" w:rsidP="005C5190">
            <w:pPr>
              <w:pStyle w:val="Compact"/>
              <w:rPr>
                <w:rFonts w:ascii="Arial" w:hAnsi="Arial" w:cs="Arial"/>
                <w:sz w:val="20"/>
                <w:szCs w:val="20"/>
                <w:lang w:val="en-GB"/>
              </w:rPr>
            </w:pPr>
          </w:p>
        </w:tc>
        <w:tc>
          <w:tcPr>
            <w:tcW w:w="985" w:type="pct"/>
          </w:tcPr>
          <w:p w14:paraId="0410B6CF"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Oculinidae</w:t>
            </w:r>
          </w:p>
        </w:tc>
        <w:tc>
          <w:tcPr>
            <w:tcW w:w="984" w:type="pct"/>
          </w:tcPr>
          <w:p w14:paraId="1041CF2F"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Madrepora</w:t>
            </w:r>
          </w:p>
        </w:tc>
        <w:tc>
          <w:tcPr>
            <w:tcW w:w="1214" w:type="pct"/>
          </w:tcPr>
          <w:p w14:paraId="47B60974"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1968</w:t>
            </w:r>
          </w:p>
        </w:tc>
      </w:tr>
      <w:tr w:rsidR="001E1A72" w:rsidRPr="00E11FC2" w14:paraId="740DFF9B" w14:textId="77777777" w:rsidTr="005C5190">
        <w:trPr>
          <w:trHeight w:val="302"/>
        </w:trPr>
        <w:tc>
          <w:tcPr>
            <w:tcW w:w="759" w:type="pct"/>
          </w:tcPr>
          <w:p w14:paraId="59F540B3" w14:textId="77777777" w:rsidR="001E1A72" w:rsidRPr="00E11FC2" w:rsidRDefault="001E1A72" w:rsidP="005C5190">
            <w:pPr>
              <w:pStyle w:val="Compact"/>
              <w:rPr>
                <w:rFonts w:ascii="Arial" w:hAnsi="Arial" w:cs="Arial"/>
                <w:sz w:val="20"/>
                <w:szCs w:val="20"/>
                <w:lang w:val="en-GB"/>
              </w:rPr>
            </w:pPr>
          </w:p>
        </w:tc>
        <w:tc>
          <w:tcPr>
            <w:tcW w:w="529" w:type="pct"/>
          </w:tcPr>
          <w:p w14:paraId="30C00C0A" w14:textId="77777777" w:rsidR="001E1A72" w:rsidRPr="00E11FC2" w:rsidRDefault="001E1A72" w:rsidP="005C5190">
            <w:pPr>
              <w:pStyle w:val="Compact"/>
              <w:rPr>
                <w:rFonts w:ascii="Arial" w:hAnsi="Arial" w:cs="Arial"/>
                <w:sz w:val="20"/>
                <w:szCs w:val="20"/>
                <w:lang w:val="en-GB"/>
              </w:rPr>
            </w:pPr>
          </w:p>
        </w:tc>
        <w:tc>
          <w:tcPr>
            <w:tcW w:w="528" w:type="pct"/>
          </w:tcPr>
          <w:p w14:paraId="529A9C85" w14:textId="77777777" w:rsidR="001E1A72" w:rsidRPr="00E11FC2" w:rsidRDefault="001E1A72" w:rsidP="005C5190">
            <w:pPr>
              <w:pStyle w:val="Compact"/>
              <w:rPr>
                <w:rFonts w:ascii="Arial" w:hAnsi="Arial" w:cs="Arial"/>
                <w:sz w:val="20"/>
                <w:szCs w:val="20"/>
                <w:lang w:val="en-GB"/>
              </w:rPr>
            </w:pPr>
          </w:p>
        </w:tc>
        <w:tc>
          <w:tcPr>
            <w:tcW w:w="985" w:type="pct"/>
          </w:tcPr>
          <w:p w14:paraId="10737FB3"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Rhizangiidae</w:t>
            </w:r>
          </w:p>
        </w:tc>
        <w:tc>
          <w:tcPr>
            <w:tcW w:w="984" w:type="pct"/>
          </w:tcPr>
          <w:p w14:paraId="39F6A04A"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Astrangia</w:t>
            </w:r>
          </w:p>
        </w:tc>
        <w:tc>
          <w:tcPr>
            <w:tcW w:w="1214" w:type="pct"/>
          </w:tcPr>
          <w:p w14:paraId="456FFB71"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1963, 1968</w:t>
            </w:r>
          </w:p>
        </w:tc>
      </w:tr>
      <w:tr w:rsidR="001E1A72" w:rsidRPr="00E11FC2" w14:paraId="2049B519" w14:textId="77777777" w:rsidTr="005C5190">
        <w:trPr>
          <w:trHeight w:val="302"/>
        </w:trPr>
        <w:tc>
          <w:tcPr>
            <w:tcW w:w="759" w:type="pct"/>
            <w:tcBorders>
              <w:bottom w:val="single" w:sz="4" w:space="0" w:color="auto"/>
            </w:tcBorders>
          </w:tcPr>
          <w:p w14:paraId="5813CA2E" w14:textId="77777777" w:rsidR="001E1A72" w:rsidRPr="00E11FC2" w:rsidRDefault="001E1A72" w:rsidP="005C5190">
            <w:pPr>
              <w:pStyle w:val="Compact"/>
              <w:rPr>
                <w:rFonts w:ascii="Arial" w:hAnsi="Arial" w:cs="Arial"/>
                <w:sz w:val="20"/>
                <w:szCs w:val="20"/>
                <w:lang w:val="en-GB"/>
              </w:rPr>
            </w:pPr>
          </w:p>
        </w:tc>
        <w:tc>
          <w:tcPr>
            <w:tcW w:w="529" w:type="pct"/>
            <w:tcBorders>
              <w:bottom w:val="single" w:sz="4" w:space="0" w:color="auto"/>
            </w:tcBorders>
          </w:tcPr>
          <w:p w14:paraId="0A401DB5" w14:textId="77777777" w:rsidR="001E1A72" w:rsidRPr="00E11FC2" w:rsidRDefault="001E1A72" w:rsidP="005C5190">
            <w:pPr>
              <w:pStyle w:val="Compact"/>
              <w:rPr>
                <w:rFonts w:ascii="Arial" w:hAnsi="Arial" w:cs="Arial"/>
                <w:sz w:val="20"/>
                <w:szCs w:val="20"/>
                <w:lang w:val="en-GB"/>
              </w:rPr>
            </w:pPr>
          </w:p>
        </w:tc>
        <w:tc>
          <w:tcPr>
            <w:tcW w:w="528" w:type="pct"/>
            <w:tcBorders>
              <w:bottom w:val="single" w:sz="4" w:space="0" w:color="auto"/>
            </w:tcBorders>
          </w:tcPr>
          <w:p w14:paraId="58C057CF" w14:textId="77777777" w:rsidR="001E1A72" w:rsidRPr="00E11FC2" w:rsidRDefault="001E1A72" w:rsidP="005C5190">
            <w:pPr>
              <w:pStyle w:val="Compact"/>
              <w:rPr>
                <w:rFonts w:ascii="Arial" w:hAnsi="Arial" w:cs="Arial"/>
                <w:sz w:val="20"/>
                <w:szCs w:val="20"/>
                <w:lang w:val="en-GB"/>
              </w:rPr>
            </w:pPr>
          </w:p>
        </w:tc>
        <w:tc>
          <w:tcPr>
            <w:tcW w:w="985" w:type="pct"/>
            <w:tcBorders>
              <w:bottom w:val="single" w:sz="4" w:space="0" w:color="auto"/>
            </w:tcBorders>
          </w:tcPr>
          <w:p w14:paraId="65F57CBC"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Turbinoliidae</w:t>
            </w:r>
          </w:p>
        </w:tc>
        <w:tc>
          <w:tcPr>
            <w:tcW w:w="984" w:type="pct"/>
            <w:tcBorders>
              <w:bottom w:val="single" w:sz="4" w:space="0" w:color="auto"/>
            </w:tcBorders>
          </w:tcPr>
          <w:p w14:paraId="15BF1EA7" w14:textId="77777777" w:rsidR="001E1A72" w:rsidRPr="00E11FC2" w:rsidRDefault="001E1A72" w:rsidP="005C5190">
            <w:pPr>
              <w:pStyle w:val="Compact"/>
              <w:rPr>
                <w:rFonts w:ascii="Arial" w:hAnsi="Arial" w:cs="Arial"/>
                <w:i/>
                <w:sz w:val="20"/>
                <w:szCs w:val="20"/>
                <w:lang w:val="en-GB"/>
              </w:rPr>
            </w:pPr>
            <w:r w:rsidRPr="00E11FC2">
              <w:rPr>
                <w:rFonts w:ascii="Arial" w:hAnsi="Arial" w:cs="Arial"/>
                <w:i/>
                <w:sz w:val="20"/>
                <w:szCs w:val="20"/>
                <w:lang w:val="en-GB"/>
              </w:rPr>
              <w:t>Sphenotrochus</w:t>
            </w:r>
          </w:p>
        </w:tc>
        <w:tc>
          <w:tcPr>
            <w:tcW w:w="1214" w:type="pct"/>
            <w:tcBorders>
              <w:bottom w:val="single" w:sz="4" w:space="0" w:color="auto"/>
            </w:tcBorders>
          </w:tcPr>
          <w:p w14:paraId="6007A4CA"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1963, 1968</w:t>
            </w:r>
          </w:p>
        </w:tc>
      </w:tr>
    </w:tbl>
    <w:p w14:paraId="46B54025" w14:textId="77777777" w:rsidR="001E1A72" w:rsidRPr="00E11FC2" w:rsidRDefault="001E1A72" w:rsidP="001E1A72">
      <w:pPr>
        <w:rPr>
          <w:rFonts w:ascii="Verdana" w:hAnsi="Verdana"/>
          <w:lang w:val="en-GB"/>
        </w:rPr>
      </w:pPr>
    </w:p>
    <w:p w14:paraId="326AB0E5" w14:textId="77777777" w:rsidR="001E1A72" w:rsidRPr="00E11FC2" w:rsidRDefault="001E1A72" w:rsidP="001E1A72">
      <w:pPr>
        <w:rPr>
          <w:rFonts w:ascii="Verdana" w:hAnsi="Verdana"/>
          <w:lang w:val="en-GB"/>
        </w:rPr>
      </w:pPr>
    </w:p>
    <w:p w14:paraId="421118C8" w14:textId="77777777" w:rsidR="001E1A72" w:rsidRPr="00E11FC2" w:rsidRDefault="001E1A72" w:rsidP="001E1A72">
      <w:pPr>
        <w:rPr>
          <w:rFonts w:ascii="Verdana" w:hAnsi="Verdana"/>
          <w:lang w:val="en-GB"/>
        </w:rPr>
      </w:pPr>
    </w:p>
    <w:p w14:paraId="24F09776" w14:textId="530EEED7" w:rsidR="001E1A72" w:rsidRPr="00E11FC2" w:rsidRDefault="001E1A72" w:rsidP="001E1A72">
      <w:pPr>
        <w:rPr>
          <w:rFonts w:ascii="Verdana" w:hAnsi="Verdana"/>
          <w:lang w:val="en-GB"/>
        </w:rPr>
      </w:pPr>
    </w:p>
    <w:p w14:paraId="3CEF4570" w14:textId="7EED9FD8" w:rsidR="001E1A72" w:rsidRPr="00E11FC2" w:rsidRDefault="00F800DF" w:rsidP="001E1A72">
      <w:pPr>
        <w:rPr>
          <w:rFonts w:ascii="Verdana" w:hAnsi="Verdana"/>
          <w:lang w:val="en-GB"/>
        </w:rPr>
      </w:pPr>
      <w:r w:rsidRPr="00E11FC2">
        <w:rPr>
          <w:noProof/>
        </w:rPr>
        <w:drawing>
          <wp:anchor distT="0" distB="0" distL="114300" distR="114300" simplePos="0" relativeHeight="251661312" behindDoc="0" locked="0" layoutInCell="1" allowOverlap="1" wp14:anchorId="43FD4C96" wp14:editId="7D1A1754">
            <wp:simplePos x="0" y="0"/>
            <wp:positionH relativeFrom="margin">
              <wp:align>left</wp:align>
            </wp:positionH>
            <wp:positionV relativeFrom="paragraph">
              <wp:posOffset>5715</wp:posOffset>
            </wp:positionV>
            <wp:extent cx="4618990" cy="3696970"/>
            <wp:effectExtent l="0" t="0" r="0" b="0"/>
            <wp:wrapSquare wrapText="bothSides"/>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Figs/unnamed-chunk-23-1.png"/>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4618990" cy="3696970"/>
                    </a:xfrm>
                    <a:prstGeom prst="rect">
                      <a:avLst/>
                    </a:prstGeom>
                    <a:noFill/>
                    <a:ln w="9525">
                      <a:noFill/>
                      <a:headEnd/>
                      <a:tailEnd/>
                    </a:ln>
                  </pic:spPr>
                </pic:pic>
              </a:graphicData>
            </a:graphic>
            <wp14:sizeRelH relativeFrom="page">
              <wp14:pctWidth>0</wp14:pctWidth>
            </wp14:sizeRelH>
            <wp14:sizeRelV relativeFrom="page">
              <wp14:pctHeight>0</wp14:pctHeight>
            </wp14:sizeRelV>
          </wp:anchor>
        </w:drawing>
      </w:r>
    </w:p>
    <w:p w14:paraId="42479CAC" w14:textId="77777777" w:rsidR="001E1A72" w:rsidRPr="00E11FC2" w:rsidRDefault="001E1A72" w:rsidP="001E1A72">
      <w:pPr>
        <w:rPr>
          <w:rFonts w:ascii="Verdana" w:hAnsi="Verdana"/>
          <w:lang w:val="en-GB"/>
        </w:rPr>
      </w:pPr>
    </w:p>
    <w:p w14:paraId="50525B29" w14:textId="77777777" w:rsidR="001E1A72" w:rsidRPr="00E11FC2" w:rsidRDefault="001E1A72" w:rsidP="001E1A72">
      <w:pPr>
        <w:rPr>
          <w:rFonts w:ascii="Verdana" w:hAnsi="Verdana"/>
          <w:lang w:val="en-GB"/>
        </w:rPr>
      </w:pPr>
    </w:p>
    <w:p w14:paraId="02800439" w14:textId="77777777" w:rsidR="001E1A72" w:rsidRPr="00E11FC2" w:rsidRDefault="001E1A72" w:rsidP="001E1A72">
      <w:pPr>
        <w:rPr>
          <w:rFonts w:ascii="Verdana" w:hAnsi="Verdana"/>
          <w:lang w:val="en-GB"/>
        </w:rPr>
      </w:pPr>
    </w:p>
    <w:p w14:paraId="042EA766" w14:textId="77777777" w:rsidR="001E1A72" w:rsidRPr="00E11FC2" w:rsidRDefault="001E1A72" w:rsidP="001E1A72">
      <w:pPr>
        <w:rPr>
          <w:rFonts w:ascii="Verdana" w:hAnsi="Verdana"/>
          <w:lang w:val="en-GB"/>
        </w:rPr>
      </w:pPr>
    </w:p>
    <w:p w14:paraId="0CD89960" w14:textId="77777777" w:rsidR="001E1A72" w:rsidRPr="00E11FC2" w:rsidRDefault="001E1A72" w:rsidP="001E1A72">
      <w:pPr>
        <w:rPr>
          <w:rFonts w:ascii="Verdana" w:hAnsi="Verdana"/>
          <w:lang w:val="en-GB"/>
        </w:rPr>
      </w:pPr>
    </w:p>
    <w:p w14:paraId="6C80AD83" w14:textId="77777777" w:rsidR="001E1A72" w:rsidRPr="00E11FC2" w:rsidRDefault="001E1A72" w:rsidP="001E1A72">
      <w:pPr>
        <w:rPr>
          <w:rFonts w:ascii="Verdana" w:hAnsi="Verdana"/>
          <w:lang w:val="en-GB"/>
        </w:rPr>
      </w:pPr>
    </w:p>
    <w:p w14:paraId="1F8D6DA3" w14:textId="77777777" w:rsidR="001E1A72" w:rsidRPr="00E11FC2" w:rsidRDefault="001E1A72" w:rsidP="001E1A72">
      <w:pPr>
        <w:rPr>
          <w:rFonts w:ascii="Verdana" w:hAnsi="Verdana"/>
          <w:lang w:val="en-GB"/>
        </w:rPr>
      </w:pPr>
    </w:p>
    <w:p w14:paraId="0FB3BA25" w14:textId="77777777" w:rsidR="001E1A72" w:rsidRPr="00E11FC2" w:rsidRDefault="001E1A72" w:rsidP="001E1A72">
      <w:pPr>
        <w:rPr>
          <w:rFonts w:ascii="Verdana" w:hAnsi="Verdana"/>
          <w:lang w:val="en-GB"/>
        </w:rPr>
      </w:pPr>
    </w:p>
    <w:p w14:paraId="7CF8CC31" w14:textId="77777777" w:rsidR="001E1A72" w:rsidRPr="00E11FC2" w:rsidRDefault="001E1A72" w:rsidP="001E1A72">
      <w:pPr>
        <w:pStyle w:val="Heading1"/>
        <w:rPr>
          <w:lang w:val="en-GB"/>
        </w:rPr>
      </w:pPr>
    </w:p>
    <w:p w14:paraId="6FBE8130" w14:textId="77777777" w:rsidR="001E1A72" w:rsidRPr="00E11FC2" w:rsidRDefault="001E1A72" w:rsidP="001E1A72">
      <w:pPr>
        <w:pStyle w:val="Caption"/>
        <w:jc w:val="left"/>
      </w:pPr>
      <w:bookmarkStart w:id="33" w:name="_Ref512554819"/>
      <w:r w:rsidRPr="00E11FC2">
        <w:t xml:space="preserve">Figure </w:t>
      </w:r>
      <w:fldSimple w:instr=" SEQ Figure \* ARABIC ">
        <w:r w:rsidRPr="00E11FC2">
          <w:rPr>
            <w:noProof/>
          </w:rPr>
          <w:t>20</w:t>
        </w:r>
      </w:fldSimple>
      <w:bookmarkEnd w:id="33"/>
      <w:r w:rsidRPr="00E11FC2">
        <w:t xml:space="preserve"> Reported locations of observations for the three main sensitive taxonomic groups in OBIS.</w:t>
      </w:r>
    </w:p>
    <w:p w14:paraId="7A6F0558" w14:textId="77777777" w:rsidR="001E1A72" w:rsidRPr="00E11FC2" w:rsidRDefault="001E1A72" w:rsidP="001E1A72">
      <w:pPr>
        <w:pStyle w:val="Heading1"/>
        <w:rPr>
          <w:lang w:val="en-GB"/>
        </w:rPr>
      </w:pPr>
    </w:p>
    <w:p w14:paraId="37242902" w14:textId="77777777" w:rsidR="00897ABC" w:rsidRPr="00E11FC2" w:rsidRDefault="00897ABC" w:rsidP="001E1A72">
      <w:pPr>
        <w:jc w:val="both"/>
        <w:rPr>
          <w:rFonts w:ascii="Verdana" w:hAnsi="Verdana"/>
          <w:lang w:val="en-GB"/>
        </w:rPr>
      </w:pPr>
    </w:p>
    <w:p w14:paraId="73AA3436" w14:textId="77777777" w:rsidR="00897ABC" w:rsidRPr="00E11FC2" w:rsidRDefault="00897ABC" w:rsidP="001E1A72">
      <w:pPr>
        <w:jc w:val="both"/>
        <w:rPr>
          <w:rFonts w:ascii="Verdana" w:hAnsi="Verdana"/>
          <w:lang w:val="en-GB"/>
        </w:rPr>
      </w:pPr>
    </w:p>
    <w:p w14:paraId="57E4C8F9" w14:textId="77777777" w:rsidR="00897ABC" w:rsidRPr="00E11FC2" w:rsidRDefault="00897ABC" w:rsidP="001E1A72">
      <w:pPr>
        <w:jc w:val="both"/>
        <w:rPr>
          <w:rFonts w:ascii="Verdana" w:hAnsi="Verdana"/>
          <w:lang w:val="en-GB"/>
        </w:rPr>
      </w:pPr>
    </w:p>
    <w:p w14:paraId="0FA8ACDD" w14:textId="77777777" w:rsidR="00897ABC" w:rsidRPr="00E11FC2" w:rsidRDefault="00897ABC" w:rsidP="001E1A72">
      <w:pPr>
        <w:jc w:val="both"/>
        <w:rPr>
          <w:rFonts w:ascii="Verdana" w:hAnsi="Verdana"/>
          <w:lang w:val="en-GB"/>
        </w:rPr>
      </w:pPr>
    </w:p>
    <w:p w14:paraId="6FCCB1AA" w14:textId="77777777" w:rsidR="00897ABC" w:rsidRPr="00E11FC2" w:rsidRDefault="00897ABC" w:rsidP="001E1A72">
      <w:pPr>
        <w:jc w:val="both"/>
        <w:rPr>
          <w:rFonts w:ascii="Verdana" w:hAnsi="Verdana"/>
          <w:lang w:val="en-GB"/>
        </w:rPr>
      </w:pPr>
    </w:p>
    <w:p w14:paraId="1EB75478" w14:textId="77777777" w:rsidR="00897ABC" w:rsidRPr="00E11FC2" w:rsidRDefault="00897ABC" w:rsidP="001E1A72">
      <w:pPr>
        <w:jc w:val="both"/>
        <w:rPr>
          <w:rFonts w:ascii="Verdana" w:hAnsi="Verdana"/>
          <w:lang w:val="en-GB"/>
        </w:rPr>
      </w:pPr>
    </w:p>
    <w:p w14:paraId="102D0B5D" w14:textId="1AC8A6E5" w:rsidR="001E1A72" w:rsidRPr="00E11FC2" w:rsidRDefault="001E1A72" w:rsidP="00897ABC">
      <w:pPr>
        <w:spacing w:line="360" w:lineRule="auto"/>
        <w:jc w:val="both"/>
        <w:rPr>
          <w:rFonts w:ascii="Verdana" w:hAnsi="Verdana"/>
          <w:sz w:val="20"/>
          <w:szCs w:val="20"/>
          <w:lang w:val="en-GB"/>
        </w:rPr>
      </w:pPr>
      <w:r w:rsidRPr="00E11FC2">
        <w:rPr>
          <w:rFonts w:ascii="Verdana" w:hAnsi="Verdana"/>
          <w:sz w:val="20"/>
          <w:szCs w:val="20"/>
          <w:lang w:val="en-GB"/>
        </w:rPr>
        <w:t xml:space="preserve">It must be noted that many of these observations are decades old and their position information is consequently not precise. For example, the observation of Scleractinia near the coast, where the seafloor is likely to be muddy is potentially a positioning error. The observations of Alcyonacea and Scleractinia further towards the shelf edge, where </w:t>
      </w:r>
      <w:r w:rsidRPr="00E11FC2">
        <w:rPr>
          <w:rFonts w:ascii="Verdana" w:hAnsi="Verdana"/>
          <w:sz w:val="20"/>
          <w:szCs w:val="20"/>
          <w:lang w:val="en-GB"/>
        </w:rPr>
        <w:lastRenderedPageBreak/>
        <w:t>elevation data indicates shallower more variable bathymetry, and hence potentially harder substrata, are more likely to be accurate. Dedicated survey effort would be required to confirm the continued presence of the taxa and whether they occur in abundances that would correspond to a vulnerable habitat. The data are presented here as an indication only, to allow planning for future investigations to be targeted, should they be required.</w:t>
      </w:r>
    </w:p>
    <w:p w14:paraId="2B19B525" w14:textId="77777777" w:rsidR="001E1A72" w:rsidRPr="00E11FC2" w:rsidRDefault="001E1A72" w:rsidP="001E1A72">
      <w:pPr>
        <w:rPr>
          <w:rFonts w:ascii="Verdana" w:hAnsi="Verdana"/>
          <w:lang w:val="en-GB"/>
        </w:rPr>
      </w:pPr>
    </w:p>
    <w:p w14:paraId="1447156D" w14:textId="3E3196CA" w:rsidR="001E1A72" w:rsidRPr="00E11FC2" w:rsidRDefault="000215ED" w:rsidP="000215ED">
      <w:pPr>
        <w:pStyle w:val="Heading1"/>
        <w:rPr>
          <w:lang w:val="en-GB"/>
        </w:rPr>
      </w:pPr>
      <w:bookmarkStart w:id="34" w:name="_Toc512593422"/>
      <w:bookmarkStart w:id="35" w:name="_Toc512867206"/>
      <w:r w:rsidRPr="00E11FC2">
        <w:rPr>
          <w:lang w:val="en-GB"/>
        </w:rPr>
        <w:t>6</w:t>
      </w:r>
      <w:r w:rsidR="001E1A72" w:rsidRPr="00E11FC2">
        <w:rPr>
          <w:lang w:val="en-GB"/>
        </w:rPr>
        <w:t>. Seabob fishery impact on habitats</w:t>
      </w:r>
      <w:bookmarkEnd w:id="34"/>
      <w:bookmarkEnd w:id="35"/>
    </w:p>
    <w:p w14:paraId="060DA6EE" w14:textId="3C9E9304" w:rsidR="001E1A72" w:rsidRPr="00E11FC2" w:rsidRDefault="000215ED" w:rsidP="000215ED">
      <w:pPr>
        <w:pStyle w:val="Heading2"/>
        <w:rPr>
          <w:lang w:val="en-GB"/>
        </w:rPr>
      </w:pPr>
      <w:bookmarkStart w:id="36" w:name="_Toc512593423"/>
      <w:bookmarkStart w:id="37" w:name="_Toc512867207"/>
      <w:r w:rsidRPr="00E11FC2">
        <w:rPr>
          <w:lang w:val="en-GB"/>
        </w:rPr>
        <w:t>6</w:t>
      </w:r>
      <w:r w:rsidR="001E1A72" w:rsidRPr="00E11FC2">
        <w:rPr>
          <w:lang w:val="en-GB"/>
        </w:rPr>
        <w:t>.1 Distribution of fishing activity</w:t>
      </w:r>
      <w:bookmarkEnd w:id="36"/>
      <w:bookmarkEnd w:id="37"/>
    </w:p>
    <w:p w14:paraId="54C9B201" w14:textId="77777777" w:rsidR="001E1A72" w:rsidRPr="00E11FC2" w:rsidRDefault="001E1A72" w:rsidP="00897ABC">
      <w:pPr>
        <w:spacing w:before="120" w:line="360" w:lineRule="auto"/>
        <w:jc w:val="both"/>
        <w:rPr>
          <w:rFonts w:ascii="Verdana" w:hAnsi="Verdana"/>
          <w:sz w:val="20"/>
          <w:szCs w:val="20"/>
          <w:lang w:val="en-GB"/>
        </w:rPr>
      </w:pPr>
      <w:r w:rsidRPr="00E11FC2">
        <w:rPr>
          <w:rFonts w:ascii="Verdana" w:hAnsi="Verdana"/>
          <w:sz w:val="20"/>
          <w:szCs w:val="20"/>
          <w:lang w:val="en-GB"/>
        </w:rPr>
        <w:t>The area that is currently being fished was estimated from the accumulated Vessel Monitoring System (VMS) pings from 2015 (Fig. 21a). Individual pings were filtered to those most likely to represent actual fishing activity by removing all records with no information on vessel speed or a recorded speed above 4 knots. The remaining pings were plotted on the habitat map. The distribution of fishing effort was generalised into a raster layer using the density function from the ‘spatstat’ package (Baddeley et al. 2015) which computes a kernel smoothed intensity function from a user provided point pattern. The function was run using the default settings with a gaussian smoother and the sigma value for the kernel set at 2000 m.</w:t>
      </w:r>
    </w:p>
    <w:p w14:paraId="58BEBD62" w14:textId="77777777" w:rsidR="001E1A72" w:rsidRPr="00E11FC2" w:rsidRDefault="001E1A72" w:rsidP="00897ABC">
      <w:pPr>
        <w:spacing w:line="360" w:lineRule="auto"/>
        <w:jc w:val="both"/>
        <w:rPr>
          <w:rFonts w:ascii="Verdana" w:hAnsi="Verdana"/>
          <w:sz w:val="20"/>
          <w:szCs w:val="20"/>
          <w:lang w:val="en-GB"/>
        </w:rPr>
      </w:pPr>
    </w:p>
    <w:p w14:paraId="28743D75" w14:textId="77777777" w:rsidR="001E1A72" w:rsidRPr="00E11FC2" w:rsidRDefault="001E1A72" w:rsidP="00897ABC">
      <w:pPr>
        <w:spacing w:line="360" w:lineRule="auto"/>
        <w:jc w:val="both"/>
        <w:rPr>
          <w:rFonts w:ascii="Verdana" w:hAnsi="Verdana"/>
          <w:sz w:val="20"/>
          <w:szCs w:val="20"/>
          <w:lang w:val="en-GB"/>
        </w:rPr>
      </w:pPr>
      <w:r w:rsidRPr="00E11FC2">
        <w:rPr>
          <w:rFonts w:ascii="Verdana" w:hAnsi="Verdana"/>
          <w:sz w:val="20"/>
          <w:szCs w:val="20"/>
          <w:lang w:val="en-GB"/>
        </w:rPr>
        <w:t xml:space="preserve">The density raster was further reclassified into four levels of intensity of fishing effort, by using the quartiles of observed ping density (0-25%, 25-50%, 50-75%, 75-100%). Fishing is evenly distributed across the fishing footprint, which covers a clearly defined area (Fig. 21b).  </w:t>
      </w:r>
    </w:p>
    <w:p w14:paraId="0E6677B7" w14:textId="77777777" w:rsidR="001E1A72" w:rsidRPr="00E11FC2" w:rsidRDefault="001E1A72" w:rsidP="001E1A72">
      <w:pPr>
        <w:pStyle w:val="TOC2"/>
      </w:pPr>
    </w:p>
    <w:p w14:paraId="0C0B6287" w14:textId="77777777" w:rsidR="001E1A72" w:rsidRPr="00E11FC2" w:rsidRDefault="001E1A72" w:rsidP="001E1A72">
      <w:pPr>
        <w:pStyle w:val="TOC2"/>
      </w:pPr>
      <w:r w:rsidRPr="00E11FC2">
        <w:rPr>
          <w:noProof/>
          <w:lang w:val="en-US"/>
        </w:rPr>
        <w:drawing>
          <wp:inline distT="0" distB="0" distL="0" distR="0" wp14:anchorId="4C49DFB7" wp14:editId="49184799">
            <wp:extent cx="5746041" cy="2456953"/>
            <wp:effectExtent l="0" t="0" r="762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MSplot.jpeg"/>
                    <pic:cNvPicPr/>
                  </pic:nvPicPr>
                  <pic:blipFill rotWithShape="1">
                    <a:blip r:embed="rId36">
                      <a:extLst>
                        <a:ext uri="{28A0092B-C50C-407E-A947-70E740481C1C}">
                          <a14:useLocalDpi xmlns:a14="http://schemas.microsoft.com/office/drawing/2010/main" val="0"/>
                        </a:ext>
                      </a:extLst>
                    </a:blip>
                    <a:srcRect l="7051" t="14840" r="6410" b="15203"/>
                    <a:stretch/>
                  </pic:blipFill>
                  <pic:spPr bwMode="auto">
                    <a:xfrm>
                      <a:off x="0" y="0"/>
                      <a:ext cx="5752851" cy="2459865"/>
                    </a:xfrm>
                    <a:prstGeom prst="rect">
                      <a:avLst/>
                    </a:prstGeom>
                    <a:ln>
                      <a:noFill/>
                    </a:ln>
                    <a:extLst>
                      <a:ext uri="{53640926-AAD7-44D8-BBD7-CCE9431645EC}">
                        <a14:shadowObscured xmlns:a14="http://schemas.microsoft.com/office/drawing/2010/main"/>
                      </a:ext>
                    </a:extLst>
                  </pic:spPr>
                </pic:pic>
              </a:graphicData>
            </a:graphic>
          </wp:inline>
        </w:drawing>
      </w:r>
    </w:p>
    <w:p w14:paraId="2BCF8D9E" w14:textId="77777777" w:rsidR="001E1A72" w:rsidRPr="00E11FC2" w:rsidRDefault="001E1A72" w:rsidP="001E1A72">
      <w:pPr>
        <w:pStyle w:val="Caption"/>
        <w:rPr>
          <w:rFonts w:ascii="Arial" w:hAnsi="Arial" w:cs="Arial"/>
          <w:sz w:val="20"/>
          <w:szCs w:val="20"/>
        </w:rPr>
      </w:pPr>
      <w:bookmarkStart w:id="38" w:name="_Ref512555746"/>
    </w:p>
    <w:p w14:paraId="54789F31" w14:textId="77777777" w:rsidR="001E1A72" w:rsidRPr="00E11FC2" w:rsidRDefault="001E1A72" w:rsidP="001E1A72">
      <w:pPr>
        <w:pStyle w:val="Caption"/>
        <w:rPr>
          <w:rFonts w:ascii="Arial" w:hAnsi="Arial" w:cs="Arial"/>
          <w:sz w:val="20"/>
          <w:szCs w:val="20"/>
        </w:rPr>
      </w:pPr>
      <w:r w:rsidRPr="00E11FC2">
        <w:rPr>
          <w:rFonts w:ascii="Arial" w:hAnsi="Arial" w:cs="Arial"/>
          <w:sz w:val="20"/>
          <w:szCs w:val="20"/>
        </w:rPr>
        <w:t xml:space="preserve">Figure </w:t>
      </w:r>
      <w:r w:rsidRPr="00E11FC2">
        <w:rPr>
          <w:rFonts w:ascii="Arial" w:hAnsi="Arial" w:cs="Arial"/>
          <w:sz w:val="20"/>
          <w:szCs w:val="20"/>
        </w:rPr>
        <w:fldChar w:fldCharType="begin"/>
      </w:r>
      <w:r w:rsidRPr="00E11FC2">
        <w:rPr>
          <w:rFonts w:ascii="Arial" w:hAnsi="Arial" w:cs="Arial"/>
          <w:sz w:val="20"/>
          <w:szCs w:val="20"/>
        </w:rPr>
        <w:instrText xml:space="preserve"> SEQ Figure \* ARABIC </w:instrText>
      </w:r>
      <w:r w:rsidRPr="00E11FC2">
        <w:rPr>
          <w:rFonts w:ascii="Arial" w:hAnsi="Arial" w:cs="Arial"/>
          <w:sz w:val="20"/>
          <w:szCs w:val="20"/>
        </w:rPr>
        <w:fldChar w:fldCharType="separate"/>
      </w:r>
      <w:r w:rsidRPr="00E11FC2">
        <w:rPr>
          <w:rFonts w:ascii="Arial" w:hAnsi="Arial" w:cs="Arial"/>
          <w:noProof/>
          <w:sz w:val="20"/>
          <w:szCs w:val="20"/>
        </w:rPr>
        <w:t>21</w:t>
      </w:r>
      <w:r w:rsidRPr="00E11FC2">
        <w:rPr>
          <w:rFonts w:ascii="Arial" w:hAnsi="Arial" w:cs="Arial"/>
          <w:noProof/>
          <w:sz w:val="20"/>
          <w:szCs w:val="20"/>
        </w:rPr>
        <w:fldChar w:fldCharType="end"/>
      </w:r>
      <w:bookmarkEnd w:id="38"/>
      <w:r w:rsidRPr="00E11FC2">
        <w:rPr>
          <w:rFonts w:ascii="Arial" w:hAnsi="Arial" w:cs="Arial"/>
          <w:sz w:val="20"/>
          <w:szCs w:val="20"/>
        </w:rPr>
        <w:t xml:space="preserve"> VMS pings from 2015 (a) and the kernel density raster (b) plotted using quartiles.</w:t>
      </w:r>
    </w:p>
    <w:p w14:paraId="32800EDE" w14:textId="77777777" w:rsidR="001E1A72" w:rsidRPr="00E11FC2" w:rsidRDefault="001E1A72" w:rsidP="001E1A72">
      <w:pPr>
        <w:pStyle w:val="TOC2"/>
      </w:pPr>
    </w:p>
    <w:p w14:paraId="75C71BFC" w14:textId="448E5282" w:rsidR="001E1A72" w:rsidRPr="00E11FC2" w:rsidRDefault="000215ED" w:rsidP="001E1A72">
      <w:pPr>
        <w:pStyle w:val="Heading2"/>
        <w:rPr>
          <w:lang w:val="en-GB"/>
        </w:rPr>
      </w:pPr>
      <w:bookmarkStart w:id="39" w:name="_Toc512593424"/>
      <w:bookmarkStart w:id="40" w:name="_Toc512867208"/>
      <w:r w:rsidRPr="00E11FC2">
        <w:rPr>
          <w:lang w:val="en-GB"/>
        </w:rPr>
        <w:lastRenderedPageBreak/>
        <w:t>6</w:t>
      </w:r>
      <w:r w:rsidR="001E1A72" w:rsidRPr="00E11FC2">
        <w:rPr>
          <w:lang w:val="en-GB"/>
        </w:rPr>
        <w:t>.2 Area of habitat types fished</w:t>
      </w:r>
      <w:bookmarkEnd w:id="39"/>
      <w:bookmarkEnd w:id="40"/>
    </w:p>
    <w:p w14:paraId="72897B5E" w14:textId="7F6E9EB0" w:rsidR="001E1A72" w:rsidRPr="00E11FC2" w:rsidRDefault="001E1A72" w:rsidP="0040340C">
      <w:pPr>
        <w:spacing w:before="120" w:line="360" w:lineRule="auto"/>
        <w:jc w:val="both"/>
        <w:rPr>
          <w:rFonts w:ascii="Verdana" w:hAnsi="Verdana"/>
          <w:sz w:val="20"/>
          <w:szCs w:val="20"/>
          <w:lang w:val="en-GB"/>
        </w:rPr>
      </w:pPr>
      <w:bookmarkStart w:id="41" w:name="there-are-port-names-with-date-format.-t"/>
      <w:bookmarkEnd w:id="41"/>
      <w:r w:rsidRPr="00E11FC2">
        <w:rPr>
          <w:rFonts w:ascii="Verdana" w:hAnsi="Verdana"/>
          <w:sz w:val="20"/>
          <w:szCs w:val="20"/>
          <w:lang w:val="en-GB"/>
        </w:rPr>
        <w:t>The habitat map and fishing footprint were cropped to the extent of the shelf waters within the Guyanese Exclusive Economic Zone (EEZ) to calculate the area of each habitat and sediment type, and the percentage of each overlapping the fishing footprint. Figure 22 shows the fishing footprint overlaid on the distribution of the eight physical habitat types (a) and the sediment types (b). Majority of the fishing effort is concentrated over ‘Marine circalittoral sand’ and ‘Marine circalittoral mud’, with some over ‘Marine infralittoral mud’ (Table 4 and Table 5).</w:t>
      </w:r>
    </w:p>
    <w:p w14:paraId="51CAB6A1" w14:textId="77777777" w:rsidR="0040340C" w:rsidRPr="00E11FC2" w:rsidRDefault="0040340C" w:rsidP="001E1A72">
      <w:pPr>
        <w:spacing w:before="120"/>
        <w:jc w:val="both"/>
        <w:rPr>
          <w:rFonts w:ascii="Verdana" w:hAnsi="Verdana"/>
          <w:lang w:val="en-GB"/>
        </w:rPr>
      </w:pPr>
    </w:p>
    <w:p w14:paraId="1F4EC9D9" w14:textId="77777777" w:rsidR="001E1A72" w:rsidRPr="00E11FC2" w:rsidRDefault="001E1A72" w:rsidP="001E1A72">
      <w:pPr>
        <w:jc w:val="both"/>
        <w:rPr>
          <w:rFonts w:ascii="Verdana" w:hAnsi="Verdana"/>
          <w:lang w:val="en-GB"/>
        </w:rPr>
      </w:pPr>
    </w:p>
    <w:p w14:paraId="2CA257AF" w14:textId="77777777" w:rsidR="001E1A72" w:rsidRPr="00E11FC2" w:rsidRDefault="001E1A72" w:rsidP="001E1A72">
      <w:pPr>
        <w:jc w:val="both"/>
        <w:rPr>
          <w:rFonts w:ascii="Verdana" w:hAnsi="Verdana"/>
          <w:lang w:val="en-GB"/>
        </w:rPr>
      </w:pPr>
      <w:r w:rsidRPr="00E11FC2">
        <w:rPr>
          <w:noProof/>
        </w:rPr>
        <w:drawing>
          <wp:inline distT="0" distB="0" distL="0" distR="0" wp14:anchorId="437F836F" wp14:editId="6DDC360E">
            <wp:extent cx="5319423" cy="2719346"/>
            <wp:effectExtent l="0" t="0" r="0" b="5080"/>
            <wp:docPr id="40" name="Picture"/>
            <wp:cNvGraphicFramePr/>
            <a:graphic xmlns:a="http://schemas.openxmlformats.org/drawingml/2006/main">
              <a:graphicData uri="http://schemas.openxmlformats.org/drawingml/2006/picture">
                <pic:pic xmlns:pic="http://schemas.openxmlformats.org/drawingml/2006/picture">
                  <pic:nvPicPr>
                    <pic:cNvPr id="0" name="Picture" descr="Figs/unnamed-chunk-24-1.png"/>
                    <pic:cNvPicPr>
                      <a:picLocks noChangeAspect="1" noChangeArrowheads="1"/>
                    </pic:cNvPicPr>
                  </pic:nvPicPr>
                  <pic:blipFill>
                    <a:blip r:embed="rId37"/>
                    <a:stretch>
                      <a:fillRect/>
                    </a:stretch>
                  </pic:blipFill>
                  <pic:spPr bwMode="auto">
                    <a:xfrm>
                      <a:off x="0" y="0"/>
                      <a:ext cx="5330975" cy="2725252"/>
                    </a:xfrm>
                    <a:prstGeom prst="rect">
                      <a:avLst/>
                    </a:prstGeom>
                    <a:noFill/>
                    <a:ln w="9525">
                      <a:noFill/>
                      <a:headEnd/>
                      <a:tailEnd/>
                    </a:ln>
                  </pic:spPr>
                </pic:pic>
              </a:graphicData>
            </a:graphic>
          </wp:inline>
        </w:drawing>
      </w:r>
    </w:p>
    <w:p w14:paraId="6B0AA3D9" w14:textId="07A440D0" w:rsidR="001E1A72" w:rsidRPr="00E11FC2" w:rsidRDefault="001E1A72" w:rsidP="001E1A72">
      <w:pPr>
        <w:pStyle w:val="Caption"/>
        <w:rPr>
          <w:rFonts w:ascii="Arial" w:hAnsi="Arial" w:cs="Arial"/>
          <w:sz w:val="20"/>
          <w:szCs w:val="20"/>
        </w:rPr>
      </w:pPr>
      <w:bookmarkStart w:id="42" w:name="_Ref512556374"/>
      <w:r w:rsidRPr="00E11FC2">
        <w:rPr>
          <w:rFonts w:ascii="Arial" w:hAnsi="Arial" w:cs="Arial"/>
          <w:sz w:val="20"/>
          <w:szCs w:val="20"/>
        </w:rPr>
        <w:t xml:space="preserve">Figure </w:t>
      </w:r>
      <w:r w:rsidRPr="00E11FC2">
        <w:rPr>
          <w:rFonts w:ascii="Arial" w:hAnsi="Arial" w:cs="Arial"/>
          <w:sz w:val="20"/>
          <w:szCs w:val="20"/>
        </w:rPr>
        <w:fldChar w:fldCharType="begin"/>
      </w:r>
      <w:r w:rsidRPr="00E11FC2">
        <w:rPr>
          <w:rFonts w:ascii="Arial" w:hAnsi="Arial" w:cs="Arial"/>
          <w:sz w:val="20"/>
          <w:szCs w:val="20"/>
        </w:rPr>
        <w:instrText xml:space="preserve"> SEQ Figure \* ARABIC </w:instrText>
      </w:r>
      <w:r w:rsidRPr="00E11FC2">
        <w:rPr>
          <w:rFonts w:ascii="Arial" w:hAnsi="Arial" w:cs="Arial"/>
          <w:sz w:val="20"/>
          <w:szCs w:val="20"/>
        </w:rPr>
        <w:fldChar w:fldCharType="separate"/>
      </w:r>
      <w:r w:rsidRPr="00E11FC2">
        <w:rPr>
          <w:rFonts w:ascii="Arial" w:hAnsi="Arial" w:cs="Arial"/>
          <w:noProof/>
          <w:sz w:val="20"/>
          <w:szCs w:val="20"/>
        </w:rPr>
        <w:t>22</w:t>
      </w:r>
      <w:r w:rsidRPr="00E11FC2">
        <w:rPr>
          <w:rFonts w:ascii="Arial" w:hAnsi="Arial" w:cs="Arial"/>
          <w:noProof/>
          <w:sz w:val="20"/>
          <w:szCs w:val="20"/>
        </w:rPr>
        <w:fldChar w:fldCharType="end"/>
      </w:r>
      <w:bookmarkEnd w:id="42"/>
      <w:r w:rsidRPr="00E11FC2">
        <w:rPr>
          <w:rFonts w:ascii="Arial" w:hAnsi="Arial" w:cs="Arial"/>
          <w:sz w:val="20"/>
          <w:szCs w:val="20"/>
        </w:rPr>
        <w:t xml:space="preserve"> Fishing footprint in relation to the basic habitat types (a)</w:t>
      </w:r>
      <w:r w:rsidR="00CD48BD">
        <w:rPr>
          <w:rFonts w:ascii="Arial" w:hAnsi="Arial" w:cs="Arial"/>
          <w:sz w:val="20"/>
          <w:szCs w:val="20"/>
        </w:rPr>
        <w:t>,</w:t>
      </w:r>
      <w:r w:rsidRPr="00E11FC2">
        <w:rPr>
          <w:rFonts w:ascii="Arial" w:hAnsi="Arial" w:cs="Arial"/>
          <w:sz w:val="20"/>
          <w:szCs w:val="20"/>
        </w:rPr>
        <w:t xml:space="preserve"> and </w:t>
      </w:r>
      <w:r w:rsidR="00CD48BD" w:rsidRPr="00E11FC2">
        <w:rPr>
          <w:rFonts w:ascii="Arial" w:hAnsi="Arial" w:cs="Arial"/>
          <w:sz w:val="20"/>
          <w:szCs w:val="20"/>
        </w:rPr>
        <w:t>sediment</w:t>
      </w:r>
      <w:r w:rsidRPr="00E11FC2">
        <w:rPr>
          <w:rFonts w:ascii="Arial" w:hAnsi="Arial" w:cs="Arial"/>
          <w:sz w:val="20"/>
          <w:szCs w:val="20"/>
        </w:rPr>
        <w:t xml:space="preserve"> type (b)</w:t>
      </w:r>
    </w:p>
    <w:p w14:paraId="123C9C6B" w14:textId="77777777" w:rsidR="001E1A72" w:rsidRPr="00E11FC2" w:rsidRDefault="001E1A72" w:rsidP="001E1A72">
      <w:pPr>
        <w:pStyle w:val="Caption"/>
      </w:pPr>
    </w:p>
    <w:p w14:paraId="3A496D98" w14:textId="77777777" w:rsidR="001E1A72" w:rsidRPr="00E11FC2" w:rsidRDefault="001E1A72" w:rsidP="001E1A72">
      <w:pPr>
        <w:pStyle w:val="Caption"/>
        <w:keepNext/>
        <w:ind w:left="0"/>
        <w:rPr>
          <w:rFonts w:ascii="Arial" w:hAnsi="Arial" w:cs="Arial"/>
          <w:sz w:val="20"/>
          <w:szCs w:val="20"/>
        </w:rPr>
      </w:pPr>
      <w:bookmarkStart w:id="43" w:name="_Ref512556880"/>
      <w:r w:rsidRPr="00E11FC2">
        <w:rPr>
          <w:rFonts w:ascii="Arial" w:hAnsi="Arial" w:cs="Arial"/>
          <w:sz w:val="20"/>
          <w:szCs w:val="20"/>
        </w:rPr>
        <w:t xml:space="preserve">Table </w:t>
      </w:r>
      <w:r w:rsidRPr="00E11FC2">
        <w:rPr>
          <w:rFonts w:ascii="Arial" w:hAnsi="Arial" w:cs="Arial"/>
          <w:sz w:val="20"/>
          <w:szCs w:val="20"/>
        </w:rPr>
        <w:fldChar w:fldCharType="begin"/>
      </w:r>
      <w:r w:rsidRPr="00E11FC2">
        <w:rPr>
          <w:rFonts w:ascii="Arial" w:hAnsi="Arial" w:cs="Arial"/>
          <w:sz w:val="20"/>
          <w:szCs w:val="20"/>
        </w:rPr>
        <w:instrText xml:space="preserve"> SEQ Table \* ARABIC </w:instrText>
      </w:r>
      <w:r w:rsidRPr="00E11FC2">
        <w:rPr>
          <w:rFonts w:ascii="Arial" w:hAnsi="Arial" w:cs="Arial"/>
          <w:sz w:val="20"/>
          <w:szCs w:val="20"/>
        </w:rPr>
        <w:fldChar w:fldCharType="separate"/>
      </w:r>
      <w:r w:rsidRPr="00E11FC2">
        <w:rPr>
          <w:rFonts w:ascii="Arial" w:hAnsi="Arial" w:cs="Arial"/>
          <w:noProof/>
          <w:sz w:val="20"/>
          <w:szCs w:val="20"/>
        </w:rPr>
        <w:t>4</w:t>
      </w:r>
      <w:r w:rsidRPr="00E11FC2">
        <w:rPr>
          <w:rFonts w:ascii="Arial" w:hAnsi="Arial" w:cs="Arial"/>
          <w:noProof/>
          <w:sz w:val="20"/>
          <w:szCs w:val="20"/>
        </w:rPr>
        <w:fldChar w:fldCharType="end"/>
      </w:r>
      <w:bookmarkEnd w:id="43"/>
      <w:r w:rsidRPr="00E11FC2">
        <w:rPr>
          <w:rFonts w:ascii="Arial" w:hAnsi="Arial" w:cs="Arial"/>
          <w:sz w:val="20"/>
          <w:szCs w:val="20"/>
        </w:rPr>
        <w:t xml:space="preserve"> Total and fished area of each habitat type on the Guyanese shelf, with the percent of area fished.</w:t>
      </w:r>
    </w:p>
    <w:tbl>
      <w:tblPr>
        <w:tblW w:w="4771" w:type="pct"/>
        <w:tblLook w:val="07E0" w:firstRow="1" w:lastRow="1" w:firstColumn="1" w:lastColumn="1" w:noHBand="1" w:noVBand="1"/>
        <w:tblCaption w:val="Total and fished area of each habitat class on the Guyanan shelf, with the percent of area fished"/>
      </w:tblPr>
      <w:tblGrid>
        <w:gridCol w:w="2873"/>
        <w:gridCol w:w="2048"/>
        <w:gridCol w:w="1914"/>
        <w:gridCol w:w="1778"/>
      </w:tblGrid>
      <w:tr w:rsidR="001E1A72" w:rsidRPr="00E11FC2" w14:paraId="0D6736DA" w14:textId="77777777" w:rsidTr="005C5190">
        <w:tc>
          <w:tcPr>
            <w:tcW w:w="1668" w:type="pct"/>
            <w:tcBorders>
              <w:bottom w:val="single" w:sz="0" w:space="0" w:color="auto"/>
            </w:tcBorders>
            <w:vAlign w:val="bottom"/>
          </w:tcPr>
          <w:p w14:paraId="2DFE26F4"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Habitat type</w:t>
            </w:r>
          </w:p>
        </w:tc>
        <w:tc>
          <w:tcPr>
            <w:tcW w:w="1189" w:type="pct"/>
            <w:tcBorders>
              <w:bottom w:val="single" w:sz="0" w:space="0" w:color="auto"/>
            </w:tcBorders>
            <w:vAlign w:val="bottom"/>
          </w:tcPr>
          <w:p w14:paraId="0A29241A"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Total area km</w:t>
            </w:r>
            <w:r w:rsidRPr="00E11FC2">
              <w:rPr>
                <w:rFonts w:ascii="Arial" w:hAnsi="Arial" w:cs="Arial"/>
                <w:sz w:val="20"/>
                <w:szCs w:val="20"/>
                <w:vertAlign w:val="superscript"/>
                <w:lang w:val="en-GB"/>
              </w:rPr>
              <w:t>2</w:t>
            </w:r>
          </w:p>
        </w:tc>
        <w:tc>
          <w:tcPr>
            <w:tcW w:w="1111" w:type="pct"/>
            <w:tcBorders>
              <w:bottom w:val="single" w:sz="0" w:space="0" w:color="auto"/>
            </w:tcBorders>
            <w:vAlign w:val="bottom"/>
          </w:tcPr>
          <w:p w14:paraId="675ABB88"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Fished area km</w:t>
            </w:r>
            <w:r w:rsidRPr="00E11FC2">
              <w:rPr>
                <w:rFonts w:ascii="Arial" w:hAnsi="Arial" w:cs="Arial"/>
                <w:sz w:val="20"/>
                <w:szCs w:val="20"/>
                <w:vertAlign w:val="superscript"/>
                <w:lang w:val="en-GB"/>
              </w:rPr>
              <w:t>2</w:t>
            </w:r>
          </w:p>
        </w:tc>
        <w:tc>
          <w:tcPr>
            <w:tcW w:w="1032" w:type="pct"/>
            <w:tcBorders>
              <w:bottom w:val="single" w:sz="0" w:space="0" w:color="auto"/>
            </w:tcBorders>
            <w:vAlign w:val="bottom"/>
          </w:tcPr>
          <w:p w14:paraId="1ED93231"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 area fished</w:t>
            </w:r>
          </w:p>
        </w:tc>
      </w:tr>
      <w:tr w:rsidR="001E1A72" w:rsidRPr="00E11FC2" w14:paraId="3EADE8C5" w14:textId="77777777" w:rsidTr="005C5190">
        <w:tc>
          <w:tcPr>
            <w:tcW w:w="1668" w:type="pct"/>
          </w:tcPr>
          <w:p w14:paraId="4BB013C0"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Brackish circalittoral mud</w:t>
            </w:r>
          </w:p>
        </w:tc>
        <w:tc>
          <w:tcPr>
            <w:tcW w:w="1189" w:type="pct"/>
          </w:tcPr>
          <w:p w14:paraId="3CF27C53"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387</w:t>
            </w:r>
          </w:p>
        </w:tc>
        <w:tc>
          <w:tcPr>
            <w:tcW w:w="1111" w:type="pct"/>
          </w:tcPr>
          <w:p w14:paraId="3D98523F"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0</w:t>
            </w:r>
          </w:p>
        </w:tc>
        <w:tc>
          <w:tcPr>
            <w:tcW w:w="1032" w:type="pct"/>
          </w:tcPr>
          <w:p w14:paraId="1798096A"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0</w:t>
            </w:r>
          </w:p>
        </w:tc>
      </w:tr>
      <w:tr w:rsidR="001E1A72" w:rsidRPr="00E11FC2" w14:paraId="6DE8D716" w14:textId="77777777" w:rsidTr="005C5190">
        <w:tc>
          <w:tcPr>
            <w:tcW w:w="1668" w:type="pct"/>
          </w:tcPr>
          <w:p w14:paraId="30C7AF6D"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Brackish infralittoral mud</w:t>
            </w:r>
          </w:p>
        </w:tc>
        <w:tc>
          <w:tcPr>
            <w:tcW w:w="1189" w:type="pct"/>
          </w:tcPr>
          <w:p w14:paraId="77A1A49D"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2625</w:t>
            </w:r>
          </w:p>
        </w:tc>
        <w:tc>
          <w:tcPr>
            <w:tcW w:w="1111" w:type="pct"/>
          </w:tcPr>
          <w:p w14:paraId="0F3507D6"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72</w:t>
            </w:r>
          </w:p>
        </w:tc>
        <w:tc>
          <w:tcPr>
            <w:tcW w:w="1032" w:type="pct"/>
          </w:tcPr>
          <w:p w14:paraId="007A4655"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3</w:t>
            </w:r>
          </w:p>
        </w:tc>
      </w:tr>
      <w:tr w:rsidR="001E1A72" w:rsidRPr="00E11FC2" w14:paraId="6E91987E" w14:textId="77777777" w:rsidTr="005C5190">
        <w:tc>
          <w:tcPr>
            <w:tcW w:w="1668" w:type="pct"/>
          </w:tcPr>
          <w:p w14:paraId="18904747"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Marine circalittoral sand</w:t>
            </w:r>
          </w:p>
        </w:tc>
        <w:tc>
          <w:tcPr>
            <w:tcW w:w="1189" w:type="pct"/>
          </w:tcPr>
          <w:p w14:paraId="720B3D8A"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13818</w:t>
            </w:r>
          </w:p>
        </w:tc>
        <w:tc>
          <w:tcPr>
            <w:tcW w:w="1111" w:type="pct"/>
          </w:tcPr>
          <w:p w14:paraId="3444D3AA"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4212</w:t>
            </w:r>
          </w:p>
        </w:tc>
        <w:tc>
          <w:tcPr>
            <w:tcW w:w="1032" w:type="pct"/>
          </w:tcPr>
          <w:p w14:paraId="4F78F666"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30</w:t>
            </w:r>
          </w:p>
        </w:tc>
      </w:tr>
      <w:tr w:rsidR="001E1A72" w:rsidRPr="00E11FC2" w14:paraId="6E7F18BD" w14:textId="77777777" w:rsidTr="005C5190">
        <w:tc>
          <w:tcPr>
            <w:tcW w:w="1668" w:type="pct"/>
          </w:tcPr>
          <w:p w14:paraId="62941A20"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Marine circalittoral mud</w:t>
            </w:r>
          </w:p>
        </w:tc>
        <w:tc>
          <w:tcPr>
            <w:tcW w:w="1189" w:type="pct"/>
          </w:tcPr>
          <w:p w14:paraId="66BB1D4E"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10355</w:t>
            </w:r>
          </w:p>
        </w:tc>
        <w:tc>
          <w:tcPr>
            <w:tcW w:w="1111" w:type="pct"/>
          </w:tcPr>
          <w:p w14:paraId="336037D1"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6358</w:t>
            </w:r>
          </w:p>
        </w:tc>
        <w:tc>
          <w:tcPr>
            <w:tcW w:w="1032" w:type="pct"/>
          </w:tcPr>
          <w:p w14:paraId="0D4A17C8"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61</w:t>
            </w:r>
          </w:p>
        </w:tc>
      </w:tr>
      <w:tr w:rsidR="001E1A72" w:rsidRPr="00E11FC2" w14:paraId="667A42B2" w14:textId="77777777" w:rsidTr="005C5190">
        <w:tc>
          <w:tcPr>
            <w:tcW w:w="1668" w:type="pct"/>
          </w:tcPr>
          <w:p w14:paraId="1CE4F6A2"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Marine infralittoral sand</w:t>
            </w:r>
          </w:p>
        </w:tc>
        <w:tc>
          <w:tcPr>
            <w:tcW w:w="1189" w:type="pct"/>
          </w:tcPr>
          <w:p w14:paraId="16D674F4"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18043</w:t>
            </w:r>
          </w:p>
        </w:tc>
        <w:tc>
          <w:tcPr>
            <w:tcW w:w="1111" w:type="pct"/>
          </w:tcPr>
          <w:p w14:paraId="3C516EC9"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378</w:t>
            </w:r>
          </w:p>
        </w:tc>
        <w:tc>
          <w:tcPr>
            <w:tcW w:w="1032" w:type="pct"/>
          </w:tcPr>
          <w:p w14:paraId="1B13ED10"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2</w:t>
            </w:r>
          </w:p>
        </w:tc>
      </w:tr>
      <w:tr w:rsidR="001E1A72" w:rsidRPr="00E11FC2" w14:paraId="61321805" w14:textId="77777777" w:rsidTr="005C5190">
        <w:tc>
          <w:tcPr>
            <w:tcW w:w="1668" w:type="pct"/>
            <w:tcBorders>
              <w:bottom w:val="single" w:sz="4" w:space="0" w:color="auto"/>
            </w:tcBorders>
          </w:tcPr>
          <w:p w14:paraId="7B5D963B"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Marine infralittoral mud</w:t>
            </w:r>
          </w:p>
        </w:tc>
        <w:tc>
          <w:tcPr>
            <w:tcW w:w="1189" w:type="pct"/>
            <w:tcBorders>
              <w:bottom w:val="single" w:sz="4" w:space="0" w:color="auto"/>
            </w:tcBorders>
          </w:tcPr>
          <w:p w14:paraId="50594108"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4921</w:t>
            </w:r>
          </w:p>
        </w:tc>
        <w:tc>
          <w:tcPr>
            <w:tcW w:w="1111" w:type="pct"/>
            <w:tcBorders>
              <w:bottom w:val="single" w:sz="4" w:space="0" w:color="auto"/>
            </w:tcBorders>
          </w:tcPr>
          <w:p w14:paraId="0B20A374"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2022</w:t>
            </w:r>
          </w:p>
        </w:tc>
        <w:tc>
          <w:tcPr>
            <w:tcW w:w="1032" w:type="pct"/>
            <w:tcBorders>
              <w:bottom w:val="single" w:sz="4" w:space="0" w:color="auto"/>
            </w:tcBorders>
          </w:tcPr>
          <w:p w14:paraId="7E2B60EB"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41</w:t>
            </w:r>
          </w:p>
        </w:tc>
      </w:tr>
    </w:tbl>
    <w:p w14:paraId="59D0735F" w14:textId="77777777" w:rsidR="001E1A72" w:rsidRPr="00E11FC2" w:rsidRDefault="001E1A72" w:rsidP="001E1A72">
      <w:pPr>
        <w:jc w:val="both"/>
        <w:rPr>
          <w:rFonts w:ascii="Verdana" w:hAnsi="Verdana"/>
          <w:lang w:val="en-GB"/>
        </w:rPr>
      </w:pPr>
    </w:p>
    <w:p w14:paraId="2CE6F182" w14:textId="73E0CFC7" w:rsidR="001E1A72" w:rsidRPr="00E11FC2" w:rsidRDefault="001E1A72" w:rsidP="001E1A72">
      <w:pPr>
        <w:pStyle w:val="Caption"/>
        <w:keepNext/>
        <w:ind w:left="0"/>
        <w:rPr>
          <w:rFonts w:ascii="Arial" w:hAnsi="Arial" w:cs="Arial"/>
          <w:sz w:val="20"/>
          <w:szCs w:val="20"/>
        </w:rPr>
      </w:pPr>
      <w:bookmarkStart w:id="44" w:name="_Ref512556881"/>
      <w:r w:rsidRPr="00E11FC2">
        <w:rPr>
          <w:rFonts w:ascii="Arial" w:hAnsi="Arial" w:cs="Arial"/>
          <w:sz w:val="20"/>
          <w:szCs w:val="20"/>
        </w:rPr>
        <w:t xml:space="preserve">Table </w:t>
      </w:r>
      <w:r w:rsidRPr="00E11FC2">
        <w:rPr>
          <w:rFonts w:ascii="Arial" w:hAnsi="Arial" w:cs="Arial"/>
          <w:sz w:val="20"/>
          <w:szCs w:val="20"/>
        </w:rPr>
        <w:fldChar w:fldCharType="begin"/>
      </w:r>
      <w:r w:rsidRPr="00E11FC2">
        <w:rPr>
          <w:rFonts w:ascii="Arial" w:hAnsi="Arial" w:cs="Arial"/>
          <w:sz w:val="20"/>
          <w:szCs w:val="20"/>
        </w:rPr>
        <w:instrText xml:space="preserve"> SEQ Table \* ARABIC </w:instrText>
      </w:r>
      <w:r w:rsidRPr="00E11FC2">
        <w:rPr>
          <w:rFonts w:ascii="Arial" w:hAnsi="Arial" w:cs="Arial"/>
          <w:sz w:val="20"/>
          <w:szCs w:val="20"/>
        </w:rPr>
        <w:fldChar w:fldCharType="separate"/>
      </w:r>
      <w:r w:rsidRPr="00E11FC2">
        <w:rPr>
          <w:rFonts w:ascii="Arial" w:hAnsi="Arial" w:cs="Arial"/>
          <w:noProof/>
          <w:sz w:val="20"/>
          <w:szCs w:val="20"/>
        </w:rPr>
        <w:t>5</w:t>
      </w:r>
      <w:r w:rsidRPr="00E11FC2">
        <w:rPr>
          <w:rFonts w:ascii="Arial" w:hAnsi="Arial" w:cs="Arial"/>
          <w:noProof/>
          <w:sz w:val="20"/>
          <w:szCs w:val="20"/>
        </w:rPr>
        <w:fldChar w:fldCharType="end"/>
      </w:r>
      <w:bookmarkEnd w:id="44"/>
      <w:r w:rsidRPr="00E11FC2">
        <w:rPr>
          <w:rFonts w:ascii="Arial" w:hAnsi="Arial" w:cs="Arial"/>
          <w:sz w:val="20"/>
          <w:szCs w:val="20"/>
        </w:rPr>
        <w:t xml:space="preserve"> Total and fished area of each habitat class on the shelf</w:t>
      </w:r>
      <w:r w:rsidR="00CD48BD">
        <w:rPr>
          <w:rFonts w:ascii="Arial" w:hAnsi="Arial" w:cs="Arial"/>
          <w:sz w:val="20"/>
          <w:szCs w:val="20"/>
        </w:rPr>
        <w:t xml:space="preserve"> of Guyana</w:t>
      </w:r>
      <w:r w:rsidRPr="00E11FC2">
        <w:rPr>
          <w:rFonts w:ascii="Arial" w:hAnsi="Arial" w:cs="Arial"/>
          <w:sz w:val="20"/>
          <w:szCs w:val="20"/>
        </w:rPr>
        <w:t>, with the percent of area fished.</w:t>
      </w:r>
    </w:p>
    <w:tbl>
      <w:tblPr>
        <w:tblW w:w="3858" w:type="pct"/>
        <w:tblLook w:val="07E0" w:firstRow="1" w:lastRow="1" w:firstColumn="1" w:lastColumn="1" w:noHBand="1" w:noVBand="1"/>
        <w:tblCaption w:val="Total and fished area of each habitat class on the Guyanan shelf, with the percent of area fished"/>
      </w:tblPr>
      <w:tblGrid>
        <w:gridCol w:w="1703"/>
        <w:gridCol w:w="1722"/>
        <w:gridCol w:w="1899"/>
        <w:gridCol w:w="1640"/>
      </w:tblGrid>
      <w:tr w:rsidR="001E1A72" w:rsidRPr="00E11FC2" w14:paraId="5A454728" w14:textId="77777777" w:rsidTr="005C5190">
        <w:trPr>
          <w:trHeight w:val="635"/>
        </w:trPr>
        <w:tc>
          <w:tcPr>
            <w:tcW w:w="0" w:type="auto"/>
            <w:tcBorders>
              <w:bottom w:val="single" w:sz="0" w:space="0" w:color="auto"/>
            </w:tcBorders>
            <w:vAlign w:val="bottom"/>
          </w:tcPr>
          <w:p w14:paraId="32CBD494"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Sediment type</w:t>
            </w:r>
          </w:p>
        </w:tc>
        <w:tc>
          <w:tcPr>
            <w:tcW w:w="0" w:type="auto"/>
            <w:tcBorders>
              <w:bottom w:val="single" w:sz="0" w:space="0" w:color="auto"/>
            </w:tcBorders>
            <w:vAlign w:val="bottom"/>
          </w:tcPr>
          <w:p w14:paraId="50A70F20"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Total area km</w:t>
            </w:r>
            <w:r w:rsidRPr="00E11FC2">
              <w:rPr>
                <w:rFonts w:ascii="Arial" w:hAnsi="Arial" w:cs="Arial"/>
                <w:sz w:val="20"/>
                <w:szCs w:val="20"/>
                <w:vertAlign w:val="superscript"/>
                <w:lang w:val="en-GB"/>
              </w:rPr>
              <w:t>2</w:t>
            </w:r>
          </w:p>
        </w:tc>
        <w:tc>
          <w:tcPr>
            <w:tcW w:w="0" w:type="auto"/>
            <w:tcBorders>
              <w:bottom w:val="single" w:sz="0" w:space="0" w:color="auto"/>
            </w:tcBorders>
            <w:vAlign w:val="bottom"/>
          </w:tcPr>
          <w:p w14:paraId="33FC24E7"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Fished area km</w:t>
            </w:r>
            <w:r w:rsidRPr="00E11FC2">
              <w:rPr>
                <w:rFonts w:ascii="Arial" w:hAnsi="Arial" w:cs="Arial"/>
                <w:sz w:val="20"/>
                <w:szCs w:val="20"/>
                <w:vertAlign w:val="superscript"/>
                <w:lang w:val="en-GB"/>
              </w:rPr>
              <w:t>2</w:t>
            </w:r>
          </w:p>
        </w:tc>
        <w:tc>
          <w:tcPr>
            <w:tcW w:w="0" w:type="auto"/>
            <w:tcBorders>
              <w:bottom w:val="single" w:sz="0" w:space="0" w:color="auto"/>
            </w:tcBorders>
            <w:vAlign w:val="bottom"/>
          </w:tcPr>
          <w:p w14:paraId="6B20896F"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 area fished</w:t>
            </w:r>
          </w:p>
        </w:tc>
      </w:tr>
      <w:tr w:rsidR="001E1A72" w:rsidRPr="00E11FC2" w14:paraId="6675E0C5" w14:textId="77777777" w:rsidTr="005C5190">
        <w:trPr>
          <w:trHeight w:val="378"/>
        </w:trPr>
        <w:tc>
          <w:tcPr>
            <w:tcW w:w="0" w:type="auto"/>
          </w:tcPr>
          <w:p w14:paraId="2EC7AFA9"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Sand</w:t>
            </w:r>
          </w:p>
        </w:tc>
        <w:tc>
          <w:tcPr>
            <w:tcW w:w="0" w:type="auto"/>
          </w:tcPr>
          <w:p w14:paraId="3DAAAFF9"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31861</w:t>
            </w:r>
          </w:p>
        </w:tc>
        <w:tc>
          <w:tcPr>
            <w:tcW w:w="0" w:type="auto"/>
          </w:tcPr>
          <w:p w14:paraId="582DCB88"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4590</w:t>
            </w:r>
          </w:p>
        </w:tc>
        <w:tc>
          <w:tcPr>
            <w:tcW w:w="0" w:type="auto"/>
          </w:tcPr>
          <w:p w14:paraId="6FE605B5"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14</w:t>
            </w:r>
          </w:p>
        </w:tc>
      </w:tr>
      <w:tr w:rsidR="001E1A72" w:rsidRPr="00E11FC2" w14:paraId="415E5766" w14:textId="77777777" w:rsidTr="005C5190">
        <w:trPr>
          <w:trHeight w:val="363"/>
        </w:trPr>
        <w:tc>
          <w:tcPr>
            <w:tcW w:w="0" w:type="auto"/>
            <w:tcBorders>
              <w:bottom w:val="single" w:sz="4" w:space="0" w:color="auto"/>
            </w:tcBorders>
          </w:tcPr>
          <w:p w14:paraId="533CD4AF" w14:textId="77777777" w:rsidR="001E1A72" w:rsidRPr="00E11FC2" w:rsidRDefault="001E1A72" w:rsidP="005C5190">
            <w:pPr>
              <w:pStyle w:val="Compact"/>
              <w:rPr>
                <w:rFonts w:ascii="Arial" w:hAnsi="Arial" w:cs="Arial"/>
                <w:sz w:val="20"/>
                <w:szCs w:val="20"/>
                <w:lang w:val="en-GB"/>
              </w:rPr>
            </w:pPr>
            <w:r w:rsidRPr="00E11FC2">
              <w:rPr>
                <w:rFonts w:ascii="Arial" w:hAnsi="Arial" w:cs="Arial"/>
                <w:sz w:val="20"/>
                <w:szCs w:val="20"/>
                <w:lang w:val="en-GB"/>
              </w:rPr>
              <w:t>Mud</w:t>
            </w:r>
          </w:p>
        </w:tc>
        <w:tc>
          <w:tcPr>
            <w:tcW w:w="0" w:type="auto"/>
            <w:tcBorders>
              <w:bottom w:val="single" w:sz="4" w:space="0" w:color="auto"/>
            </w:tcBorders>
          </w:tcPr>
          <w:p w14:paraId="5FB825B9"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18288</w:t>
            </w:r>
          </w:p>
        </w:tc>
        <w:tc>
          <w:tcPr>
            <w:tcW w:w="0" w:type="auto"/>
            <w:tcBorders>
              <w:bottom w:val="single" w:sz="4" w:space="0" w:color="auto"/>
            </w:tcBorders>
          </w:tcPr>
          <w:p w14:paraId="368C167B"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8452</w:t>
            </w:r>
          </w:p>
        </w:tc>
        <w:tc>
          <w:tcPr>
            <w:tcW w:w="0" w:type="auto"/>
            <w:tcBorders>
              <w:bottom w:val="single" w:sz="4" w:space="0" w:color="auto"/>
            </w:tcBorders>
          </w:tcPr>
          <w:p w14:paraId="37473238" w14:textId="77777777" w:rsidR="001E1A72" w:rsidRPr="00E11FC2" w:rsidRDefault="001E1A72" w:rsidP="005C5190">
            <w:pPr>
              <w:pStyle w:val="Compact"/>
              <w:jc w:val="right"/>
              <w:rPr>
                <w:rFonts w:ascii="Arial" w:hAnsi="Arial" w:cs="Arial"/>
                <w:sz w:val="20"/>
                <w:szCs w:val="20"/>
                <w:lang w:val="en-GB"/>
              </w:rPr>
            </w:pPr>
            <w:r w:rsidRPr="00E11FC2">
              <w:rPr>
                <w:rFonts w:ascii="Arial" w:hAnsi="Arial" w:cs="Arial"/>
                <w:sz w:val="20"/>
                <w:szCs w:val="20"/>
                <w:lang w:val="en-GB"/>
              </w:rPr>
              <w:t>46</w:t>
            </w:r>
          </w:p>
        </w:tc>
      </w:tr>
    </w:tbl>
    <w:p w14:paraId="0E60CF1A" w14:textId="54647B7D" w:rsidR="001E1A72" w:rsidRPr="00E11FC2" w:rsidRDefault="000215ED" w:rsidP="001E1A72">
      <w:pPr>
        <w:pStyle w:val="Heading2"/>
        <w:rPr>
          <w:lang w:val="en-GB"/>
        </w:rPr>
      </w:pPr>
      <w:bookmarkStart w:id="45" w:name="_Toc508014158"/>
      <w:bookmarkStart w:id="46" w:name="_Toc512593425"/>
      <w:bookmarkStart w:id="47" w:name="_Toc512867209"/>
      <w:r w:rsidRPr="00E11FC2">
        <w:rPr>
          <w:lang w:val="en-GB"/>
        </w:rPr>
        <w:lastRenderedPageBreak/>
        <w:t>6</w:t>
      </w:r>
      <w:r w:rsidR="001E1A72" w:rsidRPr="00E11FC2">
        <w:rPr>
          <w:lang w:val="en-GB"/>
        </w:rPr>
        <w:t xml:space="preserve">.3 </w:t>
      </w:r>
      <w:bookmarkEnd w:id="45"/>
      <w:r w:rsidR="001E1A72" w:rsidRPr="00E11FC2">
        <w:rPr>
          <w:lang w:val="en-GB"/>
        </w:rPr>
        <w:t>Sensitive taxa and the fishing footprint</w:t>
      </w:r>
      <w:bookmarkEnd w:id="46"/>
      <w:bookmarkEnd w:id="47"/>
    </w:p>
    <w:p w14:paraId="32F5D36A" w14:textId="77777777" w:rsidR="001E1A72" w:rsidRPr="00E11FC2" w:rsidRDefault="001E1A72" w:rsidP="0040340C">
      <w:pPr>
        <w:spacing w:before="120" w:line="360" w:lineRule="auto"/>
        <w:jc w:val="both"/>
        <w:rPr>
          <w:rFonts w:ascii="Verdana" w:hAnsi="Verdana"/>
          <w:sz w:val="20"/>
          <w:szCs w:val="20"/>
          <w:lang w:val="en-GB"/>
        </w:rPr>
      </w:pPr>
      <w:r w:rsidRPr="00E11FC2">
        <w:rPr>
          <w:rFonts w:ascii="Verdana" w:hAnsi="Verdana"/>
          <w:sz w:val="20"/>
          <w:szCs w:val="20"/>
          <w:lang w:val="en-GB"/>
        </w:rPr>
        <w:t>Although some of the observations of sensitive species obtained from the OBIS database occur on the edges of the fishing footprint, they do not overlap with the main fished area (Fig. 23). The one location, with a Scleractinian observation inside the footprint occurs in habitat unlikely for the reef forming hard corals of the genus Madracis, which is recorded, and is very likely a result of a position error.</w:t>
      </w:r>
    </w:p>
    <w:p w14:paraId="1BBC617A" w14:textId="77777777" w:rsidR="001E1A72" w:rsidRPr="00E11FC2" w:rsidRDefault="001E1A72" w:rsidP="001E1A72">
      <w:pPr>
        <w:rPr>
          <w:lang w:val="en-GB"/>
        </w:rPr>
      </w:pPr>
      <w:r w:rsidRPr="00E11FC2">
        <w:rPr>
          <w:noProof/>
        </w:rPr>
        <w:drawing>
          <wp:anchor distT="0" distB="0" distL="114300" distR="114300" simplePos="0" relativeHeight="251662336" behindDoc="1" locked="0" layoutInCell="1" allowOverlap="1" wp14:anchorId="37A9858A" wp14:editId="7D74CF27">
            <wp:simplePos x="0" y="0"/>
            <wp:positionH relativeFrom="margin">
              <wp:align>left</wp:align>
            </wp:positionH>
            <wp:positionV relativeFrom="paragraph">
              <wp:posOffset>161925</wp:posOffset>
            </wp:positionV>
            <wp:extent cx="4553585" cy="3529965"/>
            <wp:effectExtent l="0" t="0" r="0" b="0"/>
            <wp:wrapTight wrapText="bothSides">
              <wp:wrapPolygon edited="0">
                <wp:start x="0" y="0"/>
                <wp:lineTo x="0" y="21448"/>
                <wp:lineTo x="21507" y="21448"/>
                <wp:lineTo x="21507"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ME_Fishing.jpeg"/>
                    <pic:cNvPicPr/>
                  </pic:nvPicPr>
                  <pic:blipFill>
                    <a:blip r:embed="rId38">
                      <a:extLst>
                        <a:ext uri="{28A0092B-C50C-407E-A947-70E740481C1C}">
                          <a14:useLocalDpi xmlns:a14="http://schemas.microsoft.com/office/drawing/2010/main" val="0"/>
                        </a:ext>
                      </a:extLst>
                    </a:blip>
                    <a:stretch>
                      <a:fillRect/>
                    </a:stretch>
                  </pic:blipFill>
                  <pic:spPr>
                    <a:xfrm>
                      <a:off x="0" y="0"/>
                      <a:ext cx="4556692" cy="3532376"/>
                    </a:xfrm>
                    <a:prstGeom prst="rect">
                      <a:avLst/>
                    </a:prstGeom>
                  </pic:spPr>
                </pic:pic>
              </a:graphicData>
            </a:graphic>
            <wp14:sizeRelH relativeFrom="page">
              <wp14:pctWidth>0</wp14:pctWidth>
            </wp14:sizeRelH>
            <wp14:sizeRelV relativeFrom="page">
              <wp14:pctHeight>0</wp14:pctHeight>
            </wp14:sizeRelV>
          </wp:anchor>
        </w:drawing>
      </w:r>
    </w:p>
    <w:p w14:paraId="24F4423D" w14:textId="77777777" w:rsidR="001E1A72" w:rsidRPr="00E11FC2" w:rsidRDefault="001E1A72" w:rsidP="001E1A72">
      <w:pPr>
        <w:rPr>
          <w:lang w:val="en-GB"/>
        </w:rPr>
      </w:pPr>
    </w:p>
    <w:p w14:paraId="499DEB7C" w14:textId="77777777" w:rsidR="001E1A72" w:rsidRPr="00E11FC2" w:rsidRDefault="001E1A72" w:rsidP="001E1A72">
      <w:pPr>
        <w:rPr>
          <w:lang w:val="en-GB"/>
        </w:rPr>
      </w:pPr>
    </w:p>
    <w:p w14:paraId="4A5FDF45" w14:textId="77777777" w:rsidR="001E1A72" w:rsidRPr="00E11FC2" w:rsidRDefault="001E1A72" w:rsidP="001E1A72">
      <w:pPr>
        <w:rPr>
          <w:lang w:val="en-GB"/>
        </w:rPr>
      </w:pPr>
    </w:p>
    <w:p w14:paraId="5B053122" w14:textId="77777777" w:rsidR="001E1A72" w:rsidRPr="00E11FC2" w:rsidRDefault="001E1A72" w:rsidP="001E1A72">
      <w:pPr>
        <w:rPr>
          <w:lang w:val="en-GB"/>
        </w:rPr>
      </w:pPr>
    </w:p>
    <w:p w14:paraId="713AC1BC" w14:textId="77777777" w:rsidR="001E1A72" w:rsidRPr="00E11FC2" w:rsidRDefault="001E1A72" w:rsidP="001E1A72">
      <w:pPr>
        <w:rPr>
          <w:lang w:val="en-GB"/>
        </w:rPr>
      </w:pPr>
    </w:p>
    <w:p w14:paraId="76274813" w14:textId="77777777" w:rsidR="001E1A72" w:rsidRPr="00E11FC2" w:rsidRDefault="001E1A72" w:rsidP="001E1A72">
      <w:pPr>
        <w:rPr>
          <w:lang w:val="en-GB"/>
        </w:rPr>
      </w:pPr>
    </w:p>
    <w:p w14:paraId="5C04E7A1" w14:textId="77777777" w:rsidR="001E1A72" w:rsidRPr="00E11FC2" w:rsidRDefault="001E1A72" w:rsidP="001E1A72">
      <w:pPr>
        <w:rPr>
          <w:lang w:val="en-GB"/>
        </w:rPr>
      </w:pPr>
    </w:p>
    <w:p w14:paraId="4336E687" w14:textId="77777777" w:rsidR="001E1A72" w:rsidRPr="00E11FC2" w:rsidRDefault="001E1A72" w:rsidP="001E1A72">
      <w:pPr>
        <w:rPr>
          <w:lang w:val="en-GB"/>
        </w:rPr>
      </w:pPr>
    </w:p>
    <w:p w14:paraId="2C36971F" w14:textId="77777777" w:rsidR="001E1A72" w:rsidRPr="00E11FC2" w:rsidRDefault="001E1A72" w:rsidP="001E1A72">
      <w:pPr>
        <w:rPr>
          <w:lang w:val="en-GB"/>
        </w:rPr>
      </w:pPr>
    </w:p>
    <w:p w14:paraId="45503E14" w14:textId="77777777" w:rsidR="001E1A72" w:rsidRPr="00E11FC2" w:rsidRDefault="001E1A72" w:rsidP="001E1A72">
      <w:pPr>
        <w:rPr>
          <w:lang w:val="en-GB"/>
        </w:rPr>
      </w:pPr>
    </w:p>
    <w:p w14:paraId="326A597C" w14:textId="77777777" w:rsidR="001E1A72" w:rsidRPr="00E11FC2" w:rsidRDefault="001E1A72" w:rsidP="001E1A72">
      <w:pPr>
        <w:pStyle w:val="Caption"/>
        <w:ind w:left="0"/>
      </w:pPr>
      <w:bookmarkStart w:id="48" w:name="_Ref512557955"/>
      <w:bookmarkStart w:id="49" w:name="_Toc507534234"/>
    </w:p>
    <w:p w14:paraId="34F7CA2E" w14:textId="77777777" w:rsidR="001E1A72" w:rsidRPr="00E11FC2" w:rsidRDefault="001E1A72" w:rsidP="001E1A72">
      <w:pPr>
        <w:pStyle w:val="Caption"/>
        <w:ind w:left="0"/>
      </w:pPr>
    </w:p>
    <w:p w14:paraId="21142247" w14:textId="77777777" w:rsidR="001E1A72" w:rsidRPr="00E11FC2" w:rsidRDefault="001E1A72" w:rsidP="001E1A72">
      <w:pPr>
        <w:pStyle w:val="Caption"/>
        <w:ind w:left="0"/>
        <w:jc w:val="left"/>
        <w:rPr>
          <w:rFonts w:ascii="Arial" w:hAnsi="Arial" w:cs="Arial"/>
          <w:sz w:val="20"/>
          <w:szCs w:val="20"/>
        </w:rPr>
      </w:pPr>
      <w:r w:rsidRPr="00E11FC2">
        <w:rPr>
          <w:rFonts w:ascii="Arial" w:hAnsi="Arial" w:cs="Arial"/>
          <w:sz w:val="20"/>
          <w:szCs w:val="20"/>
        </w:rPr>
        <w:t xml:space="preserve">Figure </w:t>
      </w:r>
      <w:r w:rsidRPr="00E11FC2">
        <w:rPr>
          <w:rFonts w:ascii="Arial" w:hAnsi="Arial" w:cs="Arial"/>
          <w:sz w:val="20"/>
          <w:szCs w:val="20"/>
        </w:rPr>
        <w:fldChar w:fldCharType="begin"/>
      </w:r>
      <w:r w:rsidRPr="00E11FC2">
        <w:rPr>
          <w:rFonts w:ascii="Arial" w:hAnsi="Arial" w:cs="Arial"/>
          <w:sz w:val="20"/>
          <w:szCs w:val="20"/>
        </w:rPr>
        <w:instrText xml:space="preserve"> SEQ Figure \* ARABIC </w:instrText>
      </w:r>
      <w:r w:rsidRPr="00E11FC2">
        <w:rPr>
          <w:rFonts w:ascii="Arial" w:hAnsi="Arial" w:cs="Arial"/>
          <w:sz w:val="20"/>
          <w:szCs w:val="20"/>
        </w:rPr>
        <w:fldChar w:fldCharType="separate"/>
      </w:r>
      <w:r w:rsidRPr="00E11FC2">
        <w:rPr>
          <w:rFonts w:ascii="Arial" w:hAnsi="Arial" w:cs="Arial"/>
          <w:noProof/>
          <w:sz w:val="20"/>
          <w:szCs w:val="20"/>
        </w:rPr>
        <w:t>23</w:t>
      </w:r>
      <w:r w:rsidRPr="00E11FC2">
        <w:rPr>
          <w:rFonts w:ascii="Arial" w:hAnsi="Arial" w:cs="Arial"/>
          <w:noProof/>
          <w:sz w:val="20"/>
          <w:szCs w:val="20"/>
        </w:rPr>
        <w:fldChar w:fldCharType="end"/>
      </w:r>
      <w:bookmarkEnd w:id="48"/>
      <w:r w:rsidRPr="00E11FC2">
        <w:rPr>
          <w:rFonts w:ascii="Arial" w:hAnsi="Arial" w:cs="Arial"/>
          <w:sz w:val="20"/>
          <w:szCs w:val="20"/>
        </w:rPr>
        <w:t xml:space="preserve"> Location of observed sensitive taxa in relation to the fishing footprint.</w:t>
      </w:r>
      <w:bookmarkStart w:id="50" w:name="_Hlk512512172"/>
      <w:bookmarkEnd w:id="49"/>
    </w:p>
    <w:p w14:paraId="29C459D7" w14:textId="77777777" w:rsidR="0040340C" w:rsidRPr="00E11FC2" w:rsidRDefault="0040340C" w:rsidP="001E1A72">
      <w:pPr>
        <w:pStyle w:val="Heading1"/>
        <w:rPr>
          <w:lang w:val="en-GB"/>
        </w:rPr>
      </w:pPr>
      <w:bookmarkStart w:id="51" w:name="_Toc512593426"/>
    </w:p>
    <w:p w14:paraId="4E0A1C3B" w14:textId="77777777" w:rsidR="0040340C" w:rsidRPr="00E11FC2" w:rsidRDefault="0040340C" w:rsidP="001E1A72">
      <w:pPr>
        <w:pStyle w:val="Heading1"/>
        <w:rPr>
          <w:lang w:val="en-GB"/>
        </w:rPr>
      </w:pPr>
    </w:p>
    <w:p w14:paraId="4B141584" w14:textId="77777777" w:rsidR="0040340C" w:rsidRPr="00E11FC2" w:rsidRDefault="0040340C" w:rsidP="001E1A72">
      <w:pPr>
        <w:pStyle w:val="Heading1"/>
        <w:rPr>
          <w:lang w:val="en-GB"/>
        </w:rPr>
      </w:pPr>
    </w:p>
    <w:p w14:paraId="1C73AFEC" w14:textId="6D203490" w:rsidR="001E1A72" w:rsidRPr="00E11FC2" w:rsidRDefault="000215ED" w:rsidP="000215ED">
      <w:pPr>
        <w:pStyle w:val="Heading1"/>
        <w:rPr>
          <w:lang w:val="en-GB"/>
        </w:rPr>
      </w:pPr>
      <w:bookmarkStart w:id="52" w:name="_Toc512867210"/>
      <w:r w:rsidRPr="00E11FC2">
        <w:rPr>
          <w:lang w:val="en-GB"/>
        </w:rPr>
        <w:t>7</w:t>
      </w:r>
      <w:r w:rsidR="001E1A72" w:rsidRPr="00E11FC2">
        <w:rPr>
          <w:lang w:val="en-GB"/>
        </w:rPr>
        <w:t>. Next steps</w:t>
      </w:r>
      <w:bookmarkEnd w:id="51"/>
      <w:bookmarkEnd w:id="52"/>
    </w:p>
    <w:p w14:paraId="1D30B812" w14:textId="77777777" w:rsidR="001E1A72" w:rsidRPr="00E11FC2" w:rsidRDefault="001E1A72" w:rsidP="00890214">
      <w:pPr>
        <w:spacing w:before="120" w:line="360" w:lineRule="auto"/>
        <w:jc w:val="both"/>
        <w:rPr>
          <w:rFonts w:ascii="Verdana" w:hAnsi="Verdana"/>
          <w:sz w:val="20"/>
          <w:szCs w:val="20"/>
          <w:lang w:val="en-GB"/>
        </w:rPr>
      </w:pPr>
      <w:r w:rsidRPr="00E11FC2">
        <w:rPr>
          <w:rFonts w:ascii="Verdana" w:hAnsi="Verdana"/>
          <w:sz w:val="20"/>
          <w:szCs w:val="20"/>
          <w:lang w:val="en-GB"/>
        </w:rPr>
        <w:t>To continue to provide expert technical support to Guyana towards attaining MSC certification for their trawl industrial fishery for seabob.</w:t>
      </w:r>
      <w:bookmarkEnd w:id="50"/>
      <w:r w:rsidRPr="00E11FC2">
        <w:rPr>
          <w:rFonts w:ascii="Verdana" w:hAnsi="Verdana"/>
          <w:sz w:val="20"/>
          <w:szCs w:val="20"/>
          <w:lang w:val="en-GB"/>
        </w:rPr>
        <w:t xml:space="preserve"> Project activities to focus on data collection and sampling protocols in particular:</w:t>
      </w:r>
    </w:p>
    <w:p w14:paraId="71123B04" w14:textId="77777777" w:rsidR="001E1A72" w:rsidRPr="00E11FC2" w:rsidRDefault="001E1A72" w:rsidP="0040340C">
      <w:pPr>
        <w:pStyle w:val="ListParagraph"/>
        <w:numPr>
          <w:ilvl w:val="0"/>
          <w:numId w:val="4"/>
        </w:numPr>
        <w:spacing w:line="360" w:lineRule="auto"/>
        <w:jc w:val="both"/>
        <w:rPr>
          <w:rFonts w:ascii="Verdana" w:hAnsi="Verdana"/>
          <w:sz w:val="20"/>
          <w:szCs w:val="20"/>
          <w:lang w:val="en-GB"/>
        </w:rPr>
      </w:pPr>
      <w:r w:rsidRPr="00E11FC2">
        <w:rPr>
          <w:rFonts w:ascii="Verdana" w:hAnsi="Verdana"/>
          <w:sz w:val="20"/>
          <w:szCs w:val="20"/>
          <w:lang w:val="en-GB"/>
        </w:rPr>
        <w:t>Developing/modifying their sampling programme in light of the explanatory analyses that we have done in Year II</w:t>
      </w:r>
    </w:p>
    <w:p w14:paraId="636EF64C" w14:textId="77777777" w:rsidR="001E1A72" w:rsidRPr="00E11FC2" w:rsidRDefault="001E1A72" w:rsidP="0040340C">
      <w:pPr>
        <w:pStyle w:val="ListParagraph"/>
        <w:numPr>
          <w:ilvl w:val="0"/>
          <w:numId w:val="4"/>
        </w:numPr>
        <w:spacing w:line="360" w:lineRule="auto"/>
        <w:jc w:val="both"/>
        <w:rPr>
          <w:rFonts w:ascii="Verdana" w:hAnsi="Verdana"/>
          <w:sz w:val="20"/>
          <w:szCs w:val="20"/>
          <w:lang w:val="en-GB"/>
        </w:rPr>
      </w:pPr>
      <w:r w:rsidRPr="00E11FC2">
        <w:rPr>
          <w:rFonts w:ascii="Verdana" w:hAnsi="Verdana"/>
          <w:sz w:val="20"/>
          <w:szCs w:val="20"/>
          <w:lang w:val="en-GB"/>
        </w:rPr>
        <w:t>Environmental and socio-economic impact assessments</w:t>
      </w:r>
    </w:p>
    <w:p w14:paraId="32EBA68A" w14:textId="77777777" w:rsidR="001E1A72" w:rsidRPr="00E11FC2" w:rsidRDefault="001E1A72" w:rsidP="0040340C">
      <w:pPr>
        <w:pStyle w:val="ListParagraph"/>
        <w:numPr>
          <w:ilvl w:val="0"/>
          <w:numId w:val="4"/>
        </w:numPr>
        <w:spacing w:line="360" w:lineRule="auto"/>
        <w:jc w:val="both"/>
        <w:rPr>
          <w:rFonts w:ascii="Verdana" w:hAnsi="Verdana"/>
          <w:sz w:val="20"/>
          <w:szCs w:val="20"/>
          <w:lang w:val="en-GB"/>
        </w:rPr>
      </w:pPr>
      <w:r w:rsidRPr="00E11FC2">
        <w:rPr>
          <w:rFonts w:ascii="Verdana" w:hAnsi="Verdana"/>
          <w:sz w:val="20"/>
          <w:szCs w:val="20"/>
          <w:lang w:val="en-GB"/>
        </w:rPr>
        <w:t>Strategic planning and operational management of an observer programme for the seabob fishery.</w:t>
      </w:r>
    </w:p>
    <w:p w14:paraId="1560C950" w14:textId="4F7BECBD" w:rsidR="001E1A72" w:rsidRDefault="001E1A72" w:rsidP="001E1A72">
      <w:pPr>
        <w:pStyle w:val="ListParagraph"/>
        <w:ind w:left="720"/>
        <w:rPr>
          <w:rFonts w:ascii="Verdana" w:hAnsi="Verdana"/>
          <w:lang w:val="en-GB"/>
        </w:rPr>
      </w:pPr>
    </w:p>
    <w:p w14:paraId="6035F995" w14:textId="77777777" w:rsidR="00CD09F9" w:rsidRPr="00E11FC2" w:rsidRDefault="00CD09F9" w:rsidP="001E1A72">
      <w:pPr>
        <w:pStyle w:val="ListParagraph"/>
        <w:ind w:left="720"/>
        <w:rPr>
          <w:rFonts w:ascii="Verdana" w:hAnsi="Verdana"/>
          <w:lang w:val="en-GB"/>
        </w:rPr>
      </w:pPr>
    </w:p>
    <w:p w14:paraId="3D17B8FC" w14:textId="77777777" w:rsidR="001E1A72" w:rsidRPr="00E11FC2" w:rsidRDefault="001E1A72" w:rsidP="000215ED">
      <w:pPr>
        <w:pStyle w:val="Heading1"/>
        <w:rPr>
          <w:lang w:val="en-GB"/>
        </w:rPr>
      </w:pPr>
      <w:bookmarkStart w:id="53" w:name="_Toc508014180"/>
      <w:bookmarkStart w:id="54" w:name="_Toc512593427"/>
      <w:bookmarkStart w:id="55" w:name="_Toc512867211"/>
      <w:r w:rsidRPr="00E11FC2">
        <w:rPr>
          <w:lang w:val="en-GB"/>
        </w:rPr>
        <w:lastRenderedPageBreak/>
        <w:t>References</w:t>
      </w:r>
      <w:bookmarkEnd w:id="53"/>
      <w:bookmarkEnd w:id="54"/>
      <w:bookmarkEnd w:id="55"/>
    </w:p>
    <w:p w14:paraId="52207ADB" w14:textId="77777777" w:rsidR="001E1A72" w:rsidRPr="00E11FC2" w:rsidRDefault="001E1A72" w:rsidP="00890214">
      <w:pPr>
        <w:spacing w:before="120" w:line="360" w:lineRule="auto"/>
        <w:ind w:left="720" w:hanging="720"/>
        <w:rPr>
          <w:rFonts w:ascii="Verdana" w:hAnsi="Verdana"/>
          <w:sz w:val="20"/>
          <w:szCs w:val="20"/>
          <w:lang w:val="en-GB"/>
        </w:rPr>
      </w:pPr>
      <w:r w:rsidRPr="00E11FC2">
        <w:rPr>
          <w:rFonts w:ascii="Verdana" w:hAnsi="Verdana"/>
          <w:sz w:val="20"/>
          <w:szCs w:val="20"/>
          <w:lang w:val="en-GB"/>
        </w:rPr>
        <w:t>Baddeley A., Rubak E. and Turner R. (2015). Spatial Point Patterns: Methodology and Applications with R. Chapman and Hall/CRC Press.</w:t>
      </w:r>
    </w:p>
    <w:p w14:paraId="4315FF32" w14:textId="77777777" w:rsidR="001E1A72" w:rsidRPr="00E11FC2" w:rsidRDefault="001E1A72" w:rsidP="0040340C">
      <w:pPr>
        <w:spacing w:line="360" w:lineRule="auto"/>
        <w:ind w:left="720" w:hanging="720"/>
        <w:rPr>
          <w:rFonts w:ascii="Verdana" w:hAnsi="Verdana"/>
          <w:sz w:val="20"/>
          <w:szCs w:val="20"/>
          <w:lang w:val="en-GB"/>
        </w:rPr>
      </w:pPr>
      <w:r w:rsidRPr="00E11FC2">
        <w:rPr>
          <w:rFonts w:ascii="Verdana" w:hAnsi="Verdana"/>
          <w:sz w:val="20"/>
          <w:szCs w:val="20"/>
          <w:lang w:val="en-GB"/>
        </w:rPr>
        <w:t xml:space="preserve">Charrad, Malika, Nadia Ghazzali, Véronique Boiteau, and Azam Niknafs. 2014. “NbClust: An R Package for Determining the Relevant Number of Clusters in a Data Set.” Journal of Statistical Software 61: 1-36. http://www.jstatsoft.org/v61/i06/paper. </w:t>
      </w:r>
    </w:p>
    <w:p w14:paraId="3DEC00A0" w14:textId="77777777" w:rsidR="001E1A72" w:rsidRPr="00E11FC2" w:rsidRDefault="001E1A72" w:rsidP="0040340C">
      <w:pPr>
        <w:spacing w:line="360" w:lineRule="auto"/>
        <w:ind w:left="720" w:hanging="720"/>
        <w:rPr>
          <w:rFonts w:ascii="Verdana" w:hAnsi="Verdana"/>
          <w:sz w:val="20"/>
          <w:szCs w:val="20"/>
          <w:lang w:val="en-GB"/>
        </w:rPr>
      </w:pPr>
      <w:r w:rsidRPr="00E11FC2">
        <w:rPr>
          <w:rFonts w:ascii="Verdana" w:hAnsi="Verdana"/>
          <w:sz w:val="20"/>
          <w:szCs w:val="20"/>
          <w:lang w:val="en-GB"/>
        </w:rPr>
        <w:t>Dufrene, M. and Legendre, P. 1997. Species assemblages and indicator species: the need for a flexible asymmetrical approach. Ecol. Monogr. 67(3):345-366.</w:t>
      </w:r>
    </w:p>
    <w:p w14:paraId="21E0BD56" w14:textId="77777777" w:rsidR="001E1A72" w:rsidRPr="00E11FC2" w:rsidRDefault="001E1A72" w:rsidP="0040340C">
      <w:pPr>
        <w:spacing w:line="360" w:lineRule="auto"/>
        <w:ind w:left="720" w:hanging="720"/>
        <w:rPr>
          <w:rFonts w:ascii="Verdana" w:hAnsi="Verdana"/>
          <w:sz w:val="20"/>
          <w:szCs w:val="20"/>
          <w:lang w:val="en-GB"/>
        </w:rPr>
      </w:pPr>
      <w:r w:rsidRPr="00E11FC2">
        <w:rPr>
          <w:rFonts w:ascii="Verdana" w:hAnsi="Verdana"/>
          <w:sz w:val="20"/>
          <w:szCs w:val="20"/>
          <w:lang w:val="en-GB"/>
        </w:rPr>
        <w:t>Hothorn, T., Hornik, K. and Zeileis, A.  (2006).  Unbiased recursive partitioning: A conditional inference framework.  Journal of Computational and Graphical statistics 15, 651-674.</w:t>
      </w:r>
    </w:p>
    <w:p w14:paraId="45CC6375" w14:textId="77777777" w:rsidR="001E1A72" w:rsidRPr="00E11FC2" w:rsidRDefault="001E1A72" w:rsidP="0040340C">
      <w:pPr>
        <w:spacing w:line="360" w:lineRule="auto"/>
        <w:ind w:left="720" w:hanging="720"/>
        <w:rPr>
          <w:rFonts w:ascii="Verdana" w:hAnsi="Verdana"/>
          <w:sz w:val="20"/>
          <w:szCs w:val="20"/>
          <w:lang w:val="en-GB"/>
        </w:rPr>
      </w:pPr>
      <w:r w:rsidRPr="00E11FC2">
        <w:rPr>
          <w:rFonts w:ascii="Verdana" w:hAnsi="Verdana"/>
          <w:sz w:val="20"/>
          <w:szCs w:val="20"/>
          <w:lang w:val="en-GB"/>
        </w:rPr>
        <w:t>Kaufman, Leonard, and Peter Rousseeuw. 1990. Finding Groups in Data: An Introduction to Cluster Analysis.</w:t>
      </w:r>
    </w:p>
    <w:p w14:paraId="4D1069D4" w14:textId="77777777" w:rsidR="001E1A72" w:rsidRPr="00E11FC2" w:rsidRDefault="001E1A72" w:rsidP="0040340C">
      <w:pPr>
        <w:spacing w:line="360" w:lineRule="auto"/>
        <w:ind w:left="720" w:hanging="720"/>
        <w:rPr>
          <w:rFonts w:ascii="Verdana" w:hAnsi="Verdana"/>
          <w:sz w:val="20"/>
          <w:szCs w:val="20"/>
          <w:lang w:val="en-GB"/>
        </w:rPr>
      </w:pPr>
      <w:r w:rsidRPr="00E11FC2">
        <w:rPr>
          <w:rFonts w:ascii="Verdana" w:hAnsi="Verdana"/>
          <w:sz w:val="20"/>
          <w:szCs w:val="20"/>
          <w:lang w:val="en-GB"/>
        </w:rPr>
        <w:t>Lundblad, E. R., Wright, D. J., Miller, J., Larkin, E. M., Rinehart, R., Naar, D. F., Donahue, B. T., Anderson, S. M. and Battista, T.  (2006).  A benthic terrain classification scheme for American Samoa.  Marine Geodesy 29, 89-111.</w:t>
      </w:r>
    </w:p>
    <w:p w14:paraId="09B8BA31" w14:textId="77777777" w:rsidR="001E1A72" w:rsidRPr="00E11FC2" w:rsidRDefault="001E1A72" w:rsidP="0040340C">
      <w:pPr>
        <w:spacing w:line="360" w:lineRule="auto"/>
        <w:ind w:left="720" w:hanging="720"/>
        <w:rPr>
          <w:rFonts w:ascii="Verdana" w:hAnsi="Verdana"/>
          <w:sz w:val="20"/>
          <w:szCs w:val="20"/>
          <w:lang w:val="en-GB"/>
        </w:rPr>
      </w:pPr>
      <w:r w:rsidRPr="00E11FC2">
        <w:rPr>
          <w:rFonts w:ascii="Verdana" w:hAnsi="Verdana"/>
          <w:sz w:val="20"/>
          <w:szCs w:val="20"/>
          <w:lang w:val="en-GB"/>
        </w:rPr>
        <w:t xml:space="preserve">R Development Core Team (2017).  R: A language and environment for statistical computing.  R Foundation for Statistical Computing.  Vienna, Austria.  URL http://www.R-project.org </w:t>
      </w:r>
    </w:p>
    <w:p w14:paraId="0ECBAAEB" w14:textId="77777777" w:rsidR="001E1A72" w:rsidRPr="00E11FC2" w:rsidRDefault="001E1A72" w:rsidP="0040340C">
      <w:pPr>
        <w:spacing w:line="360" w:lineRule="auto"/>
        <w:ind w:left="720" w:hanging="720"/>
        <w:rPr>
          <w:rFonts w:ascii="Verdana" w:hAnsi="Verdana"/>
          <w:sz w:val="20"/>
          <w:szCs w:val="20"/>
          <w:lang w:val="en-GB"/>
        </w:rPr>
      </w:pPr>
      <w:r w:rsidRPr="00E11FC2">
        <w:rPr>
          <w:rFonts w:ascii="Verdana" w:hAnsi="Verdana"/>
          <w:sz w:val="20"/>
          <w:szCs w:val="20"/>
          <w:lang w:val="en-GB"/>
        </w:rPr>
        <w:t>Walbridge, S.; Slocum, N.; Pobuda, M.; Wright, D.J. Unified Geomorphological Analysis Workflows with Benthic Terrain Modeler. Geosciences 2018, 8, 94. doi:10.3390/geosciences8030094</w:t>
      </w:r>
    </w:p>
    <w:p w14:paraId="3668A6EE" w14:textId="77777777" w:rsidR="001E1A72" w:rsidRPr="00E11FC2" w:rsidRDefault="001E1A72" w:rsidP="0040340C">
      <w:pPr>
        <w:spacing w:line="360" w:lineRule="auto"/>
        <w:ind w:left="720" w:hanging="720"/>
        <w:rPr>
          <w:rFonts w:ascii="Verdana" w:hAnsi="Verdana"/>
          <w:sz w:val="20"/>
          <w:szCs w:val="20"/>
          <w:lang w:val="en-GB"/>
        </w:rPr>
      </w:pPr>
      <w:r w:rsidRPr="00E11FC2">
        <w:rPr>
          <w:rFonts w:ascii="Verdana" w:hAnsi="Verdana"/>
          <w:sz w:val="20"/>
          <w:szCs w:val="20"/>
          <w:lang w:val="en-GB"/>
        </w:rPr>
        <w:t>Willems, Tomas (2018). Impact of Guyana seabob trawl fishery on marine habitats and ecosystems: A preliminary assessment. A Report prepared for the Guyana Association of Trawler Owners &amp; Seafood Processors (GATO&amp;SP) Jackson Street Republic Park, East Bank Demerara, Guyana.</w:t>
      </w:r>
    </w:p>
    <w:p w14:paraId="67D8BCB8" w14:textId="77777777" w:rsidR="001E1A72" w:rsidRPr="00E11FC2" w:rsidRDefault="001E1A72" w:rsidP="001E1A72">
      <w:pPr>
        <w:pStyle w:val="TOC2"/>
      </w:pPr>
    </w:p>
    <w:p w14:paraId="5240515E" w14:textId="77777777" w:rsidR="007A31F7" w:rsidRPr="00E11FC2" w:rsidRDefault="007A31F7" w:rsidP="007A31F7">
      <w:pPr>
        <w:rPr>
          <w:lang w:val="en-GB"/>
        </w:rPr>
      </w:pPr>
    </w:p>
    <w:p w14:paraId="660B5E10" w14:textId="5D246773" w:rsidR="007A31F7" w:rsidRPr="00E11FC2" w:rsidRDefault="007A31F7" w:rsidP="007A31F7">
      <w:pPr>
        <w:rPr>
          <w:lang w:val="en-GB"/>
        </w:rPr>
      </w:pPr>
    </w:p>
    <w:p w14:paraId="58A1863C" w14:textId="77777777" w:rsidR="007A31F7" w:rsidRPr="00E11FC2" w:rsidRDefault="007A31F7" w:rsidP="007A31F7">
      <w:pPr>
        <w:rPr>
          <w:lang w:val="en-GB"/>
        </w:rPr>
      </w:pPr>
    </w:p>
    <w:p w14:paraId="7DD53024" w14:textId="76A4D9C6" w:rsidR="007A31F7" w:rsidRPr="00E11FC2" w:rsidRDefault="007A31F7">
      <w:pPr>
        <w:rPr>
          <w:lang w:val="en-GB"/>
        </w:rPr>
      </w:pPr>
    </w:p>
    <w:p w14:paraId="2D437525" w14:textId="77777777" w:rsidR="007A31F7" w:rsidRPr="00E11FC2" w:rsidRDefault="007A31F7">
      <w:pPr>
        <w:rPr>
          <w:lang w:val="en-GB"/>
        </w:rPr>
      </w:pPr>
    </w:p>
    <w:p w14:paraId="76DBBF3C" w14:textId="77777777" w:rsidR="008D3DF3" w:rsidRPr="00E11FC2" w:rsidRDefault="008D3DF3">
      <w:pPr>
        <w:rPr>
          <w:lang w:val="en-GB"/>
        </w:rPr>
      </w:pPr>
    </w:p>
    <w:p w14:paraId="674456BB" w14:textId="77777777" w:rsidR="008D3DF3" w:rsidRPr="00E11FC2" w:rsidRDefault="008D3DF3">
      <w:pPr>
        <w:rPr>
          <w:lang w:val="en-GB"/>
        </w:rPr>
      </w:pPr>
    </w:p>
    <w:p w14:paraId="43C0408A" w14:textId="77777777" w:rsidR="008D3DF3" w:rsidRPr="00E11FC2" w:rsidRDefault="008D3DF3">
      <w:pPr>
        <w:rPr>
          <w:lang w:val="en-GB"/>
        </w:rPr>
      </w:pPr>
    </w:p>
    <w:sectPr w:rsidR="008D3DF3" w:rsidRPr="00E11FC2" w:rsidSect="008D3DF3">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A6DFD" w14:textId="77777777" w:rsidR="00A55FB1" w:rsidRDefault="00A55FB1" w:rsidP="008D3DF3">
      <w:r>
        <w:separator/>
      </w:r>
    </w:p>
  </w:endnote>
  <w:endnote w:type="continuationSeparator" w:id="0">
    <w:p w14:paraId="71A5036B" w14:textId="77777777" w:rsidR="00A55FB1" w:rsidRDefault="00A55FB1" w:rsidP="008D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0064" w14:textId="77777777" w:rsidR="005C5190" w:rsidRDefault="005C5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030036905"/>
      <w:docPartObj>
        <w:docPartGallery w:val="Page Numbers (Bottom of Page)"/>
        <w:docPartUnique/>
      </w:docPartObj>
    </w:sdtPr>
    <w:sdtEndPr>
      <w:rPr>
        <w:noProof/>
      </w:rPr>
    </w:sdtEndPr>
    <w:sdtContent>
      <w:p w14:paraId="33E7CD12" w14:textId="518076A2" w:rsidR="005C5190" w:rsidRPr="00AE367F" w:rsidRDefault="005C5190">
        <w:pPr>
          <w:pStyle w:val="Footer"/>
          <w:rPr>
            <w:rFonts w:ascii="Arial" w:hAnsi="Arial" w:cs="Arial"/>
            <w:sz w:val="20"/>
            <w:szCs w:val="20"/>
          </w:rPr>
        </w:pPr>
        <w:r w:rsidRPr="00AE367F">
          <w:rPr>
            <w:rFonts w:ascii="Arial" w:hAnsi="Arial" w:cs="Arial"/>
            <w:sz w:val="20"/>
            <w:szCs w:val="20"/>
          </w:rPr>
          <w:fldChar w:fldCharType="begin"/>
        </w:r>
        <w:r w:rsidRPr="00AE367F">
          <w:rPr>
            <w:rFonts w:ascii="Arial" w:hAnsi="Arial" w:cs="Arial"/>
            <w:sz w:val="20"/>
            <w:szCs w:val="20"/>
          </w:rPr>
          <w:instrText xml:space="preserve"> PAGE   \* MERGEFORMAT </w:instrText>
        </w:r>
        <w:r w:rsidRPr="00AE367F">
          <w:rPr>
            <w:rFonts w:ascii="Arial" w:hAnsi="Arial" w:cs="Arial"/>
            <w:sz w:val="20"/>
            <w:szCs w:val="20"/>
          </w:rPr>
          <w:fldChar w:fldCharType="separate"/>
        </w:r>
        <w:r w:rsidR="003609FA">
          <w:rPr>
            <w:rFonts w:ascii="Arial" w:hAnsi="Arial" w:cs="Arial"/>
            <w:noProof/>
            <w:sz w:val="20"/>
            <w:szCs w:val="20"/>
          </w:rPr>
          <w:t>28</w:t>
        </w:r>
        <w:r w:rsidRPr="00AE367F">
          <w:rPr>
            <w:rFonts w:ascii="Arial" w:hAnsi="Arial" w:cs="Arial"/>
            <w:noProof/>
            <w:sz w:val="20"/>
            <w:szCs w:val="20"/>
          </w:rPr>
          <w:fldChar w:fldCharType="end"/>
        </w:r>
      </w:p>
    </w:sdtContent>
  </w:sdt>
  <w:p w14:paraId="5EB2F917" w14:textId="77777777" w:rsidR="005C5190" w:rsidRDefault="005C5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C160" w14:textId="77777777" w:rsidR="005C5190" w:rsidRDefault="005C5190" w:rsidP="008D3DF3">
    <w:pPr>
      <w:pStyle w:val="Footer"/>
      <w:tabs>
        <w:tab w:val="clear" w:pos="4513"/>
        <w:tab w:val="clear" w:pos="9026"/>
        <w:tab w:val="left" w:pos="4410"/>
        <w:tab w:val="left" w:pos="8370"/>
      </w:tabs>
      <w:rPr>
        <w:rStyle w:val="UKHOfooterlinkChar"/>
      </w:rPr>
    </w:pPr>
    <w:r>
      <w:rPr>
        <w:noProof/>
        <w:lang w:val="en-US"/>
      </w:rPr>
      <w:drawing>
        <wp:anchor distT="0" distB="0" distL="114300" distR="114300" simplePos="0" relativeHeight="251660288" behindDoc="0" locked="0" layoutInCell="1" allowOverlap="1" wp14:anchorId="24E21E26" wp14:editId="3DCB330F">
          <wp:simplePos x="0" y="0"/>
          <wp:positionH relativeFrom="page">
            <wp:align>right</wp:align>
          </wp:positionH>
          <wp:positionV relativeFrom="paragraph">
            <wp:posOffset>-1015365</wp:posOffset>
          </wp:positionV>
          <wp:extent cx="7559040" cy="1005840"/>
          <wp:effectExtent l="0" t="0" r="381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8404_UKHO_CME_letterhead_v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05840"/>
                  </a:xfrm>
                  <a:prstGeom prst="rect">
                    <a:avLst/>
                  </a:prstGeom>
                </pic:spPr>
              </pic:pic>
            </a:graphicData>
          </a:graphic>
          <wp14:sizeRelH relativeFrom="page">
            <wp14:pctWidth>0</wp14:pctWidth>
          </wp14:sizeRelH>
          <wp14:sizeRelV relativeFrom="page">
            <wp14:pctHeight>0</wp14:pctHeight>
          </wp14:sizeRelV>
        </wp:anchor>
      </w:drawing>
    </w:r>
  </w:p>
  <w:p w14:paraId="68764F26" w14:textId="77777777" w:rsidR="005C5190" w:rsidRPr="0001770C" w:rsidRDefault="005C5190" w:rsidP="008D3DF3">
    <w:pPr>
      <w:pStyle w:val="UKHOfooterlink"/>
      <w:rPr>
        <w:rStyle w:val="UKHOfooterlinkChar"/>
        <w:b/>
      </w:rPr>
    </w:pPr>
    <w:r w:rsidRPr="0001770C">
      <w:rPr>
        <w:rStyle w:val="UKHOfooterlinkChar"/>
      </w:rPr>
      <w:t>Centre for Environment, Fisheries and</w:t>
    </w:r>
    <w:r>
      <w:rPr>
        <w:rStyle w:val="UKHOfooterlinkChar"/>
      </w:rPr>
      <w:tab/>
      <w:t>Uni</w:t>
    </w:r>
    <w:r w:rsidRPr="00ED2F94">
      <w:rPr>
        <w:rStyle w:val="UKHOfooterlinkChar"/>
      </w:rPr>
      <w:t>ted Ki</w:t>
    </w:r>
    <w:r>
      <w:rPr>
        <w:rStyle w:val="UKHOfooterlinkChar"/>
      </w:rPr>
      <w:t xml:space="preserve">ngdom Hydrographic Office (UKHO) </w:t>
    </w:r>
    <w:r>
      <w:rPr>
        <w:rStyle w:val="UKHOfooterlinkChar"/>
      </w:rPr>
      <w:tab/>
    </w:r>
    <w:r>
      <w:rPr>
        <w:rStyle w:val="UKHOfooterlinkChar"/>
      </w:rPr>
      <w:tab/>
      <w:t xml:space="preserve">National </w:t>
    </w:r>
    <w:r w:rsidRPr="00ED2F94">
      <w:rPr>
        <w:rStyle w:val="UKHOfooterlinkChar"/>
      </w:rPr>
      <w:t>Oceanography Centre (NOC)</w:t>
    </w:r>
    <w:r w:rsidRPr="0001770C">
      <w:rPr>
        <w:rStyle w:val="UKHOfooterlinkChar"/>
      </w:rPr>
      <w:br/>
      <w:t>Aquaculture Science (Cefas)</w:t>
    </w:r>
    <w:r>
      <w:rPr>
        <w:rStyle w:val="UKHOfooterlinkChar"/>
      </w:rPr>
      <w:tab/>
    </w:r>
    <w:r w:rsidRPr="00ED2F94">
      <w:rPr>
        <w:rStyle w:val="UKHOfooterlinkChar"/>
      </w:rPr>
      <w:t>Admiralty Way, Taunton, Somerset, TA1 2DN</w:t>
    </w:r>
    <w:r>
      <w:rPr>
        <w:rStyle w:val="UKHOfooterlinkChar"/>
      </w:rPr>
      <w:tab/>
    </w:r>
    <w:r>
      <w:rPr>
        <w:rStyle w:val="UKHOfooterlinkChar"/>
      </w:rPr>
      <w:tab/>
      <w:t xml:space="preserve">European </w:t>
    </w:r>
    <w:r w:rsidRPr="00ED2F94">
      <w:rPr>
        <w:rStyle w:val="UKHOfooterlinkChar"/>
      </w:rPr>
      <w:t xml:space="preserve">Way, Southampton, Hampshire, </w:t>
    </w:r>
  </w:p>
  <w:p w14:paraId="1DC74564" w14:textId="77777777" w:rsidR="005C5190" w:rsidRPr="0001770C" w:rsidRDefault="005C5190" w:rsidP="008D3DF3">
    <w:pPr>
      <w:pStyle w:val="UKHOfooterlink"/>
      <w:rPr>
        <w:rStyle w:val="UKHOfooterlinkChar"/>
      </w:rPr>
    </w:pPr>
    <w:r>
      <w:rPr>
        <w:rStyle w:val="UKHOfooterlinkChar"/>
      </w:rPr>
      <w:t>Pake</w:t>
    </w:r>
    <w:r w:rsidRPr="0001770C">
      <w:rPr>
        <w:rStyle w:val="UKHOfooterlinkChar"/>
      </w:rPr>
      <w:t>field Road, Lowestoft, Suffolk, NR33 0HT</w:t>
    </w:r>
    <w:r>
      <w:rPr>
        <w:rStyle w:val="UKHOfooterlinkChar"/>
      </w:rPr>
      <w:tab/>
    </w:r>
    <w:r>
      <w:rPr>
        <w:rStyle w:val="UKHOfooterlinkChar"/>
      </w:rPr>
      <w:tab/>
    </w:r>
    <w:r>
      <w:rPr>
        <w:rStyle w:val="UKHOfooterlinkChar"/>
      </w:rPr>
      <w:tab/>
      <w:t>SO14 3ZH</w:t>
    </w:r>
  </w:p>
  <w:p w14:paraId="00BDC5FA" w14:textId="77777777" w:rsidR="005C5190" w:rsidRPr="00890D72" w:rsidRDefault="00A55FB1" w:rsidP="008D3DF3">
    <w:pPr>
      <w:pStyle w:val="UKHOfooterlink"/>
    </w:pPr>
    <w:hyperlink r:id="rId2" w:tooltip="Go to website" w:history="1">
      <w:r w:rsidR="005C5190" w:rsidRPr="0001770C">
        <w:rPr>
          <w:rStyle w:val="UKHOfooterlinkChar"/>
          <w:color w:val="004D89"/>
        </w:rPr>
        <w:t>www.cefas.co.uk</w:t>
      </w:r>
    </w:hyperlink>
    <w:r w:rsidR="005C5190" w:rsidRPr="00890D72">
      <w:rPr>
        <w:rStyle w:val="UKHOfooterlinkChar"/>
      </w:rPr>
      <w:tab/>
    </w:r>
    <w:hyperlink r:id="rId3" w:tooltip="Go to website" w:history="1">
      <w:r w:rsidR="005C5190" w:rsidRPr="00ED2F94">
        <w:rPr>
          <w:rStyle w:val="UKHOfooterlinkChar"/>
          <w:color w:val="004D89"/>
        </w:rPr>
        <w:t>www.gov.uk/ukho</w:t>
      </w:r>
    </w:hyperlink>
    <w:r w:rsidR="005C5190" w:rsidRPr="00890D72">
      <w:rPr>
        <w:rStyle w:val="UKHOfooterlinkChar"/>
      </w:rPr>
      <w:tab/>
    </w:r>
    <w:r w:rsidR="005C5190">
      <w:rPr>
        <w:rStyle w:val="UKHOfooterlinkChar"/>
      </w:rPr>
      <w:tab/>
    </w:r>
    <w:hyperlink r:id="rId4" w:tooltip="Go to website" w:history="1">
      <w:r w:rsidR="005C5190" w:rsidRPr="00ED2F94">
        <w:rPr>
          <w:rStyle w:val="UKHOfooterlinkChar"/>
          <w:color w:val="004D89"/>
        </w:rPr>
        <w:t>www.noc.ac.uk</w:t>
      </w:r>
    </w:hyperlink>
  </w:p>
  <w:p w14:paraId="0B60C796" w14:textId="77777777" w:rsidR="005C5190" w:rsidRDefault="005C5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E1A00" w14:textId="77777777" w:rsidR="00A55FB1" w:rsidRDefault="00A55FB1" w:rsidP="008D3DF3">
      <w:r>
        <w:separator/>
      </w:r>
    </w:p>
  </w:footnote>
  <w:footnote w:type="continuationSeparator" w:id="0">
    <w:p w14:paraId="4EA6C94B" w14:textId="77777777" w:rsidR="00A55FB1" w:rsidRDefault="00A55FB1" w:rsidP="008D3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11DA" w14:textId="77777777" w:rsidR="005C5190" w:rsidRDefault="005C5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1D616" w14:textId="77777777" w:rsidR="005C5190" w:rsidRDefault="005C5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8CF8" w14:textId="768B8E50" w:rsidR="005C5190" w:rsidRDefault="005C5190" w:rsidP="009043D9">
    <w:pPr>
      <w:pStyle w:val="Header"/>
      <w:tabs>
        <w:tab w:val="clear" w:pos="4513"/>
        <w:tab w:val="clear" w:pos="9026"/>
        <w:tab w:val="left" w:pos="1991"/>
      </w:tabs>
    </w:pPr>
    <w:r>
      <w:rPr>
        <w:noProof/>
        <w:lang w:val="en-US"/>
      </w:rPr>
      <w:drawing>
        <wp:anchor distT="0" distB="0" distL="114300" distR="114300" simplePos="0" relativeHeight="251658240" behindDoc="1" locked="0" layoutInCell="1" allowOverlap="1" wp14:anchorId="3891B5FC" wp14:editId="7D4984FF">
          <wp:simplePos x="0" y="0"/>
          <wp:positionH relativeFrom="margin">
            <wp:posOffset>-1144905</wp:posOffset>
          </wp:positionH>
          <wp:positionV relativeFrom="paragraph">
            <wp:posOffset>-360045</wp:posOffset>
          </wp:positionV>
          <wp:extent cx="8025130" cy="1621790"/>
          <wp:effectExtent l="0" t="0" r="0" b="0"/>
          <wp:wrapTight wrapText="bothSides">
            <wp:wrapPolygon edited="0">
              <wp:start x="0" y="0"/>
              <wp:lineTo x="0" y="21312"/>
              <wp:lineTo x="21535" y="21312"/>
              <wp:lineTo x="215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EP Report Banner.png"/>
                  <pic:cNvPicPr/>
                </pic:nvPicPr>
                <pic:blipFill>
                  <a:blip r:embed="rId1">
                    <a:extLst>
                      <a:ext uri="{28A0092B-C50C-407E-A947-70E740481C1C}">
                        <a14:useLocalDpi xmlns:a14="http://schemas.microsoft.com/office/drawing/2010/main" val="0"/>
                      </a:ext>
                    </a:extLst>
                  </a:blip>
                  <a:stretch>
                    <a:fillRect/>
                  </a:stretch>
                </pic:blipFill>
                <pic:spPr>
                  <a:xfrm>
                    <a:off x="0" y="0"/>
                    <a:ext cx="8025130" cy="1621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585"/>
    <w:multiLevelType w:val="hybridMultilevel"/>
    <w:tmpl w:val="7F54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21755"/>
    <w:multiLevelType w:val="hybridMultilevel"/>
    <w:tmpl w:val="9DA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23A41"/>
    <w:multiLevelType w:val="hybridMultilevel"/>
    <w:tmpl w:val="1792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B20564"/>
    <w:multiLevelType w:val="hybridMultilevel"/>
    <w:tmpl w:val="DDFA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067817"/>
    <w:multiLevelType w:val="hybridMultilevel"/>
    <w:tmpl w:val="97F8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065300"/>
    <w:multiLevelType w:val="hybridMultilevel"/>
    <w:tmpl w:val="023E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142461"/>
    <w:multiLevelType w:val="hybridMultilevel"/>
    <w:tmpl w:val="8E7C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3"/>
    <w:rsid w:val="000215ED"/>
    <w:rsid w:val="00142952"/>
    <w:rsid w:val="001E1A72"/>
    <w:rsid w:val="003609FA"/>
    <w:rsid w:val="0037100D"/>
    <w:rsid w:val="003E1509"/>
    <w:rsid w:val="0040340C"/>
    <w:rsid w:val="005C5190"/>
    <w:rsid w:val="00671692"/>
    <w:rsid w:val="00690643"/>
    <w:rsid w:val="00694402"/>
    <w:rsid w:val="007A31F7"/>
    <w:rsid w:val="00890214"/>
    <w:rsid w:val="00897ABC"/>
    <w:rsid w:val="008D3DF3"/>
    <w:rsid w:val="009043D9"/>
    <w:rsid w:val="009C2B46"/>
    <w:rsid w:val="009F1190"/>
    <w:rsid w:val="00A437B7"/>
    <w:rsid w:val="00A55FB1"/>
    <w:rsid w:val="00AE367F"/>
    <w:rsid w:val="00CD09F9"/>
    <w:rsid w:val="00CD48BD"/>
    <w:rsid w:val="00D071DE"/>
    <w:rsid w:val="00D16189"/>
    <w:rsid w:val="00DD0E5E"/>
    <w:rsid w:val="00E11FC2"/>
    <w:rsid w:val="00E72E2E"/>
    <w:rsid w:val="00F44125"/>
    <w:rsid w:val="00F778BD"/>
    <w:rsid w:val="00F80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95EB6"/>
  <w15:chartTrackingRefBased/>
  <w15:docId w15:val="{7CCE24A4-337B-462B-AE58-CE596C74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37B7"/>
    <w:pPr>
      <w:widowControl w:val="0"/>
      <w:spacing w:after="0" w:line="240" w:lineRule="auto"/>
    </w:pPr>
    <w:rPr>
      <w:rFonts w:ascii="Helvetica" w:eastAsia="Helvetica" w:hAnsi="Helvetica" w:cs="Helvetica"/>
      <w:lang w:val="en-US"/>
    </w:rPr>
  </w:style>
  <w:style w:type="paragraph" w:styleId="Heading1">
    <w:name w:val="heading 1"/>
    <w:basedOn w:val="Normal"/>
    <w:next w:val="Normal"/>
    <w:link w:val="Heading1Char"/>
    <w:uiPriority w:val="9"/>
    <w:qFormat/>
    <w:rsid w:val="00A437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1A7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DF3"/>
    <w:pPr>
      <w:widowControl/>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8D3DF3"/>
  </w:style>
  <w:style w:type="paragraph" w:styleId="Footer">
    <w:name w:val="footer"/>
    <w:aliases w:val="Footer link"/>
    <w:basedOn w:val="Normal"/>
    <w:link w:val="FooterChar"/>
    <w:uiPriority w:val="99"/>
    <w:unhideWhenUsed/>
    <w:rsid w:val="008D3DF3"/>
    <w:pPr>
      <w:widowControl/>
      <w:tabs>
        <w:tab w:val="center" w:pos="4513"/>
        <w:tab w:val="right" w:pos="9026"/>
      </w:tabs>
    </w:pPr>
    <w:rPr>
      <w:rFonts w:asciiTheme="minorHAnsi" w:eastAsiaTheme="minorHAnsi" w:hAnsiTheme="minorHAnsi" w:cstheme="minorBidi"/>
      <w:lang w:val="en-GB"/>
    </w:rPr>
  </w:style>
  <w:style w:type="character" w:customStyle="1" w:styleId="FooterChar">
    <w:name w:val="Footer Char"/>
    <w:aliases w:val="Footer link Char"/>
    <w:basedOn w:val="DefaultParagraphFont"/>
    <w:link w:val="Footer"/>
    <w:uiPriority w:val="99"/>
    <w:rsid w:val="008D3DF3"/>
  </w:style>
  <w:style w:type="paragraph" w:customStyle="1" w:styleId="UKHOfooterlink">
    <w:name w:val="UKHO footer link"/>
    <w:basedOn w:val="Footer"/>
    <w:link w:val="UKHOfooterlinkChar"/>
    <w:autoRedefine/>
    <w:uiPriority w:val="1"/>
    <w:qFormat/>
    <w:rsid w:val="008D3DF3"/>
    <w:pPr>
      <w:widowControl w:val="0"/>
      <w:tabs>
        <w:tab w:val="clear" w:pos="4513"/>
        <w:tab w:val="clear" w:pos="9026"/>
        <w:tab w:val="left" w:pos="-993"/>
        <w:tab w:val="left" w:pos="2835"/>
        <w:tab w:val="center" w:pos="6663"/>
        <w:tab w:val="center" w:pos="6804"/>
        <w:tab w:val="left" w:pos="8505"/>
      </w:tabs>
      <w:spacing w:before="20"/>
      <w:ind w:left="-993" w:right="-1493"/>
    </w:pPr>
    <w:rPr>
      <w:rFonts w:ascii="Helvetica" w:eastAsia="Helvetica" w:hAnsi="Helvetica" w:cs="Helvetica"/>
      <w:b/>
      <w:color w:val="575656"/>
      <w:sz w:val="14"/>
      <w:lang w:val="en-US"/>
    </w:rPr>
  </w:style>
  <w:style w:type="character" w:customStyle="1" w:styleId="UKHOfooterlinkChar">
    <w:name w:val="UKHO footer link Char"/>
    <w:basedOn w:val="FooterChar"/>
    <w:link w:val="UKHOfooterlink"/>
    <w:uiPriority w:val="1"/>
    <w:rsid w:val="008D3DF3"/>
    <w:rPr>
      <w:rFonts w:ascii="Helvetica" w:eastAsia="Helvetica" w:hAnsi="Helvetica" w:cs="Helvetica"/>
      <w:b/>
      <w:color w:val="575656"/>
      <w:sz w:val="14"/>
      <w:lang w:val="en-US"/>
    </w:rPr>
  </w:style>
  <w:style w:type="paragraph" w:customStyle="1" w:styleId="SectionHeading">
    <w:name w:val="Section Heading"/>
    <w:basedOn w:val="Heading1"/>
    <w:rsid w:val="00A437B7"/>
    <w:pPr>
      <w:widowControl/>
      <w:spacing w:before="320" w:after="320"/>
      <w:ind w:left="504" w:hanging="504"/>
      <w:outlineLvl w:val="9"/>
    </w:pPr>
    <w:rPr>
      <w:rFonts w:ascii="Arial" w:eastAsia="Times New Roman" w:hAnsi="Arial" w:cs="Arial"/>
      <w:b/>
      <w:bCs/>
      <w:color w:val="auto"/>
      <w:kern w:val="36"/>
      <w:lang w:val="en-GB"/>
    </w:rPr>
  </w:style>
  <w:style w:type="paragraph" w:customStyle="1" w:styleId="TableText">
    <w:name w:val="Table Text"/>
    <w:basedOn w:val="Normal"/>
    <w:uiPriority w:val="99"/>
    <w:rsid w:val="00A437B7"/>
    <w:pPr>
      <w:widowControl/>
      <w:spacing w:before="120" w:after="120" w:line="264" w:lineRule="auto"/>
    </w:pPr>
    <w:rPr>
      <w:rFonts w:ascii="Verdana" w:eastAsia="Times New Roman" w:hAnsi="Verdana" w:cs="Verdana"/>
      <w:spacing w:val="6"/>
      <w:kern w:val="20"/>
      <w:sz w:val="21"/>
      <w:szCs w:val="21"/>
      <w:lang w:val="en-GB"/>
    </w:rPr>
  </w:style>
  <w:style w:type="paragraph" w:styleId="NoSpacing">
    <w:name w:val="No Spacing"/>
    <w:basedOn w:val="Normal"/>
    <w:uiPriority w:val="1"/>
    <w:qFormat/>
    <w:rsid w:val="00A437B7"/>
    <w:pPr>
      <w:widowControl/>
      <w:jc w:val="both"/>
    </w:pPr>
    <w:rPr>
      <w:rFonts w:ascii="Calibri" w:eastAsiaTheme="minorHAnsi" w:hAnsi="Calibri" w:cs="Calibri"/>
      <w:color w:val="000000"/>
      <w:lang w:val="en-GB"/>
    </w:rPr>
  </w:style>
  <w:style w:type="character" w:customStyle="1" w:styleId="Heading1Char">
    <w:name w:val="Heading 1 Char"/>
    <w:basedOn w:val="DefaultParagraphFont"/>
    <w:link w:val="Heading1"/>
    <w:uiPriority w:val="9"/>
    <w:rsid w:val="00A437B7"/>
    <w:rPr>
      <w:rFonts w:asciiTheme="majorHAnsi" w:eastAsiaTheme="majorEastAsia" w:hAnsiTheme="majorHAnsi" w:cstheme="majorBidi"/>
      <w:color w:val="2F5496" w:themeColor="accent1" w:themeShade="BF"/>
      <w:sz w:val="32"/>
      <w:szCs w:val="32"/>
      <w:lang w:val="en-US"/>
    </w:rPr>
  </w:style>
  <w:style w:type="paragraph" w:styleId="BodyText">
    <w:name w:val="Body Text"/>
    <w:basedOn w:val="Normal"/>
    <w:link w:val="BodyTextChar"/>
    <w:uiPriority w:val="99"/>
    <w:qFormat/>
    <w:rsid w:val="00694402"/>
    <w:pPr>
      <w:ind w:left="547"/>
    </w:pPr>
    <w:rPr>
      <w:bCs/>
      <w:color w:val="575656"/>
      <w:sz w:val="18"/>
      <w:szCs w:val="14"/>
    </w:rPr>
  </w:style>
  <w:style w:type="character" w:customStyle="1" w:styleId="BodyTextChar">
    <w:name w:val="Body Text Char"/>
    <w:basedOn w:val="DefaultParagraphFont"/>
    <w:link w:val="BodyText"/>
    <w:uiPriority w:val="99"/>
    <w:rsid w:val="00694402"/>
    <w:rPr>
      <w:rFonts w:ascii="Helvetica" w:eastAsia="Helvetica" w:hAnsi="Helvetica" w:cs="Helvetica"/>
      <w:bCs/>
      <w:color w:val="575656"/>
      <w:sz w:val="18"/>
      <w:szCs w:val="14"/>
      <w:lang w:val="en-US"/>
    </w:rPr>
  </w:style>
  <w:style w:type="paragraph" w:customStyle="1" w:styleId="HITitle2">
    <w:name w:val="HI Title 2"/>
    <w:basedOn w:val="Normal"/>
    <w:uiPriority w:val="99"/>
    <w:rsid w:val="00694402"/>
    <w:pPr>
      <w:widowControl/>
      <w:jc w:val="center"/>
    </w:pPr>
    <w:rPr>
      <w:rFonts w:ascii="Arial" w:eastAsia="Times New Roman" w:hAnsi="Arial" w:cs="Arial"/>
      <w:sz w:val="52"/>
      <w:szCs w:val="52"/>
      <w:lang w:val="en-GB"/>
    </w:rPr>
  </w:style>
  <w:style w:type="table" w:styleId="TableGrid">
    <w:name w:val="Table Grid"/>
    <w:basedOn w:val="TableNormal"/>
    <w:uiPriority w:val="59"/>
    <w:rsid w:val="007A31F7"/>
    <w:pPr>
      <w:spacing w:after="0" w:line="240" w:lineRule="auto"/>
    </w:pPr>
    <w:rPr>
      <w:rFonts w:ascii="Verdana" w:eastAsia="Times New Roman" w:hAnsi="Verdana" w:cs="Verdana"/>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E1A72"/>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_Bullet"/>
    <w:basedOn w:val="Normal"/>
    <w:uiPriority w:val="34"/>
    <w:qFormat/>
    <w:rsid w:val="001E1A72"/>
  </w:style>
  <w:style w:type="character" w:styleId="Hyperlink">
    <w:name w:val="Hyperlink"/>
    <w:basedOn w:val="DefaultParagraphFont"/>
    <w:uiPriority w:val="99"/>
    <w:unhideWhenUsed/>
    <w:rsid w:val="001E1A72"/>
    <w:rPr>
      <w:color w:val="575656"/>
      <w:u w:val="single"/>
    </w:rPr>
  </w:style>
  <w:style w:type="paragraph" w:styleId="TOC2">
    <w:name w:val="toc 2"/>
    <w:basedOn w:val="Normal"/>
    <w:autoRedefine/>
    <w:uiPriority w:val="39"/>
    <w:rsid w:val="001E1A72"/>
    <w:pPr>
      <w:widowControl/>
      <w:jc w:val="both"/>
    </w:pPr>
    <w:rPr>
      <w:rFonts w:ascii="Arial" w:eastAsia="Times New Roman" w:hAnsi="Arial" w:cs="Arial"/>
      <w:bCs/>
      <w:sz w:val="20"/>
      <w:szCs w:val="20"/>
      <w:lang w:val="en-GB"/>
    </w:rPr>
  </w:style>
  <w:style w:type="paragraph" w:styleId="Caption">
    <w:name w:val="caption"/>
    <w:aliases w:val="Figure Caption"/>
    <w:basedOn w:val="Normal"/>
    <w:next w:val="Normal"/>
    <w:link w:val="CaptionChar"/>
    <w:unhideWhenUsed/>
    <w:qFormat/>
    <w:rsid w:val="001E1A72"/>
    <w:pPr>
      <w:widowControl/>
      <w:spacing w:after="200"/>
      <w:ind w:left="567"/>
      <w:jc w:val="both"/>
    </w:pPr>
    <w:rPr>
      <w:rFonts w:asciiTheme="minorHAnsi" w:eastAsiaTheme="minorHAnsi" w:hAnsiTheme="minorHAnsi" w:cstheme="minorBidi"/>
      <w:iCs/>
      <w:color w:val="44546A" w:themeColor="text2"/>
      <w:sz w:val="18"/>
      <w:szCs w:val="18"/>
      <w:lang w:val="en-GB"/>
    </w:rPr>
  </w:style>
  <w:style w:type="character" w:customStyle="1" w:styleId="CaptionChar">
    <w:name w:val="Caption Char"/>
    <w:aliases w:val="Figure Caption Char"/>
    <w:basedOn w:val="DefaultParagraphFont"/>
    <w:link w:val="Caption"/>
    <w:rsid w:val="001E1A72"/>
    <w:rPr>
      <w:iCs/>
      <w:color w:val="44546A" w:themeColor="text2"/>
      <w:sz w:val="18"/>
      <w:szCs w:val="18"/>
    </w:rPr>
  </w:style>
  <w:style w:type="paragraph" w:customStyle="1" w:styleId="TableCaption">
    <w:name w:val="Table Caption"/>
    <w:basedOn w:val="Caption"/>
    <w:link w:val="TableCaptionChar"/>
    <w:qFormat/>
    <w:rsid w:val="001E1A72"/>
  </w:style>
  <w:style w:type="character" w:customStyle="1" w:styleId="TableCaptionChar">
    <w:name w:val="Table Caption Char"/>
    <w:basedOn w:val="CaptionChar"/>
    <w:link w:val="TableCaption"/>
    <w:rsid w:val="001E1A72"/>
    <w:rPr>
      <w:iCs/>
      <w:color w:val="44546A" w:themeColor="text2"/>
      <w:sz w:val="18"/>
      <w:szCs w:val="18"/>
    </w:rPr>
  </w:style>
  <w:style w:type="paragraph" w:customStyle="1" w:styleId="Compact">
    <w:name w:val="Compact"/>
    <w:basedOn w:val="BodyText"/>
    <w:qFormat/>
    <w:rsid w:val="001E1A72"/>
    <w:pPr>
      <w:widowControl/>
      <w:spacing w:before="36" w:after="36"/>
      <w:ind w:left="0"/>
    </w:pPr>
    <w:rPr>
      <w:rFonts w:asciiTheme="minorHAnsi" w:eastAsiaTheme="minorHAnsi" w:hAnsiTheme="minorHAnsi" w:cstheme="minorBidi"/>
      <w:bCs w:val="0"/>
      <w:color w:val="auto"/>
      <w:sz w:val="24"/>
      <w:szCs w:val="24"/>
    </w:rPr>
  </w:style>
  <w:style w:type="paragraph" w:styleId="TOCHeading">
    <w:name w:val="TOC Heading"/>
    <w:basedOn w:val="Heading1"/>
    <w:next w:val="Normal"/>
    <w:uiPriority w:val="39"/>
    <w:unhideWhenUsed/>
    <w:qFormat/>
    <w:rsid w:val="00CD09F9"/>
    <w:pPr>
      <w:widowControl/>
      <w:spacing w:line="259" w:lineRule="auto"/>
      <w:outlineLvl w:val="9"/>
    </w:pPr>
  </w:style>
  <w:style w:type="paragraph" w:styleId="TOC1">
    <w:name w:val="toc 1"/>
    <w:basedOn w:val="Normal"/>
    <w:next w:val="Normal"/>
    <w:autoRedefine/>
    <w:uiPriority w:val="39"/>
    <w:unhideWhenUsed/>
    <w:rsid w:val="00CD09F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mems.isac.cnr.it:8080/thredds/dodsC/dataset-oc-glo-opt-multi-l4-bbp443_4km_monthly-rt-v01" TargetMode="External"/><Relationship Id="rId18" Type="http://schemas.openxmlformats.org/officeDocument/2006/relationships/hyperlink" Target="https://www.nmnh.si.edu/" TargetMode="External"/><Relationship Id="rId26" Type="http://schemas.openxmlformats.org/officeDocument/2006/relationships/image" Target="media/image13.png"/><Relationship Id="rId39" Type="http://schemas.openxmlformats.org/officeDocument/2006/relationships/header" Target="header1.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jpeg"/><Relationship Id="rId10" Type="http://schemas.openxmlformats.org/officeDocument/2006/relationships/hyperlink" Target="http://www.arcgis.com/home/item.html?id=b0d0be66fd33440d97e8c83d220e7926" TargetMode="Externa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a-oceancolour-cci.org/"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eader" Target="header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opendap-glo.mercator-ocean.fr:8080/thredds/dodsC/global-analysis-forecast-phy-001-024" TargetMode="External"/><Relationship Id="rId17" Type="http://schemas.openxmlformats.org/officeDocument/2006/relationships/hyperlink" Target="http://www.iobis.org/" TargetMode="Externa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jpeg"/><Relationship Id="rId46"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gov.uk/ukho" TargetMode="External"/><Relationship Id="rId2" Type="http://schemas.openxmlformats.org/officeDocument/2006/relationships/hyperlink" Target="http://www.cefas.co.uk/" TargetMode="External"/><Relationship Id="rId1" Type="http://schemas.openxmlformats.org/officeDocument/2006/relationships/image" Target="media/image27.jpg"/><Relationship Id="rId4" Type="http://schemas.openxmlformats.org/officeDocument/2006/relationships/hyperlink" Target="http://www.noc.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1205F-F7DD-4F54-8287-DB673960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5103</Words>
  <Characters>29089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Briggs (Cefas)</dc:creator>
  <cp:keywords/>
  <dc:description/>
  <cp:lastModifiedBy>Dawn Maison</cp:lastModifiedBy>
  <cp:revision>2</cp:revision>
  <dcterms:created xsi:type="dcterms:W3CDTF">2018-05-15T18:27:00Z</dcterms:created>
  <dcterms:modified xsi:type="dcterms:W3CDTF">2018-05-15T18:27:00Z</dcterms:modified>
</cp:coreProperties>
</file>