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E784" w14:textId="77777777" w:rsidR="009A3D44" w:rsidRPr="003D475F" w:rsidRDefault="00BE1A09">
      <w:pPr>
        <w:pStyle w:val="Title"/>
        <w:jc w:val="center"/>
        <w:rPr>
          <w:rFonts w:ascii="Arial" w:eastAsia="Arial" w:hAnsi="Arial" w:cs="Arial"/>
          <w:lang w:val="en-GB"/>
        </w:rPr>
      </w:pPr>
      <w:r w:rsidRPr="003D475F">
        <w:rPr>
          <w:rFonts w:ascii="Arial" w:eastAsia="Arial" w:hAnsi="Arial" w:cs="Arial"/>
          <w:lang w:val="en-GB"/>
        </w:rPr>
        <w:t>Indian Ocean tuna - purse seine (SIOTI) FIP</w:t>
      </w:r>
    </w:p>
    <w:p w14:paraId="4A536ED2" w14:textId="77777777" w:rsidR="009A3D44" w:rsidRDefault="00BE1A09">
      <w:pPr>
        <w:pStyle w:val="Title"/>
        <w:jc w:val="center"/>
        <w:rPr>
          <w:rFonts w:ascii="Arial" w:eastAsia="Arial" w:hAnsi="Arial" w:cs="Arial"/>
        </w:rPr>
      </w:pPr>
      <w:r>
        <w:rPr>
          <w:rFonts w:ascii="Arial" w:eastAsia="Arial" w:hAnsi="Arial" w:cs="Arial"/>
        </w:rPr>
        <w:t>Three (six)-Year Audit Report</w:t>
      </w:r>
    </w:p>
    <w:p w14:paraId="7DCF4D25" w14:textId="77777777" w:rsidR="009A3D44" w:rsidRDefault="00BE1A09">
      <w:pPr>
        <w:pStyle w:val="Subtitle"/>
        <w:spacing w:before="240"/>
        <w:jc w:val="center"/>
        <w:rPr>
          <w:rFonts w:ascii="Arial" w:eastAsia="Arial" w:hAnsi="Arial" w:cs="Arial"/>
        </w:rPr>
      </w:pPr>
      <w:r>
        <w:rPr>
          <w:rFonts w:ascii="Arial" w:eastAsia="Arial" w:hAnsi="Arial" w:cs="Arial"/>
        </w:rPr>
        <w:t>Version 1.2, September 2021</w:t>
      </w:r>
    </w:p>
    <w:p w14:paraId="14CF8300" w14:textId="77777777" w:rsidR="009A3D44" w:rsidRDefault="009A3D44"/>
    <w:p w14:paraId="77E14288" w14:textId="77777777" w:rsidR="009A3D44" w:rsidRDefault="009A3D44">
      <w:pPr>
        <w:rPr>
          <w:color w:val="000000"/>
        </w:rPr>
      </w:pPr>
    </w:p>
    <w:p w14:paraId="17C249B4" w14:textId="77777777" w:rsidR="009A3D44" w:rsidRDefault="00BE1A09">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FIP Information</w:t>
      </w:r>
    </w:p>
    <w:tbl>
      <w:tblPr>
        <w:tblStyle w:val="a"/>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14"/>
        <w:gridCol w:w="9174"/>
      </w:tblGrid>
      <w:tr w:rsidR="009A3D44" w14:paraId="00D0B4CA" w14:textId="77777777" w:rsidTr="00FD27DB">
        <w:tc>
          <w:tcPr>
            <w:tcW w:w="6214" w:type="dxa"/>
          </w:tcPr>
          <w:p w14:paraId="6CB7CA7D" w14:textId="4AAE1DFB" w:rsidR="009A3D44" w:rsidRDefault="00BE1A09">
            <w:pPr>
              <w:widowControl w:val="0"/>
            </w:pPr>
            <w:r>
              <w:t>Target species scientific name(s) and common name(s)</w:t>
            </w:r>
          </w:p>
        </w:tc>
        <w:tc>
          <w:tcPr>
            <w:tcW w:w="9174" w:type="dxa"/>
          </w:tcPr>
          <w:p w14:paraId="61E0052F" w14:textId="4F279B7F" w:rsidR="009A3D44" w:rsidRDefault="00BE1A09">
            <w:pPr>
              <w:widowControl w:val="0"/>
            </w:pPr>
            <w:r>
              <w:t>Skipjack – Eastern stock (</w:t>
            </w:r>
            <w:r>
              <w:rPr>
                <w:i/>
              </w:rPr>
              <w:t>Katsuwonus pelamis</w:t>
            </w:r>
            <w:r>
              <w:t>)</w:t>
            </w:r>
          </w:p>
          <w:p w14:paraId="6A33CBF1" w14:textId="77777777" w:rsidR="009A3D44" w:rsidRDefault="00BE1A09">
            <w:pPr>
              <w:widowControl w:val="0"/>
            </w:pPr>
            <w:r>
              <w:t>Yellowfin (</w:t>
            </w:r>
            <w:r>
              <w:rPr>
                <w:i/>
              </w:rPr>
              <w:t>Thunnus albacares</w:t>
            </w:r>
            <w:r>
              <w:t>)</w:t>
            </w:r>
          </w:p>
          <w:p w14:paraId="6023BDA8" w14:textId="77777777" w:rsidR="009A3D44" w:rsidRDefault="00BE1A09">
            <w:pPr>
              <w:widowControl w:val="0"/>
            </w:pPr>
            <w:r>
              <w:t>Bigeye (</w:t>
            </w:r>
            <w:r>
              <w:rPr>
                <w:i/>
              </w:rPr>
              <w:t>Thunnus obesus</w:t>
            </w:r>
            <w:r>
              <w:t>)</w:t>
            </w:r>
          </w:p>
          <w:p w14:paraId="562FBF74" w14:textId="77777777" w:rsidR="009A3D44" w:rsidRDefault="009A3D44">
            <w:pPr>
              <w:widowControl w:val="0"/>
            </w:pPr>
          </w:p>
        </w:tc>
      </w:tr>
      <w:tr w:rsidR="009A3D44" w14:paraId="2A09B335" w14:textId="77777777" w:rsidTr="00FD27DB">
        <w:tc>
          <w:tcPr>
            <w:tcW w:w="6214" w:type="dxa"/>
          </w:tcPr>
          <w:p w14:paraId="61B44F38" w14:textId="77777777" w:rsidR="009A3D44" w:rsidRDefault="00BE1A09">
            <w:pPr>
              <w:widowControl w:val="0"/>
            </w:pPr>
            <w:r>
              <w:t>Fishery location</w:t>
            </w:r>
          </w:p>
        </w:tc>
        <w:tc>
          <w:tcPr>
            <w:tcW w:w="9174" w:type="dxa"/>
          </w:tcPr>
          <w:p w14:paraId="5D500D21" w14:textId="77777777" w:rsidR="009A3D44" w:rsidRDefault="00BE1A09">
            <w:pPr>
              <w:widowControl w:val="0"/>
            </w:pPr>
            <w:r>
              <w:t>Area 51 (Indian Ocean, Pacific, Western)</w:t>
            </w:r>
          </w:p>
          <w:p w14:paraId="6314A4F8" w14:textId="77777777" w:rsidR="009A3D44" w:rsidRDefault="00BE1A09">
            <w:pPr>
              <w:widowControl w:val="0"/>
            </w:pPr>
            <w:r>
              <w:t>Area 57 (Indian Ocean, Eastern)</w:t>
            </w:r>
          </w:p>
        </w:tc>
      </w:tr>
      <w:tr w:rsidR="009A3D44" w14:paraId="185CBC23" w14:textId="77777777" w:rsidTr="00FD27DB">
        <w:tc>
          <w:tcPr>
            <w:tcW w:w="6214" w:type="dxa"/>
          </w:tcPr>
          <w:p w14:paraId="512CCE6C" w14:textId="77777777" w:rsidR="009A3D44" w:rsidRDefault="00BE1A09">
            <w:pPr>
              <w:widowControl w:val="0"/>
            </w:pPr>
            <w:r>
              <w:t>Gear type(s)</w:t>
            </w:r>
          </w:p>
        </w:tc>
        <w:tc>
          <w:tcPr>
            <w:tcW w:w="9174" w:type="dxa"/>
          </w:tcPr>
          <w:p w14:paraId="458EF513" w14:textId="54F072E6" w:rsidR="009A3D44" w:rsidRDefault="00BE1A09">
            <w:pPr>
              <w:widowControl w:val="0"/>
            </w:pPr>
            <w:r>
              <w:t>Purse seine</w:t>
            </w:r>
          </w:p>
        </w:tc>
      </w:tr>
      <w:tr w:rsidR="009A3D44" w14:paraId="3B664506" w14:textId="77777777" w:rsidTr="00FD27DB">
        <w:tc>
          <w:tcPr>
            <w:tcW w:w="6214" w:type="dxa"/>
          </w:tcPr>
          <w:p w14:paraId="38AA4336" w14:textId="77777777" w:rsidR="009A3D44" w:rsidRDefault="00BE1A09">
            <w:pPr>
              <w:widowControl w:val="0"/>
            </w:pPr>
            <w:r>
              <w:t>Estimated FIP Landings (weight in tons)</w:t>
            </w:r>
          </w:p>
        </w:tc>
        <w:tc>
          <w:tcPr>
            <w:tcW w:w="9174" w:type="dxa"/>
          </w:tcPr>
          <w:p w14:paraId="76E146CE" w14:textId="5DFD2E92" w:rsidR="009A3D44" w:rsidRDefault="00BE1A09">
            <w:pPr>
              <w:widowControl w:val="0"/>
            </w:pPr>
            <w:r>
              <w:t>188,310 tons (2022)</w:t>
            </w:r>
          </w:p>
        </w:tc>
      </w:tr>
      <w:tr w:rsidR="009A3D44" w:rsidRPr="00A2168C" w14:paraId="01B5071B" w14:textId="77777777" w:rsidTr="00FD27DB">
        <w:tc>
          <w:tcPr>
            <w:tcW w:w="6214" w:type="dxa"/>
          </w:tcPr>
          <w:p w14:paraId="5D72B824" w14:textId="77777777" w:rsidR="009A3D44" w:rsidRDefault="00BE1A09">
            <w:pPr>
              <w:widowControl w:val="0"/>
            </w:pPr>
            <w:r>
              <w:t>Vessel type(s) and size(s)</w:t>
            </w:r>
          </w:p>
        </w:tc>
        <w:tc>
          <w:tcPr>
            <w:tcW w:w="9174" w:type="dxa"/>
          </w:tcPr>
          <w:p w14:paraId="150F296D" w14:textId="3AED052D" w:rsidR="009A3D44" w:rsidRPr="00DB2407" w:rsidRDefault="00BE1A09">
            <w:pPr>
              <w:widowControl w:val="0"/>
              <w:rPr>
                <w:highlight w:val="yellow"/>
                <w:lang w:val="fr-FR"/>
              </w:rPr>
            </w:pPr>
            <w:r w:rsidRPr="00DB2407">
              <w:rPr>
                <w:lang w:val="fr-FR"/>
              </w:rPr>
              <w:t xml:space="preserve">Large </w:t>
            </w:r>
            <w:r w:rsidR="00DB2407" w:rsidRPr="00DB2407">
              <w:rPr>
                <w:lang w:val="fr-FR"/>
              </w:rPr>
              <w:t xml:space="preserve">(&gt;60 m) </w:t>
            </w:r>
            <w:r w:rsidRPr="00DB2407">
              <w:rPr>
                <w:lang w:val="fr-FR"/>
              </w:rPr>
              <w:t xml:space="preserve">purse seine </w:t>
            </w:r>
            <w:proofErr w:type="spellStart"/>
            <w:r w:rsidRPr="00DB2407">
              <w:rPr>
                <w:lang w:val="fr-FR"/>
              </w:rPr>
              <w:t>vessels</w:t>
            </w:r>
            <w:proofErr w:type="spellEnd"/>
          </w:p>
        </w:tc>
      </w:tr>
      <w:tr w:rsidR="009A3D44" w14:paraId="23EE74B3" w14:textId="77777777" w:rsidTr="00FD27DB">
        <w:tc>
          <w:tcPr>
            <w:tcW w:w="6214" w:type="dxa"/>
          </w:tcPr>
          <w:p w14:paraId="18DE3562" w14:textId="77777777" w:rsidR="009A3D44" w:rsidRDefault="00BE1A09">
            <w:pPr>
              <w:widowControl w:val="0"/>
            </w:pPr>
            <w:r>
              <w:t>Number of vessels</w:t>
            </w:r>
          </w:p>
        </w:tc>
        <w:tc>
          <w:tcPr>
            <w:tcW w:w="9174" w:type="dxa"/>
          </w:tcPr>
          <w:p w14:paraId="1FB2A847" w14:textId="77777777" w:rsidR="009A3D44" w:rsidRDefault="00BE1A09">
            <w:pPr>
              <w:widowControl w:val="0"/>
            </w:pPr>
            <w:r>
              <w:t>29 purse seine vessels</w:t>
            </w:r>
          </w:p>
        </w:tc>
      </w:tr>
      <w:tr w:rsidR="009A3D44" w14:paraId="49157490" w14:textId="77777777" w:rsidTr="00FD27DB">
        <w:trPr>
          <w:trHeight w:val="422"/>
        </w:trPr>
        <w:tc>
          <w:tcPr>
            <w:tcW w:w="6214" w:type="dxa"/>
          </w:tcPr>
          <w:p w14:paraId="0DFFC6C1" w14:textId="77777777" w:rsidR="009A3D44" w:rsidRDefault="00BE1A09">
            <w:pPr>
              <w:widowControl w:val="0"/>
            </w:pPr>
            <w:r>
              <w:t>Management authority</w:t>
            </w:r>
          </w:p>
        </w:tc>
        <w:tc>
          <w:tcPr>
            <w:tcW w:w="9174" w:type="dxa"/>
          </w:tcPr>
          <w:p w14:paraId="287897C8" w14:textId="77777777" w:rsidR="009A3D44" w:rsidRDefault="00BE1A09">
            <w:pPr>
              <w:widowControl w:val="0"/>
            </w:pPr>
            <w:r>
              <w:t>Indian Ocean Tuna Commission (IOTC) – Management of tuna stocks (RFMO)</w:t>
            </w:r>
          </w:p>
          <w:p w14:paraId="356399F1" w14:textId="483F7595" w:rsidR="009A3D44" w:rsidRDefault="00BE1A09">
            <w:pPr>
              <w:widowControl w:val="0"/>
            </w:pPr>
            <w:r>
              <w:t>National management authorities (Country flag of the vessels – Seychelles, Mauritius, France, Spain, Italy</w:t>
            </w:r>
            <w:r w:rsidR="00E31534">
              <w:t>;</w:t>
            </w:r>
            <w:r>
              <w:t xml:space="preserve"> areas of operation of the fishery – Seychelles, France (overseas territories), Mauritius, Mozambique, Madagascar, The Comoros, Kenya and the United Republic of Tanzania)</w:t>
            </w:r>
          </w:p>
        </w:tc>
      </w:tr>
      <w:tr w:rsidR="009A3D44" w14:paraId="66E77912" w14:textId="77777777" w:rsidTr="00FD27DB">
        <w:trPr>
          <w:trHeight w:val="422"/>
        </w:trPr>
        <w:tc>
          <w:tcPr>
            <w:tcW w:w="6214" w:type="dxa"/>
          </w:tcPr>
          <w:p w14:paraId="57259320" w14:textId="77777777" w:rsidR="009A3D44" w:rsidRDefault="00BE1A09">
            <w:pPr>
              <w:widowControl w:val="0"/>
            </w:pPr>
            <w:r>
              <w:lastRenderedPageBreak/>
              <w:t>Auditor name(s)</w:t>
            </w:r>
          </w:p>
        </w:tc>
        <w:tc>
          <w:tcPr>
            <w:tcW w:w="9174" w:type="dxa"/>
          </w:tcPr>
          <w:p w14:paraId="578A1228" w14:textId="77777777" w:rsidR="009A3D44" w:rsidRDefault="00BE1A09">
            <w:pPr>
              <w:widowControl w:val="0"/>
            </w:pPr>
            <w:r>
              <w:t>Jose Peiro Crespo</w:t>
            </w:r>
          </w:p>
        </w:tc>
      </w:tr>
      <w:tr w:rsidR="009A3D44" w14:paraId="0D2C4CE6" w14:textId="77777777" w:rsidTr="00FD27DB">
        <w:trPr>
          <w:trHeight w:val="422"/>
        </w:trPr>
        <w:tc>
          <w:tcPr>
            <w:tcW w:w="6214" w:type="dxa"/>
          </w:tcPr>
          <w:p w14:paraId="591CA0FF" w14:textId="77777777" w:rsidR="009A3D44" w:rsidRDefault="00BE1A09">
            <w:pPr>
              <w:widowControl w:val="0"/>
            </w:pPr>
            <w:r>
              <w:t>Auditor Organization/Affiliation</w:t>
            </w:r>
          </w:p>
        </w:tc>
        <w:tc>
          <w:tcPr>
            <w:tcW w:w="9174" w:type="dxa"/>
          </w:tcPr>
          <w:p w14:paraId="3A594156" w14:textId="77777777" w:rsidR="009A3D44" w:rsidRDefault="00BE1A09">
            <w:pPr>
              <w:widowControl w:val="0"/>
            </w:pPr>
            <w:proofErr w:type="spellStart"/>
            <w:r>
              <w:t>Naunet</w:t>
            </w:r>
            <w:proofErr w:type="spellEnd"/>
            <w:r>
              <w:t xml:space="preserve"> Fisheries Consultants</w:t>
            </w:r>
          </w:p>
        </w:tc>
      </w:tr>
      <w:tr w:rsidR="009A3D44" w14:paraId="35434266" w14:textId="77777777" w:rsidTr="00FD27DB">
        <w:trPr>
          <w:trHeight w:val="422"/>
        </w:trPr>
        <w:tc>
          <w:tcPr>
            <w:tcW w:w="6214" w:type="dxa"/>
          </w:tcPr>
          <w:p w14:paraId="778EC00F" w14:textId="77777777" w:rsidR="009A3D44" w:rsidRDefault="00BE1A09">
            <w:pPr>
              <w:widowControl w:val="0"/>
            </w:pPr>
            <w:r>
              <w:t>Date of report completion</w:t>
            </w:r>
          </w:p>
        </w:tc>
        <w:tc>
          <w:tcPr>
            <w:tcW w:w="9174" w:type="dxa"/>
          </w:tcPr>
          <w:p w14:paraId="3A6AFB9B" w14:textId="3F1A2264" w:rsidR="009A3D44" w:rsidRDefault="00E31534">
            <w:pPr>
              <w:widowControl w:val="0"/>
            </w:pPr>
            <w:r>
              <w:t>25/06/2023</w:t>
            </w:r>
          </w:p>
        </w:tc>
      </w:tr>
    </w:tbl>
    <w:p w14:paraId="70571BC4" w14:textId="77777777" w:rsidR="009A3D44" w:rsidRDefault="00BE1A09">
      <w:pPr>
        <w:rPr>
          <w:color w:val="2F5496"/>
          <w:sz w:val="32"/>
          <w:szCs w:val="32"/>
        </w:rPr>
      </w:pPr>
      <w:r>
        <w:br w:type="page"/>
      </w:r>
    </w:p>
    <w:p w14:paraId="58D130CD" w14:textId="77777777" w:rsidR="009A3D44" w:rsidRDefault="00BE1A09">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FIP Background (Optional)</w:t>
      </w:r>
    </w:p>
    <w:p w14:paraId="336B51A9" w14:textId="2FA40F66" w:rsidR="00DB2407" w:rsidRDefault="00BE1A09" w:rsidP="00DB2407">
      <w:pPr>
        <w:spacing w:after="120"/>
      </w:pPr>
      <w:r>
        <w:t>The fishery targets three species of tuna: skipjack tuna (</w:t>
      </w:r>
      <w:r>
        <w:rPr>
          <w:i/>
        </w:rPr>
        <w:t>Katsuwonus pelamis</w:t>
      </w:r>
      <w:r>
        <w:t>), yellowfin (</w:t>
      </w:r>
      <w:r>
        <w:rPr>
          <w:i/>
        </w:rPr>
        <w:t>Thunnus albacares</w:t>
      </w:r>
      <w:r>
        <w:t>) and bigeye (</w:t>
      </w:r>
      <w:r>
        <w:rPr>
          <w:i/>
        </w:rPr>
        <w:t>Thunnus obesus</w:t>
      </w:r>
      <w:r>
        <w:t xml:space="preserve">) </w:t>
      </w:r>
      <w:r w:rsidR="006F6054">
        <w:t>It</w:t>
      </w:r>
      <w:r>
        <w:t xml:space="preserve"> is currently carried out by 29 purse seines</w:t>
      </w:r>
      <w:r w:rsidR="00DB2407">
        <w:t xml:space="preserve"> (down </w:t>
      </w:r>
      <w:r w:rsidR="008E6895">
        <w:t>from</w:t>
      </w:r>
      <w:r w:rsidR="00DB2407">
        <w:t xml:space="preserve"> around 40 vessels at the beginning of the FIP)</w:t>
      </w:r>
      <w:r>
        <w:t>. The total catch of tuna species of the vessels in 2022 was 188,310 t (</w:t>
      </w:r>
      <w:r w:rsidRPr="008E6895">
        <w:t xml:space="preserve">SKJ </w:t>
      </w:r>
      <w:r w:rsidR="000C1F31">
        <w:t xml:space="preserve">accounts </w:t>
      </w:r>
      <w:proofErr w:type="gramStart"/>
      <w:r w:rsidR="000C1F31">
        <w:t xml:space="preserve">for </w:t>
      </w:r>
      <w:r w:rsidR="008E6895" w:rsidRPr="008E6895">
        <w:t xml:space="preserve"> 65</w:t>
      </w:r>
      <w:proofErr w:type="gramEnd"/>
      <w:r w:rsidR="008E6895" w:rsidRPr="008E6895">
        <w:t>% of the total catch, with</w:t>
      </w:r>
      <w:r w:rsidR="008E6895">
        <w:t xml:space="preserve"> YFT and BET representing ~25% and ~10% respectively</w:t>
      </w:r>
      <w:r>
        <w:t xml:space="preserve">). This FIP includes </w:t>
      </w:r>
      <w:r w:rsidR="00DB2407">
        <w:t xml:space="preserve">both </w:t>
      </w:r>
      <w:r>
        <w:t xml:space="preserve">the </w:t>
      </w:r>
      <w:r w:rsidR="00DB2407">
        <w:t>Free-schools and associated sets/</w:t>
      </w:r>
      <w:r>
        <w:t>FAD component</w:t>
      </w:r>
      <w:r w:rsidR="00DB2407">
        <w:t>s</w:t>
      </w:r>
      <w:r>
        <w:t xml:space="preserve"> of the stock. </w:t>
      </w:r>
      <w:r w:rsidR="00C60D43">
        <w:t>Two</w:t>
      </w:r>
      <w:r w:rsidR="00DB2407">
        <w:t xml:space="preserve"> </w:t>
      </w:r>
      <w:r w:rsidR="00F53916">
        <w:t xml:space="preserve">partners of the </w:t>
      </w:r>
      <w:r w:rsidR="00DB2407">
        <w:t xml:space="preserve">SIOTI </w:t>
      </w:r>
      <w:r w:rsidR="006F6054">
        <w:t xml:space="preserve">are MSC certified </w:t>
      </w:r>
      <w:r w:rsidR="00DB2407">
        <w:t xml:space="preserve">(Echebastar, CFTO, </w:t>
      </w:r>
      <w:r w:rsidR="00F53916">
        <w:t>or are in process of being certifi</w:t>
      </w:r>
      <w:r w:rsidR="006F6054">
        <w:t xml:space="preserve">ed </w:t>
      </w:r>
      <w:r w:rsidR="00150E7D">
        <w:t>(</w:t>
      </w:r>
      <w:r w:rsidR="00C60D43">
        <w:t>ANABAC</w:t>
      </w:r>
      <w:r w:rsidR="006743D3">
        <w:t>, SAPMER</w:t>
      </w:r>
      <w:r w:rsidR="00C60D43">
        <w:t xml:space="preserve">) </w:t>
      </w:r>
      <w:r>
        <w:t xml:space="preserve">for skipjack. </w:t>
      </w:r>
      <w:r w:rsidR="00DB2407" w:rsidRPr="00DB2407">
        <w:t xml:space="preserve">The SIOTI </w:t>
      </w:r>
      <w:proofErr w:type="gramStart"/>
      <w:r w:rsidR="00DB2407" w:rsidRPr="00DB2407">
        <w:t>FIP  requested</w:t>
      </w:r>
      <w:proofErr w:type="gramEnd"/>
      <w:r w:rsidR="00DB2407" w:rsidRPr="00DB2407">
        <w:t xml:space="preserve"> a one year extension</w:t>
      </w:r>
      <w:r w:rsidR="00DB2407">
        <w:t xml:space="preserve"> in order to</w:t>
      </w:r>
      <w:r w:rsidR="00DB2407" w:rsidRPr="00DB2407">
        <w:t xml:space="preserve"> enable a greater prospect of completion of all indicators.</w:t>
      </w:r>
    </w:p>
    <w:p w14:paraId="71BCE0E6" w14:textId="27DBB995" w:rsidR="009A3D44" w:rsidRDefault="00BE1A09" w:rsidP="00DB2407">
      <w:pPr>
        <w:spacing w:after="120"/>
        <w:rPr>
          <w:sz w:val="32"/>
          <w:szCs w:val="32"/>
        </w:rPr>
      </w:pPr>
      <w:r>
        <w:rPr>
          <w:sz w:val="32"/>
          <w:szCs w:val="32"/>
        </w:rPr>
        <w:t>Stakeholder Consultation &amp; Meetings</w:t>
      </w:r>
    </w:p>
    <w:p w14:paraId="760CD428" w14:textId="77777777" w:rsidR="009A3D44" w:rsidRDefault="009A3D44">
      <w:pPr>
        <w:rPr>
          <w:sz w:val="15"/>
          <w:szCs w:val="15"/>
        </w:rPr>
      </w:pPr>
    </w:p>
    <w:tbl>
      <w:tblPr>
        <w:tblStyle w:val="a0"/>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2"/>
        <w:gridCol w:w="3967"/>
        <w:gridCol w:w="8109"/>
      </w:tblGrid>
      <w:tr w:rsidR="009A3D44" w14:paraId="6849DA76" w14:textId="77777777" w:rsidTr="00DB24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Borders>
              <w:top w:val="none" w:sz="0" w:space="0" w:color="auto"/>
              <w:left w:val="none" w:sz="0" w:space="0" w:color="auto"/>
              <w:bottom w:val="none" w:sz="0" w:space="0" w:color="auto"/>
              <w:right w:val="none" w:sz="0" w:space="0" w:color="auto"/>
            </w:tcBorders>
          </w:tcPr>
          <w:p w14:paraId="6534056E" w14:textId="77777777" w:rsidR="009A3D44" w:rsidRDefault="00BE1A09">
            <w:r>
              <w:t>Name</w:t>
            </w:r>
          </w:p>
        </w:tc>
        <w:tc>
          <w:tcPr>
            <w:tcW w:w="3967" w:type="dxa"/>
            <w:tcBorders>
              <w:top w:val="none" w:sz="0" w:space="0" w:color="auto"/>
              <w:left w:val="none" w:sz="0" w:space="0" w:color="auto"/>
              <w:bottom w:val="none" w:sz="0" w:space="0" w:color="auto"/>
              <w:right w:val="none" w:sz="0" w:space="0" w:color="auto"/>
            </w:tcBorders>
          </w:tcPr>
          <w:p w14:paraId="17C13364" w14:textId="77777777" w:rsidR="009A3D44" w:rsidRDefault="00BE1A09">
            <w:pPr>
              <w:cnfStyle w:val="100000000000" w:firstRow="1" w:lastRow="0" w:firstColumn="0" w:lastColumn="0" w:oddVBand="0" w:evenVBand="0" w:oddHBand="0" w:evenHBand="0" w:firstRowFirstColumn="0" w:firstRowLastColumn="0" w:lastRowFirstColumn="0" w:lastRowLastColumn="0"/>
            </w:pPr>
            <w:r>
              <w:t>Affiliation</w:t>
            </w:r>
          </w:p>
        </w:tc>
        <w:tc>
          <w:tcPr>
            <w:tcW w:w="8109" w:type="dxa"/>
            <w:tcBorders>
              <w:top w:val="none" w:sz="0" w:space="0" w:color="auto"/>
              <w:left w:val="none" w:sz="0" w:space="0" w:color="auto"/>
              <w:bottom w:val="none" w:sz="0" w:space="0" w:color="auto"/>
              <w:right w:val="none" w:sz="0" w:space="0" w:color="auto"/>
            </w:tcBorders>
          </w:tcPr>
          <w:p w14:paraId="69DD426A" w14:textId="77777777" w:rsidR="009A3D44" w:rsidRDefault="00BE1A09">
            <w:pPr>
              <w:cnfStyle w:val="100000000000" w:firstRow="1" w:lastRow="0" w:firstColumn="0" w:lastColumn="0" w:oddVBand="0" w:evenVBand="0" w:oddHBand="0" w:evenHBand="0" w:firstRowFirstColumn="0" w:firstRowLastColumn="0" w:lastRowFirstColumn="0" w:lastRowLastColumn="0"/>
            </w:pPr>
            <w:r>
              <w:t>Date and Subjects Discussed</w:t>
            </w:r>
          </w:p>
        </w:tc>
      </w:tr>
      <w:tr w:rsidR="009A3D44" w14:paraId="7D3C8DB7" w14:textId="77777777" w:rsidTr="00DB2407">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744EC7AA" w14:textId="77777777" w:rsidR="009A3D44" w:rsidRDefault="009A3D44">
            <w:pPr>
              <w:rPr>
                <w:color w:val="000000"/>
              </w:rPr>
            </w:pPr>
          </w:p>
          <w:p w14:paraId="0D4ECD0E" w14:textId="77777777" w:rsidR="009A3D44" w:rsidRDefault="00BE1A09">
            <w:pPr>
              <w:rPr>
                <w:color w:val="000000"/>
              </w:rPr>
            </w:pPr>
            <w:r>
              <w:rPr>
                <w:color w:val="000000"/>
              </w:rPr>
              <w:t>Jan Robinson</w:t>
            </w:r>
          </w:p>
        </w:tc>
        <w:tc>
          <w:tcPr>
            <w:tcW w:w="3967" w:type="dxa"/>
            <w:shd w:val="clear" w:color="auto" w:fill="auto"/>
          </w:tcPr>
          <w:p w14:paraId="231D5526" w14:textId="77777777" w:rsidR="009A3D44" w:rsidRDefault="00BE1A09">
            <w:pPr>
              <w:cnfStyle w:val="000000100000" w:firstRow="0" w:lastRow="0" w:firstColumn="0" w:lastColumn="0" w:oddVBand="0" w:evenVBand="0" w:oddHBand="1" w:evenHBand="0" w:firstRowFirstColumn="0" w:firstRowLastColumn="0" w:lastRowFirstColumn="0" w:lastRowLastColumn="0"/>
              <w:rPr>
                <w:color w:val="000000"/>
              </w:rPr>
            </w:pPr>
            <w:r>
              <w:rPr>
                <w:color w:val="000000"/>
              </w:rPr>
              <w:t>FIP manager</w:t>
            </w:r>
          </w:p>
        </w:tc>
        <w:tc>
          <w:tcPr>
            <w:tcW w:w="8109" w:type="dxa"/>
            <w:shd w:val="clear" w:color="auto" w:fill="auto"/>
          </w:tcPr>
          <w:p w14:paraId="37585C16" w14:textId="77777777" w:rsidR="009A3D44" w:rsidRPr="00DB2407" w:rsidRDefault="00BE1A09">
            <w:pPr>
              <w:ind w:left="28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u w:val="single"/>
              </w:rPr>
            </w:pPr>
            <w:r w:rsidRPr="00DB2407">
              <w:rPr>
                <w:rFonts w:ascii="Times New Roman" w:hAnsi="Times New Roman" w:cs="Times New Roman"/>
                <w:color w:val="000000"/>
                <w:sz w:val="24"/>
                <w:szCs w:val="24"/>
                <w:u w:val="single"/>
              </w:rPr>
              <w:t>17</w:t>
            </w:r>
            <w:r w:rsidRPr="00DB2407">
              <w:rPr>
                <w:rFonts w:ascii="Times New Roman" w:hAnsi="Times New Roman" w:cs="Times New Roman"/>
                <w:color w:val="000000"/>
                <w:sz w:val="24"/>
                <w:szCs w:val="24"/>
                <w:u w:val="single"/>
                <w:vertAlign w:val="superscript"/>
              </w:rPr>
              <w:t>th</w:t>
            </w:r>
            <w:r w:rsidRPr="00DB2407">
              <w:rPr>
                <w:rFonts w:ascii="Times New Roman" w:hAnsi="Times New Roman" w:cs="Times New Roman"/>
                <w:color w:val="000000"/>
                <w:sz w:val="24"/>
                <w:szCs w:val="24"/>
                <w:u w:val="single"/>
              </w:rPr>
              <w:t xml:space="preserve"> May 2023</w:t>
            </w:r>
          </w:p>
          <w:p w14:paraId="53D18432" w14:textId="77777777" w:rsidR="009A3D44" w:rsidRPr="00DB2407"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B2407">
              <w:rPr>
                <w:rFonts w:ascii="Times New Roman" w:hAnsi="Times New Roman" w:cs="Times New Roman"/>
                <w:color w:val="000000"/>
                <w:sz w:val="24"/>
                <w:szCs w:val="24"/>
              </w:rPr>
              <w:t>Introductory call</w:t>
            </w:r>
          </w:p>
          <w:p w14:paraId="27C94197" w14:textId="508C5577" w:rsidR="009A3D44" w:rsidRDefault="00BE1A09">
            <w:pPr>
              <w:numPr>
                <w:ilvl w:val="0"/>
                <w:numId w:val="1"/>
              </w:numPr>
              <w:pBdr>
                <w:top w:val="nil"/>
                <w:left w:val="nil"/>
                <w:bottom w:val="nil"/>
                <w:right w:val="nil"/>
                <w:between w:val="nil"/>
              </w:pBd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Scope of the FIP (are of operation of the fleet, number of vessels, target specie</w:t>
            </w:r>
            <w:r w:rsidR="006F605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catch volume, etc.).</w:t>
            </w:r>
          </w:p>
          <w:p w14:paraId="6EE60602" w14:textId="77777777" w:rsidR="009A3D44" w:rsidRDefault="00BE1A09">
            <w:pPr>
              <w:numPr>
                <w:ilvl w:val="0"/>
                <w:numId w:val="1"/>
              </w:numPr>
              <w:pBdr>
                <w:top w:val="nil"/>
                <w:left w:val="nil"/>
                <w:bottom w:val="nil"/>
                <w:right w:val="nil"/>
                <w:between w:val="nil"/>
              </w:pBd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 stakeholders involved in the fishery and their roles.</w:t>
            </w:r>
          </w:p>
          <w:p w14:paraId="098177DC" w14:textId="32B783C8" w:rsidR="009A3D44" w:rsidRDefault="00BE1A09">
            <w:pPr>
              <w:numPr>
                <w:ilvl w:val="0"/>
                <w:numId w:val="1"/>
              </w:numPr>
              <w:pBdr>
                <w:top w:val="nil"/>
                <w:left w:val="nil"/>
                <w:bottom w:val="nil"/>
                <w:right w:val="nil"/>
                <w:between w:val="nil"/>
              </w:pBd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Scope of the audit, preparation of the stakeholder meeting</w:t>
            </w:r>
            <w:r w:rsidR="006F60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deadlines, etc.</w:t>
            </w:r>
          </w:p>
          <w:p w14:paraId="46DFF396" w14:textId="77777777" w:rsidR="009A3D44" w:rsidRDefault="00BE1A09">
            <w:pPr>
              <w:numPr>
                <w:ilvl w:val="0"/>
                <w:numId w:val="1"/>
              </w:numPr>
              <w:pBdr>
                <w:top w:val="nil"/>
                <w:left w:val="nil"/>
                <w:bottom w:val="nil"/>
                <w:right w:val="nil"/>
                <w:between w:val="nil"/>
              </w:pBd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 issues identified in the fishery.</w:t>
            </w:r>
          </w:p>
          <w:p w14:paraId="189091F8" w14:textId="14CE4667" w:rsidR="009A3D44" w:rsidRDefault="00BE1A09">
            <w:pPr>
              <w:numPr>
                <w:ilvl w:val="0"/>
                <w:numId w:val="1"/>
              </w:numPr>
              <w:pBdr>
                <w:top w:val="nil"/>
                <w:left w:val="nil"/>
                <w:bottom w:val="nil"/>
                <w:right w:val="nil"/>
                <w:between w:val="nil"/>
              </w:pBd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Principle </w:t>
            </w:r>
            <w:r w:rsidR="006F6054">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2 </w:t>
            </w:r>
            <w:r w:rsidR="006F6054">
              <w:rPr>
                <w:rFonts w:ascii="Times New Roman" w:eastAsia="Times New Roman" w:hAnsi="Times New Roman" w:cs="Times New Roman"/>
                <w:color w:val="000000"/>
                <w:sz w:val="24"/>
                <w:szCs w:val="24"/>
              </w:rPr>
              <w:t xml:space="preserve">and 3 </w:t>
            </w:r>
            <w:r>
              <w:rPr>
                <w:rFonts w:ascii="Times New Roman" w:eastAsia="Times New Roman" w:hAnsi="Times New Roman" w:cs="Times New Roman"/>
                <w:color w:val="000000"/>
                <w:sz w:val="24"/>
                <w:szCs w:val="24"/>
              </w:rPr>
              <w:t>activities (</w:t>
            </w:r>
            <w:r w:rsidR="006F6054">
              <w:rPr>
                <w:rFonts w:ascii="Times New Roman" w:eastAsia="Times New Roman" w:hAnsi="Times New Roman" w:cs="Times New Roman"/>
                <w:color w:val="000000"/>
                <w:sz w:val="24"/>
                <w:szCs w:val="24"/>
              </w:rPr>
              <w:t xml:space="preserve">stock assessment, data collection, Code of good practices,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w:t>
            </w:r>
          </w:p>
        </w:tc>
      </w:tr>
      <w:tr w:rsidR="009A3D44" w14:paraId="451D50FA" w14:textId="77777777" w:rsidTr="00DB2407">
        <w:trPr>
          <w:trHeight w:val="1430"/>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17158F48" w14:textId="77777777" w:rsidR="009A3D44" w:rsidRDefault="00BE1A09">
            <w:pPr>
              <w:rPr>
                <w:color w:val="000000"/>
              </w:rPr>
            </w:pPr>
            <w:r>
              <w:rPr>
                <w:color w:val="000000"/>
              </w:rPr>
              <w:t>Nekane Alzorriz</w:t>
            </w:r>
          </w:p>
        </w:tc>
        <w:tc>
          <w:tcPr>
            <w:tcW w:w="3967" w:type="dxa"/>
            <w:shd w:val="clear" w:color="auto" w:fill="auto"/>
          </w:tcPr>
          <w:p w14:paraId="312682EA" w14:textId="77777777" w:rsidR="009A3D44" w:rsidRDefault="00BE1A09">
            <w:pPr>
              <w:cnfStyle w:val="000000000000" w:firstRow="0" w:lastRow="0" w:firstColumn="0" w:lastColumn="0" w:oddVBand="0" w:evenVBand="0" w:oddHBand="0" w:evenHBand="0" w:firstRowFirstColumn="0" w:firstRowLastColumn="0" w:lastRowFirstColumn="0" w:lastRowLastColumn="0"/>
              <w:rPr>
                <w:color w:val="000000"/>
              </w:rPr>
            </w:pPr>
            <w:r>
              <w:rPr>
                <w:color w:val="000000"/>
              </w:rPr>
              <w:t>Scientific adviser ANABAC</w:t>
            </w:r>
          </w:p>
        </w:tc>
        <w:tc>
          <w:tcPr>
            <w:tcW w:w="8109" w:type="dxa"/>
            <w:shd w:val="clear" w:color="auto" w:fill="auto"/>
          </w:tcPr>
          <w:p w14:paraId="2D7928F8" w14:textId="77777777" w:rsidR="009A3D44" w:rsidRPr="00DB2407" w:rsidRDefault="00BE1A09">
            <w:pPr>
              <w:ind w:left="28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u w:val="single"/>
              </w:rPr>
            </w:pPr>
            <w:r w:rsidRPr="00DB2407">
              <w:rPr>
                <w:rFonts w:ascii="Times New Roman" w:hAnsi="Times New Roman" w:cs="Times New Roman"/>
                <w:color w:val="000000"/>
                <w:sz w:val="24"/>
                <w:szCs w:val="24"/>
                <w:u w:val="single"/>
              </w:rPr>
              <w:t>1st June 2023</w:t>
            </w:r>
          </w:p>
          <w:p w14:paraId="1C258365" w14:textId="77777777" w:rsidR="009A3D44" w:rsidRDefault="00BE1A09">
            <w:pPr>
              <w:numPr>
                <w:ilvl w:val="0"/>
                <w:numId w:val="1"/>
              </w:num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Scope of the FIP (number of vessels, flags, MSC certified fleets,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w:t>
            </w:r>
          </w:p>
          <w:p w14:paraId="662E703D" w14:textId="77777777" w:rsidR="009A3D44" w:rsidRDefault="00BE1A09">
            <w:pPr>
              <w:numPr>
                <w:ilvl w:val="0"/>
                <w:numId w:val="1"/>
              </w:num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Principle 1 progress (IOTC’s new stock assessment reports/HS/ HCR developments,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w:t>
            </w:r>
          </w:p>
          <w:p w14:paraId="1E94B6FE" w14:textId="77777777" w:rsidR="009A3D44" w:rsidRDefault="00BE1A09">
            <w:pPr>
              <w:numPr>
                <w:ilvl w:val="0"/>
                <w:numId w:val="1"/>
              </w:num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Bycatch species management strategies (observer coverage/ETP species handling).</w:t>
            </w:r>
          </w:p>
          <w:p w14:paraId="4A3CF827" w14:textId="77777777" w:rsidR="009A3D44" w:rsidRDefault="00BE1A09">
            <w:pPr>
              <w:numPr>
                <w:ilvl w:val="0"/>
                <w:numId w:val="1"/>
              </w:num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Code of good practices.</w:t>
            </w:r>
          </w:p>
          <w:p w14:paraId="24FD0D23" w14:textId="77777777" w:rsidR="006F6054" w:rsidRDefault="00BE1A09" w:rsidP="006F6054">
            <w:pPr>
              <w:numPr>
                <w:ilvl w:val="0"/>
                <w:numId w:val="1"/>
              </w:num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Recent developments in FAD management in the area of operation of the fishery. Other FAD related initiatives.</w:t>
            </w:r>
          </w:p>
          <w:p w14:paraId="6C21B8F0" w14:textId="0E065BD1" w:rsidR="006F6054" w:rsidRPr="006F6054" w:rsidRDefault="006F6054" w:rsidP="006F6054">
            <w:pPr>
              <w:numPr>
                <w:ilvl w:val="0"/>
                <w:numId w:val="1"/>
              </w:num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F6054">
              <w:rPr>
                <w:rFonts w:ascii="Times New Roman" w:eastAsia="Times New Roman" w:hAnsi="Times New Roman" w:cs="Times New Roman"/>
                <w:color w:val="000000"/>
                <w:sz w:val="24"/>
                <w:szCs w:val="24"/>
              </w:rPr>
              <w:t>Compliance of the fleet with IOTC and EU regulations.</w:t>
            </w:r>
          </w:p>
          <w:p w14:paraId="0CCA39F0" w14:textId="77777777" w:rsidR="009A3D44" w:rsidRDefault="00BE1A09">
            <w:pPr>
              <w:numPr>
                <w:ilvl w:val="0"/>
                <w:numId w:val="1"/>
              </w:num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 related issues (scientific research, relevant publications,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w:t>
            </w:r>
          </w:p>
        </w:tc>
      </w:tr>
      <w:tr w:rsidR="009A3D44" w14:paraId="1B248151" w14:textId="77777777" w:rsidTr="00DB2407">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10B867C8" w14:textId="77777777" w:rsidR="009A3D44" w:rsidRDefault="00BE1A09">
            <w:pPr>
              <w:rPr>
                <w:color w:val="000000"/>
              </w:rPr>
            </w:pPr>
            <w:r>
              <w:rPr>
                <w:color w:val="000000"/>
              </w:rPr>
              <w:lastRenderedPageBreak/>
              <w:t>Maria Jose Juan-Jorda</w:t>
            </w:r>
          </w:p>
        </w:tc>
        <w:tc>
          <w:tcPr>
            <w:tcW w:w="3967" w:type="dxa"/>
            <w:shd w:val="clear" w:color="auto" w:fill="auto"/>
          </w:tcPr>
          <w:p w14:paraId="0D7218C9" w14:textId="77777777" w:rsidR="009A3D44" w:rsidRDefault="00BE1A09">
            <w:pPr>
              <w:cnfStyle w:val="000000100000" w:firstRow="0" w:lastRow="0" w:firstColumn="0" w:lastColumn="0" w:oddVBand="0" w:evenVBand="0" w:oddHBand="1" w:evenHBand="0" w:firstRowFirstColumn="0" w:firstRowLastColumn="0" w:lastRowFirstColumn="0" w:lastRowLastColumn="0"/>
              <w:rPr>
                <w:color w:val="000000"/>
              </w:rPr>
            </w:pPr>
            <w:r>
              <w:rPr>
                <w:color w:val="000000"/>
              </w:rPr>
              <w:t>Scientific researcher - Spanish Institute of Oceanography IEO-CSIC</w:t>
            </w:r>
          </w:p>
        </w:tc>
        <w:tc>
          <w:tcPr>
            <w:tcW w:w="8109" w:type="dxa"/>
            <w:shd w:val="clear" w:color="auto" w:fill="auto"/>
          </w:tcPr>
          <w:p w14:paraId="6D2D822D" w14:textId="77777777" w:rsidR="009A3D44" w:rsidRPr="00DB2407" w:rsidRDefault="00BE1A09">
            <w:pPr>
              <w:ind w:left="28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u w:val="single"/>
              </w:rPr>
            </w:pPr>
            <w:r w:rsidRPr="00DB2407">
              <w:rPr>
                <w:rFonts w:ascii="Times New Roman" w:hAnsi="Times New Roman" w:cs="Times New Roman"/>
                <w:color w:val="000000"/>
                <w:sz w:val="24"/>
                <w:szCs w:val="24"/>
                <w:u w:val="single"/>
              </w:rPr>
              <w:t>9th June 2023</w:t>
            </w:r>
          </w:p>
          <w:p w14:paraId="05E7EA2B" w14:textId="77777777" w:rsidR="009A3D44" w:rsidRDefault="00BE1A09">
            <w:pPr>
              <w:numPr>
                <w:ilvl w:val="0"/>
                <w:numId w:val="1"/>
              </w:numPr>
              <w:pBdr>
                <w:top w:val="nil"/>
                <w:left w:val="nil"/>
                <w:bottom w:val="nil"/>
                <w:right w:val="nil"/>
                <w:between w:val="nil"/>
              </w:pBd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Role, work conducted for the SIOTI.</w:t>
            </w:r>
          </w:p>
          <w:p w14:paraId="2D0F23CD" w14:textId="77777777" w:rsidR="009A3D44" w:rsidRDefault="00BE1A09">
            <w:pPr>
              <w:numPr>
                <w:ilvl w:val="0"/>
                <w:numId w:val="1"/>
              </w:numPr>
              <w:pBdr>
                <w:top w:val="nil"/>
                <w:left w:val="nil"/>
                <w:bottom w:val="nil"/>
                <w:right w:val="nil"/>
                <w:between w:val="nil"/>
              </w:pBd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Clarification on the ecosystem impact of the fishery (impacts and information).</w:t>
            </w:r>
          </w:p>
          <w:p w14:paraId="38DD4172" w14:textId="77777777" w:rsidR="009A3D44" w:rsidRDefault="00BE1A09">
            <w:pPr>
              <w:numPr>
                <w:ilvl w:val="0"/>
                <w:numId w:val="1"/>
              </w:numPr>
              <w:pBdr>
                <w:top w:val="nil"/>
                <w:left w:val="nil"/>
                <w:bottom w:val="nil"/>
                <w:right w:val="nil"/>
                <w:between w:val="nil"/>
              </w:pBd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 related issues (scientific research, recent publications,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w:t>
            </w:r>
          </w:p>
        </w:tc>
      </w:tr>
      <w:tr w:rsidR="009A3D44" w14:paraId="600D60D7" w14:textId="77777777" w:rsidTr="00DB2407">
        <w:trPr>
          <w:trHeight w:val="1430"/>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6281BE2A" w14:textId="77777777" w:rsidR="009A3D44" w:rsidRDefault="00BE1A09">
            <w:pPr>
              <w:rPr>
                <w:color w:val="000000"/>
              </w:rPr>
            </w:pPr>
            <w:r>
              <w:rPr>
                <w:color w:val="000000"/>
              </w:rPr>
              <w:t xml:space="preserve">Sophie Des </w:t>
            </w:r>
            <w:proofErr w:type="spellStart"/>
            <w:r>
              <w:rPr>
                <w:color w:val="000000"/>
              </w:rPr>
              <w:t>Clers</w:t>
            </w:r>
            <w:proofErr w:type="spellEnd"/>
          </w:p>
        </w:tc>
        <w:tc>
          <w:tcPr>
            <w:tcW w:w="3967" w:type="dxa"/>
            <w:shd w:val="clear" w:color="auto" w:fill="auto"/>
          </w:tcPr>
          <w:p w14:paraId="266944E0" w14:textId="77777777" w:rsidR="009A3D44" w:rsidRDefault="00BE1A09">
            <w:pPr>
              <w:cnfStyle w:val="000000000000" w:firstRow="0" w:lastRow="0" w:firstColumn="0" w:lastColumn="0" w:oddVBand="0" w:evenVBand="0" w:oddHBand="0" w:evenHBand="0" w:firstRowFirstColumn="0" w:firstRowLastColumn="0" w:lastRowFirstColumn="0" w:lastRowLastColumn="0"/>
              <w:rPr>
                <w:color w:val="000000"/>
              </w:rPr>
            </w:pPr>
            <w:r>
              <w:rPr>
                <w:color w:val="000000"/>
              </w:rPr>
              <w:t>Principle 3 expert</w:t>
            </w:r>
          </w:p>
        </w:tc>
        <w:tc>
          <w:tcPr>
            <w:tcW w:w="8109" w:type="dxa"/>
            <w:shd w:val="clear" w:color="auto" w:fill="auto"/>
          </w:tcPr>
          <w:p w14:paraId="2F840344" w14:textId="77777777" w:rsidR="009A3D44" w:rsidRPr="00DB2407" w:rsidRDefault="00BE1A09">
            <w:pPr>
              <w:ind w:left="28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u w:val="single"/>
              </w:rPr>
            </w:pPr>
            <w:r w:rsidRPr="00DB2407">
              <w:rPr>
                <w:rFonts w:ascii="Times New Roman" w:hAnsi="Times New Roman" w:cs="Times New Roman"/>
                <w:color w:val="000000"/>
                <w:sz w:val="24"/>
                <w:szCs w:val="24"/>
                <w:u w:val="single"/>
              </w:rPr>
              <w:t>Contacted by email</w:t>
            </w:r>
          </w:p>
          <w:p w14:paraId="767E22E3" w14:textId="77777777" w:rsidR="009A3D44" w:rsidRDefault="00BE1A09">
            <w:pPr>
              <w:numPr>
                <w:ilvl w:val="0"/>
                <w:numId w:val="1"/>
              </w:num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Clarifications on some Principle 3 issues for recent MSC certifications (CFTO).</w:t>
            </w:r>
          </w:p>
        </w:tc>
      </w:tr>
      <w:tr w:rsidR="009A3D44" w14:paraId="6E9E9561" w14:textId="77777777" w:rsidTr="00DB2407">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7C48F40A" w14:textId="77777777" w:rsidR="009A3D44" w:rsidRDefault="00BE1A09">
            <w:pPr>
              <w:rPr>
                <w:color w:val="000000"/>
              </w:rPr>
            </w:pPr>
            <w:r>
              <w:rPr>
                <w:color w:val="000000"/>
              </w:rPr>
              <w:t>Dan Fu</w:t>
            </w:r>
          </w:p>
        </w:tc>
        <w:tc>
          <w:tcPr>
            <w:tcW w:w="3967" w:type="dxa"/>
            <w:shd w:val="clear" w:color="auto" w:fill="auto"/>
          </w:tcPr>
          <w:p w14:paraId="15C71EF8" w14:textId="4B106447" w:rsidR="009A3D44" w:rsidRDefault="00BE1A0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Stock assessment expert - </w:t>
            </w:r>
            <w:r w:rsidR="00DB2407" w:rsidRPr="00DB2407">
              <w:rPr>
                <w:color w:val="000000"/>
              </w:rPr>
              <w:t>Indian Ocean Tuna Commission (IOTC)</w:t>
            </w:r>
          </w:p>
        </w:tc>
        <w:tc>
          <w:tcPr>
            <w:tcW w:w="8109" w:type="dxa"/>
            <w:shd w:val="clear" w:color="auto" w:fill="auto"/>
          </w:tcPr>
          <w:p w14:paraId="12FBC2F9" w14:textId="77777777" w:rsidR="009A3D44" w:rsidRPr="00DB2407" w:rsidRDefault="00BE1A09" w:rsidP="00DB2407">
            <w:pPr>
              <w:ind w:left="28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u w:val="single"/>
              </w:rPr>
            </w:pPr>
            <w:r w:rsidRPr="00DB2407">
              <w:rPr>
                <w:rFonts w:ascii="Times New Roman" w:hAnsi="Times New Roman" w:cs="Times New Roman"/>
                <w:color w:val="000000"/>
                <w:sz w:val="24"/>
                <w:szCs w:val="24"/>
                <w:u w:val="single"/>
              </w:rPr>
              <w:t>Contacted by email</w:t>
            </w:r>
          </w:p>
          <w:p w14:paraId="5F738ABE" w14:textId="77777777" w:rsidR="009A3D44" w:rsidRDefault="00BE1A09">
            <w:pPr>
              <w:numPr>
                <w:ilvl w:val="0"/>
                <w:numId w:val="1"/>
              </w:numPr>
              <w:pBdr>
                <w:top w:val="nil"/>
                <w:left w:val="nil"/>
                <w:bottom w:val="nil"/>
                <w:right w:val="nil"/>
                <w:between w:val="nil"/>
              </w:pBdr>
              <w:spacing w:before="0"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Projections of bigeye tuna based on different catch scenarios.</w:t>
            </w:r>
          </w:p>
        </w:tc>
      </w:tr>
      <w:tr w:rsidR="009A3D44" w14:paraId="578E5ACC" w14:textId="77777777" w:rsidTr="00DB2407">
        <w:trPr>
          <w:trHeight w:val="1430"/>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54D59BD4" w14:textId="77777777" w:rsidR="009A3D44" w:rsidRDefault="00BE1A09">
            <w:pPr>
              <w:rPr>
                <w:color w:val="000000"/>
              </w:rPr>
            </w:pPr>
            <w:r>
              <w:rPr>
                <w:color w:val="000000"/>
              </w:rPr>
              <w:t>Laurent Pinault</w:t>
            </w:r>
          </w:p>
          <w:p w14:paraId="21C7FBF1" w14:textId="77777777" w:rsidR="009A3D44" w:rsidRDefault="00BE1A09">
            <w:pPr>
              <w:rPr>
                <w:color w:val="000000"/>
              </w:rPr>
            </w:pPr>
            <w:r>
              <w:rPr>
                <w:color w:val="000000"/>
              </w:rPr>
              <w:t xml:space="preserve">Christopher </w:t>
            </w:r>
            <w:proofErr w:type="spellStart"/>
            <w:r>
              <w:rPr>
                <w:color w:val="000000"/>
              </w:rPr>
              <w:t>Naminzo</w:t>
            </w:r>
            <w:proofErr w:type="spellEnd"/>
          </w:p>
          <w:p w14:paraId="101923EC" w14:textId="77777777" w:rsidR="009A3D44" w:rsidRDefault="00BE1A09">
            <w:pPr>
              <w:rPr>
                <w:color w:val="000000"/>
              </w:rPr>
            </w:pPr>
            <w:r>
              <w:rPr>
                <w:color w:val="000000"/>
              </w:rPr>
              <w:t xml:space="preserve">Armelle </w:t>
            </w:r>
            <w:proofErr w:type="spellStart"/>
            <w:r>
              <w:rPr>
                <w:color w:val="000000"/>
              </w:rPr>
              <w:t>Denoize</w:t>
            </w:r>
            <w:proofErr w:type="spellEnd"/>
          </w:p>
        </w:tc>
        <w:tc>
          <w:tcPr>
            <w:tcW w:w="3967" w:type="dxa"/>
            <w:shd w:val="clear" w:color="auto" w:fill="auto"/>
          </w:tcPr>
          <w:p w14:paraId="2F83C045" w14:textId="06C2105F" w:rsidR="009A3D44" w:rsidRDefault="00FD5F9A">
            <w:pPr>
              <w:cnfStyle w:val="000000000000" w:firstRow="0" w:lastRow="0" w:firstColumn="0" w:lastColumn="0" w:oddVBand="0" w:evenVBand="0" w:oddHBand="0" w:evenHBand="0" w:firstRowFirstColumn="0" w:firstRowLastColumn="0" w:lastRowFirstColumn="0" w:lastRowLastColumn="0"/>
              <w:rPr>
                <w:color w:val="000000"/>
              </w:rPr>
            </w:pPr>
            <w:r>
              <w:rPr>
                <w:color w:val="000000"/>
              </w:rPr>
              <w:t>SAPMER Sustainability Director</w:t>
            </w:r>
          </w:p>
          <w:p w14:paraId="6C73DEFF" w14:textId="77777777" w:rsidR="009A3D44" w:rsidRDefault="00BE1A09">
            <w:pPr>
              <w:cnfStyle w:val="000000000000" w:firstRow="0" w:lastRow="0" w:firstColumn="0" w:lastColumn="0" w:oddVBand="0" w:evenVBand="0" w:oddHBand="0" w:evenHBand="0" w:firstRowFirstColumn="0" w:firstRowLastColumn="0" w:lastRowFirstColumn="0" w:lastRowLastColumn="0"/>
              <w:rPr>
                <w:color w:val="000000"/>
              </w:rPr>
            </w:pPr>
            <w:r>
              <w:rPr>
                <w:color w:val="000000"/>
              </w:rPr>
              <w:t>Fisheries and Environment Certification assistant</w:t>
            </w:r>
          </w:p>
          <w:p w14:paraId="343EC4DD" w14:textId="43EF906D" w:rsidR="009A3D44" w:rsidRDefault="00BE1A09">
            <w:pPr>
              <w:cnfStyle w:val="000000000000" w:firstRow="0" w:lastRow="0" w:firstColumn="0" w:lastColumn="0" w:oddVBand="0" w:evenVBand="0" w:oddHBand="0" w:evenHBand="0" w:firstRowFirstColumn="0" w:firstRowLastColumn="0" w:lastRowFirstColumn="0" w:lastRowLastColumn="0"/>
              <w:rPr>
                <w:color w:val="000000"/>
              </w:rPr>
            </w:pPr>
            <w:r>
              <w:rPr>
                <w:color w:val="000000"/>
              </w:rPr>
              <w:t>Resources and Environmental Policy group manager.</w:t>
            </w:r>
          </w:p>
        </w:tc>
        <w:tc>
          <w:tcPr>
            <w:tcW w:w="8109" w:type="dxa"/>
            <w:shd w:val="clear" w:color="auto" w:fill="auto"/>
          </w:tcPr>
          <w:p w14:paraId="67131F3C" w14:textId="77777777" w:rsidR="009A3D44" w:rsidRPr="00DB2407" w:rsidRDefault="00BE1A09">
            <w:pPr>
              <w:ind w:left="28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u w:val="single"/>
              </w:rPr>
            </w:pPr>
            <w:r w:rsidRPr="00DB2407">
              <w:rPr>
                <w:rFonts w:ascii="Times New Roman" w:hAnsi="Times New Roman" w:cs="Times New Roman"/>
                <w:color w:val="000000"/>
                <w:sz w:val="24"/>
                <w:szCs w:val="24"/>
                <w:u w:val="single"/>
              </w:rPr>
              <w:t>Contacted by email</w:t>
            </w:r>
          </w:p>
          <w:p w14:paraId="63A22F8A" w14:textId="77777777" w:rsidR="009A3D44" w:rsidRDefault="00BE1A09">
            <w:pPr>
              <w:numPr>
                <w:ilvl w:val="0"/>
                <w:numId w:val="1"/>
              </w:num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SAPMER Code of good practices.</w:t>
            </w:r>
          </w:p>
          <w:p w14:paraId="6006ACCE" w14:textId="77777777" w:rsidR="009A3D44" w:rsidRDefault="00BE1A09">
            <w:pPr>
              <w:numPr>
                <w:ilvl w:val="0"/>
                <w:numId w:val="1"/>
              </w:num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SAPMER public policies on sustainability.</w:t>
            </w:r>
          </w:p>
          <w:p w14:paraId="7B203559" w14:textId="77777777" w:rsidR="009A3D44" w:rsidRDefault="00BE1A09">
            <w:pPr>
              <w:numPr>
                <w:ilvl w:val="0"/>
                <w:numId w:val="1"/>
              </w:num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ISSF Compliance report.</w:t>
            </w:r>
          </w:p>
          <w:p w14:paraId="0B234E1A" w14:textId="77777777" w:rsidR="009A3D44" w:rsidRDefault="00BE1A09">
            <w:pPr>
              <w:numPr>
                <w:ilvl w:val="0"/>
                <w:numId w:val="1"/>
              </w:num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Compliance of the fleet with IOTC and EU regulations.</w:t>
            </w:r>
          </w:p>
          <w:p w14:paraId="1DAB815C" w14:textId="745558A5" w:rsidR="00DB2407" w:rsidRDefault="00DB2407">
            <w:pPr>
              <w:numPr>
                <w:ilvl w:val="0"/>
                <w:numId w:val="1"/>
              </w:num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issues</w:t>
            </w:r>
          </w:p>
        </w:tc>
      </w:tr>
      <w:tr w:rsidR="009A3D44" w14:paraId="233BB1B6" w14:textId="77777777" w:rsidTr="00DB2407">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0B3E1CAE" w14:textId="77777777" w:rsidR="009A3D44" w:rsidRDefault="00BE1A09">
            <w:pPr>
              <w:rPr>
                <w:color w:val="000000"/>
              </w:rPr>
            </w:pPr>
            <w:r>
              <w:rPr>
                <w:color w:val="000000"/>
              </w:rPr>
              <w:t>Christopher O'Brien</w:t>
            </w:r>
          </w:p>
        </w:tc>
        <w:tc>
          <w:tcPr>
            <w:tcW w:w="3967" w:type="dxa"/>
            <w:shd w:val="clear" w:color="auto" w:fill="auto"/>
          </w:tcPr>
          <w:p w14:paraId="68DEE725" w14:textId="77777777" w:rsidR="009A3D44" w:rsidRDefault="00BE1A09">
            <w:pPr>
              <w:cnfStyle w:val="000000100000" w:firstRow="0" w:lastRow="0" w:firstColumn="0" w:lastColumn="0" w:oddVBand="0" w:evenVBand="0" w:oddHBand="1" w:evenHBand="0" w:firstRowFirstColumn="0" w:firstRowLastColumn="0" w:lastRowFirstColumn="0" w:lastRowLastColumn="0"/>
              <w:rPr>
                <w:color w:val="000000"/>
              </w:rPr>
            </w:pPr>
            <w:r>
              <w:rPr>
                <w:color w:val="000000"/>
              </w:rPr>
              <w:t>Executive Secretary - Indian Ocean Tuna Commission (IOTC)</w:t>
            </w:r>
          </w:p>
        </w:tc>
        <w:tc>
          <w:tcPr>
            <w:tcW w:w="8109" w:type="dxa"/>
            <w:shd w:val="clear" w:color="auto" w:fill="auto"/>
          </w:tcPr>
          <w:p w14:paraId="4A566F86" w14:textId="77777777" w:rsidR="009A3D44" w:rsidRPr="00DB2407" w:rsidRDefault="00BE1A09">
            <w:pPr>
              <w:ind w:left="28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u w:val="single"/>
              </w:rPr>
            </w:pPr>
            <w:r w:rsidRPr="00DB2407">
              <w:rPr>
                <w:rFonts w:ascii="Times New Roman" w:hAnsi="Times New Roman" w:cs="Times New Roman"/>
                <w:color w:val="000000"/>
                <w:sz w:val="24"/>
                <w:szCs w:val="24"/>
                <w:u w:val="single"/>
              </w:rPr>
              <w:t>Contacted by email</w:t>
            </w:r>
          </w:p>
          <w:p w14:paraId="710155E6" w14:textId="77777777" w:rsidR="009A3D44" w:rsidRDefault="00BE1A09">
            <w:pPr>
              <w:numPr>
                <w:ilvl w:val="0"/>
                <w:numId w:val="1"/>
              </w:numPr>
              <w:pBdr>
                <w:top w:val="nil"/>
                <w:left w:val="nil"/>
                <w:bottom w:val="nil"/>
                <w:right w:val="nil"/>
                <w:between w:val="nil"/>
              </w:pBdr>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u w:val="single"/>
              </w:rPr>
            </w:pPr>
            <w:r>
              <w:rPr>
                <w:rFonts w:ascii="Times New Roman" w:eastAsia="Times New Roman" w:hAnsi="Times New Roman" w:cs="Times New Roman"/>
                <w:color w:val="000000"/>
                <w:sz w:val="24"/>
                <w:szCs w:val="24"/>
              </w:rPr>
              <w:t>Clarifications on the performance review of the key elements within the IOTC.</w:t>
            </w:r>
          </w:p>
          <w:p w14:paraId="5B4939CF" w14:textId="77777777" w:rsidR="009A3D44" w:rsidRDefault="009A3D44">
            <w:pPr>
              <w:ind w:left="2880"/>
              <w:cnfStyle w:val="000000100000" w:firstRow="0" w:lastRow="0" w:firstColumn="0" w:lastColumn="0" w:oddVBand="0" w:evenVBand="0" w:oddHBand="1" w:evenHBand="0" w:firstRowFirstColumn="0" w:firstRowLastColumn="0" w:lastRowFirstColumn="0" w:lastRowLastColumn="0"/>
              <w:rPr>
                <w:color w:val="000000"/>
                <w:u w:val="single"/>
              </w:rPr>
            </w:pPr>
          </w:p>
        </w:tc>
      </w:tr>
    </w:tbl>
    <w:p w14:paraId="441D6217" w14:textId="77777777" w:rsidR="009A3D44" w:rsidRDefault="009A3D44"/>
    <w:p w14:paraId="3648F76E" w14:textId="77777777" w:rsidR="009A3D44" w:rsidRDefault="00BE1A09">
      <w:pPr>
        <w:rPr>
          <w:color w:val="2F5496"/>
          <w:sz w:val="32"/>
          <w:szCs w:val="32"/>
        </w:rPr>
      </w:pPr>
      <w:r>
        <w:br w:type="page"/>
      </w:r>
    </w:p>
    <w:p w14:paraId="28490018" w14:textId="77777777" w:rsidR="009A3D44" w:rsidRDefault="00BE1A09">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Summary of Findings and Recommendations </w:t>
      </w:r>
    </w:p>
    <w:p w14:paraId="139556FD" w14:textId="7EBA4BA9" w:rsidR="009A3D44" w:rsidRDefault="00BE1A09">
      <w:pPr>
        <w:spacing w:after="120"/>
      </w:pPr>
      <w:r>
        <w:t>This report presents the findings of the six-year audit of the Indian Ocean tuna - purse seine (SIOTI) FIP. This FIP started in 201</w:t>
      </w:r>
      <w:r w:rsidR="00984B65">
        <w:t>7</w:t>
      </w:r>
      <w:r>
        <w:t xml:space="preserve"> and the target end date was June 202</w:t>
      </w:r>
      <w:r w:rsidR="00984B65">
        <w:t>2</w:t>
      </w:r>
      <w:r>
        <w:t>. However, the FIP requested an extension of 1 year in order to complete some of the activities in the FIP. This extension was granted by</w:t>
      </w:r>
      <w:r w:rsidR="0021464E">
        <w:t xml:space="preserve"> </w:t>
      </w:r>
      <w:r>
        <w:t>FisheryProgress and the new due date set to J</w:t>
      </w:r>
      <w:r w:rsidR="00DE0B97">
        <w:t>une 2023</w:t>
      </w:r>
      <w:r>
        <w:t xml:space="preserve">. </w:t>
      </w:r>
      <w:r w:rsidR="005E59D8">
        <w:t>Two</w:t>
      </w:r>
      <w:r>
        <w:t xml:space="preserve"> of the companies involved in the FIP are already MSC certified </w:t>
      </w:r>
      <w:r w:rsidR="00B81A37">
        <w:t xml:space="preserve">for skipjack </w:t>
      </w:r>
      <w:r>
        <w:t>(Echebastar, CFTO) or are in process of being certified</w:t>
      </w:r>
      <w:r w:rsidR="009E5992">
        <w:t xml:space="preserve"> for that species</w:t>
      </w:r>
      <w:r>
        <w:t xml:space="preserve"> (</w:t>
      </w:r>
      <w:r w:rsidR="005E59D8">
        <w:t>ANABAC</w:t>
      </w:r>
      <w:r w:rsidR="003D06F8">
        <w:t>, a scope extension of CFTO certification for SAPMER vessels</w:t>
      </w:r>
      <w:r w:rsidR="002E3C1B">
        <w:t xml:space="preserve">). </w:t>
      </w:r>
      <w:r w:rsidR="009E5992">
        <w:t xml:space="preserve">A </w:t>
      </w:r>
      <w:r>
        <w:t xml:space="preserve">new FIP is being developed </w:t>
      </w:r>
      <w:r w:rsidR="009F53A1">
        <w:t xml:space="preserve">for YFT and BET </w:t>
      </w:r>
      <w:r>
        <w:t xml:space="preserve">and will be launched after this one is finished with the objective of addressing remaining issues (stock status, </w:t>
      </w:r>
      <w:r w:rsidR="00FD2481">
        <w:t>P2 and P3 issues</w:t>
      </w:r>
      <w:r>
        <w:t>).</w:t>
      </w:r>
    </w:p>
    <w:p w14:paraId="3308741A" w14:textId="7A9F3230" w:rsidR="008B5805" w:rsidRDefault="00BE1A09">
      <w:pPr>
        <w:spacing w:after="120"/>
      </w:pPr>
      <w:r w:rsidRPr="00B1199B">
        <w:t>In regard to Principle 1, recent stock assessments have been conducted for SKJ, YFT and BET)</w:t>
      </w:r>
      <w:r w:rsidR="00F004E5">
        <w:t>.</w:t>
      </w:r>
      <w:r w:rsidRPr="00B1199B">
        <w:t xml:space="preserve"> The most recent stock assessments for YFT and BET, conducted in 2021 and 2022 respectively, indicated that the biomass of those species was below the SSB</w:t>
      </w:r>
      <w:r w:rsidRPr="00B1199B">
        <w:rPr>
          <w:vertAlign w:val="subscript"/>
        </w:rPr>
        <w:t>MSY</w:t>
      </w:r>
      <w:r w:rsidRPr="00B1199B">
        <w:t xml:space="preserve"> (SB</w:t>
      </w:r>
      <w:r w:rsidRPr="00B1199B">
        <w:rPr>
          <w:vertAlign w:val="subscript"/>
        </w:rPr>
        <w:t>2020 YFT/</w:t>
      </w:r>
      <w:r w:rsidRPr="00B1199B">
        <w:t>SB</w:t>
      </w:r>
      <w:r w:rsidRPr="00B1199B">
        <w:rPr>
          <w:vertAlign w:val="subscript"/>
        </w:rPr>
        <w:t>MSY</w:t>
      </w:r>
      <w:r w:rsidRPr="00B1199B">
        <w:t xml:space="preserve"> = 0.87 and SB</w:t>
      </w:r>
      <w:r w:rsidRPr="00B1199B">
        <w:rPr>
          <w:vertAlign w:val="subscript"/>
        </w:rPr>
        <w:t>2021 BET/</w:t>
      </w:r>
      <w:r w:rsidRPr="00B1199B">
        <w:t>SB</w:t>
      </w:r>
      <w:r w:rsidRPr="00B1199B">
        <w:rPr>
          <w:vertAlign w:val="subscript"/>
        </w:rPr>
        <w:t>MSY</w:t>
      </w:r>
      <w:r w:rsidRPr="00B1199B">
        <w:t xml:space="preserve"> = 0.90). </w:t>
      </w:r>
    </w:p>
    <w:p w14:paraId="77438BA5" w14:textId="610C07FF" w:rsidR="0042337C" w:rsidRDefault="00BE1A09">
      <w:pPr>
        <w:spacing w:after="120"/>
      </w:pPr>
      <w:r w:rsidRPr="00B1199B">
        <w:t xml:space="preserve">In the case of </w:t>
      </w:r>
      <w:r w:rsidR="00F004E5">
        <w:t>SKJ</w:t>
      </w:r>
      <w:r w:rsidRPr="00B1199B">
        <w:t xml:space="preserve">, </w:t>
      </w:r>
      <w:r w:rsidR="00F004E5">
        <w:t>a</w:t>
      </w:r>
      <w:r w:rsidRPr="00B1199B">
        <w:t xml:space="preserve"> stock assessment was </w:t>
      </w:r>
      <w:r w:rsidR="00F004E5">
        <w:t xml:space="preserve">started in </w:t>
      </w:r>
      <w:r w:rsidRPr="00B1199B">
        <w:t>202</w:t>
      </w:r>
      <w:r w:rsidR="008B5805">
        <w:t>3</w:t>
      </w:r>
      <w:r w:rsidRPr="00B1199B">
        <w:t>. The results of the 2020 assessment indicated that SB</w:t>
      </w:r>
      <w:r w:rsidRPr="00B1199B">
        <w:rPr>
          <w:vertAlign w:val="subscript"/>
        </w:rPr>
        <w:t>2019 SKJ</w:t>
      </w:r>
      <w:r w:rsidRPr="00B1199B">
        <w:t>/ SB</w:t>
      </w:r>
      <w:r w:rsidRPr="00B1199B">
        <w:rPr>
          <w:vertAlign w:val="subscript"/>
        </w:rPr>
        <w:t xml:space="preserve">MSY </w:t>
      </w:r>
      <w:r w:rsidRPr="00B1199B">
        <w:t xml:space="preserve">= 1.99. </w:t>
      </w:r>
      <w:bookmarkStart w:id="0" w:name="_Hlk138395494"/>
      <w:r w:rsidRPr="00B1199B">
        <w:t>Resolution 21/03 On Harvest Control Rules for Skipjack Tuna were adopted in 2021 and a Management Procedure for bigeye tuna was adopted in 2022</w:t>
      </w:r>
      <w:bookmarkEnd w:id="0"/>
      <w:r w:rsidRPr="00B1199B">
        <w:t xml:space="preserve">. An interim plan for rebuilding the Indian Ocean yellowfin tuna stock (Resolution 21/01) is also in place. But some </w:t>
      </w:r>
      <w:r w:rsidR="002F0C3D">
        <w:t xml:space="preserve">issues </w:t>
      </w:r>
      <w:r w:rsidRPr="00B1199B">
        <w:t xml:space="preserve">persist </w:t>
      </w:r>
      <w:r w:rsidR="002F0C3D">
        <w:t xml:space="preserve">with </w:t>
      </w:r>
      <w:r w:rsidRPr="00B1199B">
        <w:t xml:space="preserve">catches above the </w:t>
      </w:r>
      <w:r w:rsidR="002F0C3D">
        <w:t xml:space="preserve">defined </w:t>
      </w:r>
      <w:r w:rsidR="0042337C">
        <w:t xml:space="preserve">HCR </w:t>
      </w:r>
      <w:r w:rsidRPr="00B1199B">
        <w:t>limits for both SKJ and YFT</w:t>
      </w:r>
      <w:r w:rsidR="0042337C">
        <w:t xml:space="preserve">. </w:t>
      </w:r>
      <w:r w:rsidRPr="00B1199B">
        <w:t xml:space="preserve"> </w:t>
      </w:r>
      <w:r w:rsidR="0042337C">
        <w:t>M</w:t>
      </w:r>
      <w:r w:rsidRPr="00B1199B">
        <w:t>anagement measures for BET</w:t>
      </w:r>
      <w:r w:rsidR="0042337C">
        <w:t xml:space="preserve"> were adopted in 2022 (IOTC Res. </w:t>
      </w:r>
      <w:r w:rsidR="00334F8D">
        <w:t>22/03</w:t>
      </w:r>
      <w:r w:rsidRPr="00B1199B">
        <w:t xml:space="preserve">). </w:t>
      </w:r>
    </w:p>
    <w:p w14:paraId="00148A0F" w14:textId="62FDD4E1" w:rsidR="003E6308" w:rsidRDefault="00BE1A09">
      <w:pPr>
        <w:spacing w:after="120"/>
      </w:pPr>
      <w:r w:rsidRPr="00B1199B">
        <w:t xml:space="preserve">The score for 1.1.2 Stock rebuilding for YFT was increased by the FIP during Year 4 based on the implementation of Resolution 21/01 but the auditor disagrees with that change and based on the regular over-catch of the stock and the recent projections conducted by </w:t>
      </w:r>
      <w:proofErr w:type="spellStart"/>
      <w:r w:rsidRPr="00B1199B">
        <w:t>Urtizberea</w:t>
      </w:r>
      <w:proofErr w:type="spellEnd"/>
      <w:r w:rsidRPr="00B1199B">
        <w:t xml:space="preserve"> et al., 2021</w:t>
      </w:r>
      <w:r w:rsidR="00252F38" w:rsidRPr="00B1199B">
        <w:t xml:space="preserve">, this score has been </w:t>
      </w:r>
      <w:r w:rsidR="0042337C">
        <w:t>reduced</w:t>
      </w:r>
      <w:r w:rsidR="00252F38" w:rsidRPr="00B1199B">
        <w:t xml:space="preserve"> again to &lt;60 </w:t>
      </w:r>
      <w:r w:rsidRPr="00B1199B">
        <w:t>(for more information see the relevant P.I. and annex 1).</w:t>
      </w:r>
      <w:r w:rsidR="00252F38" w:rsidRPr="00B1199B">
        <w:t xml:space="preserve"> </w:t>
      </w:r>
    </w:p>
    <w:p w14:paraId="7831825F" w14:textId="0320100E" w:rsidR="00252F38" w:rsidRDefault="00252F38">
      <w:pPr>
        <w:spacing w:after="120"/>
      </w:pPr>
      <w:r w:rsidRPr="00B1199B">
        <w:t>Recently the FIP has commissioned a number of studies to improve the management of the three species (Merino et al., 2020, Merino et al., 2022, Sauer &amp; Bova 2022).</w:t>
      </w:r>
    </w:p>
    <w:p w14:paraId="4C654BD0" w14:textId="43DEEEE2" w:rsidR="00C83AF8" w:rsidRDefault="00BE1A09">
      <w:pPr>
        <w:spacing w:after="120"/>
      </w:pPr>
      <w:r>
        <w:t xml:space="preserve">In regard to Principle 2, a number of </w:t>
      </w:r>
      <w:r w:rsidR="00913367">
        <w:t xml:space="preserve">issues were identified </w:t>
      </w:r>
      <w:r>
        <w:t>during the pre-assessment or in</w:t>
      </w:r>
      <w:r w:rsidR="00252F38">
        <w:t xml:space="preserve"> </w:t>
      </w:r>
      <w:r>
        <w:t xml:space="preserve">further FIP reviews: data collection on primary, secondary and ETP species, habitat </w:t>
      </w:r>
      <w:r w:rsidR="00252F38">
        <w:t xml:space="preserve">impacts of the FAD component </w:t>
      </w:r>
      <w:r>
        <w:t xml:space="preserve">and ecosystem impacts. </w:t>
      </w:r>
      <w:r w:rsidR="00252F38">
        <w:t>A number of studies and activities have been conducted by the FIP in order to a</w:t>
      </w:r>
      <w:r w:rsidR="00913367">
        <w:t xml:space="preserve">ddress those issues. </w:t>
      </w:r>
      <w:r w:rsidR="00252F38">
        <w:t xml:space="preserve">A Code of Good Practices </w:t>
      </w:r>
      <w:r w:rsidR="003E6308">
        <w:t>was</w:t>
      </w:r>
      <w:r w:rsidR="00252F38">
        <w:t xml:space="preserve"> implemented by the fleet, which has recently been harmonized and is updated when necessary</w:t>
      </w:r>
      <w:r w:rsidR="00913367">
        <w:t xml:space="preserve">. Non-entangling FADs are </w:t>
      </w:r>
      <w:r w:rsidR="00913367" w:rsidRPr="00913367">
        <w:t xml:space="preserve">now </w:t>
      </w:r>
      <w:r w:rsidR="00913367">
        <w:t>be</w:t>
      </w:r>
      <w:r w:rsidR="003E6308">
        <w:t>ing</w:t>
      </w:r>
      <w:r w:rsidR="00913367">
        <w:t xml:space="preserve"> used by </w:t>
      </w:r>
      <w:r w:rsidR="00A2168C">
        <w:t>all</w:t>
      </w:r>
      <w:r w:rsidR="003E6308">
        <w:t xml:space="preserve"> </w:t>
      </w:r>
      <w:r w:rsidR="00913367">
        <w:t xml:space="preserve">the fleet, and </w:t>
      </w:r>
      <w:r w:rsidR="00252F38">
        <w:t xml:space="preserve">a FAD Watch project was launched </w:t>
      </w:r>
      <w:r w:rsidR="00913367">
        <w:t>to reduce the impact of lost FADs on VMEs</w:t>
      </w:r>
      <w:r w:rsidR="008F34E7">
        <w:t xml:space="preserve"> (coral communities) in the Seychelles</w:t>
      </w:r>
      <w:r w:rsidR="00252F38">
        <w:t xml:space="preserve">. </w:t>
      </w:r>
    </w:p>
    <w:p w14:paraId="3E74DFCB" w14:textId="5A63117A" w:rsidR="001E63DA" w:rsidRDefault="00252F38">
      <w:pPr>
        <w:spacing w:after="120"/>
      </w:pPr>
      <w:r>
        <w:t xml:space="preserve">A review of the </w:t>
      </w:r>
      <w:r w:rsidR="00913367">
        <w:t xml:space="preserve">ecosystem impact and the interpretations and </w:t>
      </w:r>
      <w:r>
        <w:t xml:space="preserve">scores given </w:t>
      </w:r>
      <w:r w:rsidR="00913367">
        <w:t xml:space="preserve">by </w:t>
      </w:r>
      <w:r w:rsidR="00C83AF8">
        <w:t>the</w:t>
      </w:r>
      <w:r w:rsidR="00913367">
        <w:t xml:space="preserve"> auditors </w:t>
      </w:r>
      <w:r w:rsidR="00C83AF8">
        <w:t xml:space="preserve">of </w:t>
      </w:r>
      <w:r>
        <w:t xml:space="preserve">2.5 in </w:t>
      </w:r>
      <w:r w:rsidR="00913367">
        <w:t xml:space="preserve">the </w:t>
      </w:r>
      <w:r>
        <w:t xml:space="preserve">different MSC certifications was also conducted </w:t>
      </w:r>
      <w:r w:rsidR="00913367">
        <w:t xml:space="preserve">by a consultant </w:t>
      </w:r>
      <w:r>
        <w:t>(</w:t>
      </w:r>
      <w:r w:rsidRPr="00252F38">
        <w:t>Juan-</w:t>
      </w:r>
      <w:proofErr w:type="spellStart"/>
      <w:r w:rsidRPr="00252F38">
        <w:t>Jordá</w:t>
      </w:r>
      <w:proofErr w:type="spellEnd"/>
      <w:r>
        <w:t xml:space="preserve"> 202</w:t>
      </w:r>
      <w:r w:rsidR="00994A8A">
        <w:t>2</w:t>
      </w:r>
      <w:r>
        <w:t xml:space="preserve">). The combination of these activities has resulted in the scores being raised for some performance indicators (2.4.1, </w:t>
      </w:r>
      <w:r w:rsidR="00913367">
        <w:t xml:space="preserve">2.4.2, 2.5.1, 2.5.2), although more progress needs to be </w:t>
      </w:r>
      <w:r w:rsidR="00ED5D92">
        <w:t>made</w:t>
      </w:r>
      <w:r w:rsidR="00913367">
        <w:t xml:space="preserve"> on the information component (2.3.3 ETP, 2.4.3. Habitat, 2.5.3 Ecosystem) of those elements</w:t>
      </w:r>
      <w:r w:rsidR="006F0955">
        <w:t xml:space="preserve">. </w:t>
      </w:r>
      <w:r w:rsidR="00913367">
        <w:t>The impact on primary and secondary species has been assessed and it seems to be relatively low</w:t>
      </w:r>
      <w:r w:rsidR="009335DB">
        <w:t xml:space="preserve">. </w:t>
      </w:r>
    </w:p>
    <w:p w14:paraId="3898C6A7" w14:textId="72A8D019" w:rsidR="009A3D44" w:rsidRDefault="009335DB">
      <w:pPr>
        <w:spacing w:after="120"/>
      </w:pPr>
      <w:r>
        <w:t>A comprehensive strategy to manage the impact of the fishery on silky sharks</w:t>
      </w:r>
      <w:r w:rsidR="001A7E80">
        <w:t xml:space="preserve">, </w:t>
      </w:r>
      <w:r>
        <w:t xml:space="preserve">the main </w:t>
      </w:r>
      <w:r w:rsidR="00F65662">
        <w:t xml:space="preserve">ETP </w:t>
      </w:r>
      <w:r>
        <w:t xml:space="preserve">bycatch species in the fishery, has not been developed </w:t>
      </w:r>
      <w:r w:rsidR="00FA65EF">
        <w:t xml:space="preserve">although several projects have been implemented to assess the scope and nature </w:t>
      </w:r>
      <w:r w:rsidR="001E63DA">
        <w:t>of the interaction of that species with the purse seine tuna fishery</w:t>
      </w:r>
      <w:r w:rsidR="00BD306F">
        <w:t xml:space="preserve"> and inform a potential strategic approach. </w:t>
      </w:r>
    </w:p>
    <w:p w14:paraId="19832E53" w14:textId="63284D5F" w:rsidR="00D8259C" w:rsidRDefault="00BE1A09">
      <w:pPr>
        <w:spacing w:after="120"/>
      </w:pPr>
      <w:r>
        <w:t xml:space="preserve">In regard to Principle 3, </w:t>
      </w:r>
      <w:r w:rsidR="0005232A">
        <w:t xml:space="preserve">a number of activities have been undertaken by the FIP to improve </w:t>
      </w:r>
      <w:r>
        <w:t xml:space="preserve">the management of the target tuna stocks at the regional </w:t>
      </w:r>
      <w:r w:rsidR="0005232A">
        <w:t xml:space="preserve">(IOTC) and national </w:t>
      </w:r>
      <w:r>
        <w:t>level (</w:t>
      </w:r>
      <w:r w:rsidR="00BD306F">
        <w:t>EU, Spain, France, Seychelles and Mauritius</w:t>
      </w:r>
      <w:r>
        <w:t>)</w:t>
      </w:r>
      <w:r w:rsidR="0005232A">
        <w:t xml:space="preserve">. </w:t>
      </w:r>
    </w:p>
    <w:p w14:paraId="5809D9D2" w14:textId="2DF23246" w:rsidR="009A3D44" w:rsidRDefault="00D8259C">
      <w:pPr>
        <w:spacing w:after="120"/>
      </w:pPr>
      <w:r>
        <w:lastRenderedPageBreak/>
        <w:t>T</w:t>
      </w:r>
      <w:r w:rsidR="0005232A">
        <w:t xml:space="preserve">he </w:t>
      </w:r>
      <w:r>
        <w:t xml:space="preserve">FIP </w:t>
      </w:r>
      <w:r w:rsidR="0005232A">
        <w:t>pre-assessment</w:t>
      </w:r>
      <w:r w:rsidR="000F4757">
        <w:t xml:space="preserve"> identified the</w:t>
      </w:r>
      <w:r w:rsidR="0005232A">
        <w:t xml:space="preserve"> need to address the legislative gaps that exist at national level to ensure the IOTC Contracting Party and Cooperating Non-Contracting Party (CPCs) comply with IOTC Conservation and Management Measures (CMMs)</w:t>
      </w:r>
      <w:r w:rsidR="000F4757">
        <w:t>.</w:t>
      </w:r>
      <w:r w:rsidR="0005232A">
        <w:t xml:space="preserve"> These </w:t>
      </w:r>
      <w:r w:rsidR="000F4757">
        <w:t>issues</w:t>
      </w:r>
      <w:r w:rsidR="0005232A">
        <w:t xml:space="preserve"> are being addressed in collaboration of a legal expert and some progress has been made for specific countries (Seychelles, Mauritius, Kenya). </w:t>
      </w:r>
      <w:r w:rsidR="00C11DAB">
        <w:t>T</w:t>
      </w:r>
      <w:r w:rsidR="00C11DAB" w:rsidRPr="00C11DAB">
        <w:t xml:space="preserve">here is </w:t>
      </w:r>
      <w:r w:rsidR="00C11DAB">
        <w:t xml:space="preserve">also </w:t>
      </w:r>
      <w:r w:rsidR="00C11DAB" w:rsidRPr="00C11DAB">
        <w:t xml:space="preserve">a need to strengthen compliance in implementing CMMs </w:t>
      </w:r>
      <w:r w:rsidR="00C11DAB">
        <w:t xml:space="preserve">at the national level </w:t>
      </w:r>
      <w:r w:rsidR="00C11DAB" w:rsidRPr="00C11DAB">
        <w:t>and ensure a more robust reporting and sanctions approach to non-compliance. It means that SG80 is not reached for a number of national authorities.</w:t>
      </w:r>
      <w:r w:rsidR="00C11DAB">
        <w:t xml:space="preserve"> </w:t>
      </w:r>
      <w:r w:rsidR="0005232A">
        <w:t xml:space="preserve">Compliance issues have also </w:t>
      </w:r>
      <w:r w:rsidR="00F54A64">
        <w:t xml:space="preserve">been </w:t>
      </w:r>
      <w:r w:rsidR="0005232A">
        <w:t xml:space="preserve">raised concerning </w:t>
      </w:r>
      <w:r w:rsidR="008E08E7">
        <w:t xml:space="preserve">the </w:t>
      </w:r>
      <w:r w:rsidR="0005232A">
        <w:t xml:space="preserve">nominal catch records of the EU fleet during the year 2018 (being solved), the irregular use of AIS in the fishery </w:t>
      </w:r>
      <w:r w:rsidR="008E08E7">
        <w:t xml:space="preserve">and the </w:t>
      </w:r>
      <w:r w:rsidR="008E08E7" w:rsidRPr="008E08E7">
        <w:t xml:space="preserve">non-compliance with the </w:t>
      </w:r>
      <w:r w:rsidR="008E08E7">
        <w:t xml:space="preserve">EU </w:t>
      </w:r>
      <w:r w:rsidR="008E08E7" w:rsidRPr="008E08E7">
        <w:t xml:space="preserve">catch declaration margin </w:t>
      </w:r>
      <w:r w:rsidR="0005232A">
        <w:t>(</w:t>
      </w:r>
      <w:r w:rsidR="008E08E7" w:rsidRPr="008E08E7">
        <w:t>which have resulted in conditions</w:t>
      </w:r>
      <w:r w:rsidR="008E08E7">
        <w:t xml:space="preserve"> for </w:t>
      </w:r>
      <w:r w:rsidR="00877B5F">
        <w:t>3.</w:t>
      </w:r>
      <w:r w:rsidR="008E08E7">
        <w:t xml:space="preserve">2.3. </w:t>
      </w:r>
      <w:r w:rsidR="008E08E7" w:rsidRPr="008E08E7">
        <w:t xml:space="preserve">being set for </w:t>
      </w:r>
      <w:r w:rsidR="008E08E7">
        <w:t xml:space="preserve">the </w:t>
      </w:r>
      <w:r w:rsidR="008E08E7" w:rsidRPr="008E08E7">
        <w:t>ANABAC</w:t>
      </w:r>
      <w:r w:rsidR="00EF340F">
        <w:t xml:space="preserve"> </w:t>
      </w:r>
      <w:r w:rsidR="008E08E7">
        <w:t xml:space="preserve">and </w:t>
      </w:r>
      <w:r w:rsidR="008E08E7" w:rsidRPr="008E08E7">
        <w:t>CFTO</w:t>
      </w:r>
      <w:r w:rsidR="008E08E7">
        <w:t xml:space="preserve"> certifications</w:t>
      </w:r>
      <w:r w:rsidR="00877B5F">
        <w:t xml:space="preserve"> respectively</w:t>
      </w:r>
      <w:r w:rsidR="008E08E7" w:rsidRPr="008E08E7">
        <w:t>)</w:t>
      </w:r>
      <w:r w:rsidR="008E08E7">
        <w:t>.</w:t>
      </w:r>
      <w:r w:rsidR="008E08E7" w:rsidRPr="008E08E7">
        <w:t xml:space="preserve"> </w:t>
      </w:r>
      <w:r w:rsidR="000113BF">
        <w:t>S</w:t>
      </w:r>
      <w:r w:rsidR="00C11DAB" w:rsidRPr="00C11DAB">
        <w:t xml:space="preserve">everal P.I. </w:t>
      </w:r>
      <w:r w:rsidR="000113BF">
        <w:t>are now scored as &gt;</w:t>
      </w:r>
      <w:r w:rsidR="00C11DAB" w:rsidRPr="00C11DAB">
        <w:t>80 (3.1.2. Consultation, Roles and Responsibilities</w:t>
      </w:r>
      <w:r w:rsidR="00465FAE">
        <w:t xml:space="preserve"> and</w:t>
      </w:r>
      <w:r w:rsidR="00C11DAB" w:rsidRPr="00C11DAB">
        <w:t xml:space="preserve"> 3.2.1 Fishery Specific Objectives</w:t>
      </w:r>
      <w:r w:rsidR="00465FAE">
        <w:t xml:space="preserve">), although some of them </w:t>
      </w:r>
      <w:r w:rsidR="002F3E50">
        <w:t>have been</w:t>
      </w:r>
      <w:r w:rsidR="00465FAE">
        <w:t xml:space="preserve"> downgraded to 60-79 (</w:t>
      </w:r>
      <w:r w:rsidR="00C11DAB" w:rsidRPr="00C11DAB">
        <w:t>3.1.2 Decision-making processes</w:t>
      </w:r>
      <w:r w:rsidR="00465FAE">
        <w:t xml:space="preserve"> and 3.1.1 Legal framework</w:t>
      </w:r>
      <w:r w:rsidR="00C11DAB" w:rsidRPr="00C11DAB">
        <w:t>)</w:t>
      </w:r>
      <w:r w:rsidR="00240460">
        <w:t>.</w:t>
      </w:r>
    </w:p>
    <w:p w14:paraId="0E74ADFF" w14:textId="02087473" w:rsidR="00240460" w:rsidRDefault="00240460" w:rsidP="00240460">
      <w:pPr>
        <w:spacing w:after="120"/>
      </w:pPr>
      <w:r w:rsidRPr="0005232A">
        <w:t>A</w:t>
      </w:r>
      <w:r>
        <w:t xml:space="preserve">s indicated </w:t>
      </w:r>
      <w:proofErr w:type="gramStart"/>
      <w:r>
        <w:t xml:space="preserve">above, </w:t>
      </w:r>
      <w:r w:rsidRPr="0005232A">
        <w:t xml:space="preserve"> progress</w:t>
      </w:r>
      <w:proofErr w:type="gramEnd"/>
      <w:r w:rsidRPr="0005232A">
        <w:t xml:space="preserve"> ha</w:t>
      </w:r>
      <w:r w:rsidR="00C25E78">
        <w:t>s</w:t>
      </w:r>
      <w:r w:rsidRPr="0005232A">
        <w:t xml:space="preserve"> been made in recent years under the FIP, mainly for P</w:t>
      </w:r>
      <w:r>
        <w:t>rinciple 2</w:t>
      </w:r>
      <w:r w:rsidRPr="0005232A">
        <w:t xml:space="preserve"> </w:t>
      </w:r>
      <w:r>
        <w:t xml:space="preserve">but also for Principle 1 </w:t>
      </w:r>
      <w:r w:rsidRPr="0005232A">
        <w:t>issues (data collection, FAD impact and management, HCR for SKJ, a MP for BET)</w:t>
      </w:r>
      <w:r>
        <w:t>,</w:t>
      </w:r>
      <w:r w:rsidRPr="0005232A">
        <w:t xml:space="preserve"> but some important issues </w:t>
      </w:r>
      <w:r>
        <w:t xml:space="preserve">still </w:t>
      </w:r>
      <w:r w:rsidRPr="0005232A">
        <w:t xml:space="preserve">remain </w:t>
      </w:r>
      <w:r>
        <w:t xml:space="preserve">for P1 </w:t>
      </w:r>
      <w:r w:rsidRPr="0005232A">
        <w:t>(</w:t>
      </w:r>
      <w:proofErr w:type="spellStart"/>
      <w:r w:rsidRPr="0005232A">
        <w:t>overcatch</w:t>
      </w:r>
      <w:proofErr w:type="spellEnd"/>
      <w:r w:rsidRPr="0005232A">
        <w:t xml:space="preserve"> of SKJ and YFT, lack of </w:t>
      </w:r>
      <w:r>
        <w:t xml:space="preserve">appropriate </w:t>
      </w:r>
      <w:r w:rsidRPr="0005232A">
        <w:t xml:space="preserve">HS </w:t>
      </w:r>
      <w:r>
        <w:t xml:space="preserve">and well defined HCR </w:t>
      </w:r>
      <w:r w:rsidRPr="0005232A">
        <w:t>for several species)</w:t>
      </w:r>
      <w:r>
        <w:t xml:space="preserve"> and for P3 (cooperation among parties and compliance within the EU fleet</w:t>
      </w:r>
      <w:r w:rsidR="0087087F">
        <w:t xml:space="preserve"> (AIS use, EU catch declaration margin</w:t>
      </w:r>
      <w:r>
        <w:t>)</w:t>
      </w:r>
      <w:r w:rsidRPr="0005232A">
        <w:t>.</w:t>
      </w:r>
      <w:r>
        <w:t xml:space="preserve"> These are </w:t>
      </w:r>
      <w:r w:rsidRPr="00240460">
        <w:t xml:space="preserve">very important </w:t>
      </w:r>
      <w:r>
        <w:t>problems</w:t>
      </w:r>
      <w:r w:rsidRPr="00240460">
        <w:t xml:space="preserve"> which should be addressed as a matter of urgency by the FIP.</w:t>
      </w:r>
      <w:r>
        <w:t xml:space="preserve"> Therefore, although progress has been made, more efforts must be taken to address those remaining issues.</w:t>
      </w:r>
    </w:p>
    <w:p w14:paraId="0CF62F60" w14:textId="6EBE1926" w:rsidR="009A3D44" w:rsidRDefault="00BE1A09">
      <w:pPr>
        <w:spacing w:after="120"/>
      </w:pPr>
      <w:r>
        <w:br w:type="page"/>
      </w:r>
    </w:p>
    <w:p w14:paraId="5B84206F" w14:textId="77777777" w:rsidR="009A3D44" w:rsidRDefault="00BE1A09">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Summary of MSC Performance Indicator Scores</w:t>
      </w:r>
    </w:p>
    <w:p w14:paraId="76DD22C1" w14:textId="77777777" w:rsidR="009A3D44" w:rsidRDefault="00BE1A09">
      <w:pPr>
        <w:rPr>
          <w:i/>
        </w:rPr>
      </w:pPr>
      <w:r>
        <w:rPr>
          <w:i/>
        </w:rPr>
        <w:t>Note: scores for all target species have been provided in the table below. It is understood this information will help to track progress for each species.</w:t>
      </w:r>
    </w:p>
    <w:p w14:paraId="1C8B3D8D" w14:textId="77777777" w:rsidR="009A3D44" w:rsidRDefault="009A3D44">
      <w:pPr>
        <w:rPr>
          <w:i/>
        </w:rPr>
      </w:pPr>
    </w:p>
    <w:tbl>
      <w:tblPr>
        <w:tblStyle w:val="a1"/>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1880"/>
        <w:gridCol w:w="951"/>
        <w:gridCol w:w="3090"/>
        <w:gridCol w:w="1111"/>
        <w:gridCol w:w="1271"/>
        <w:gridCol w:w="5851"/>
      </w:tblGrid>
      <w:tr w:rsidR="009A3D44" w:rsidRPr="009C3850" w14:paraId="50757A79" w14:textId="77777777" w:rsidTr="009C3850">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34" w:type="dxa"/>
            <w:tcBorders>
              <w:top w:val="none" w:sz="0" w:space="0" w:color="auto"/>
              <w:left w:val="none" w:sz="0" w:space="0" w:color="auto"/>
              <w:bottom w:val="none" w:sz="0" w:space="0" w:color="auto"/>
              <w:right w:val="none" w:sz="0" w:space="0" w:color="auto"/>
            </w:tcBorders>
          </w:tcPr>
          <w:p w14:paraId="24C51261" w14:textId="77777777" w:rsidR="009A3D44" w:rsidRPr="009C3850" w:rsidRDefault="00BE1A09">
            <w:pPr>
              <w:jc w:val="center"/>
              <w:rPr>
                <w:rFonts w:ascii="Times New Roman" w:hAnsi="Times New Roman" w:cs="Times New Roman"/>
              </w:rPr>
            </w:pPr>
            <w:r w:rsidRPr="009C3850">
              <w:rPr>
                <w:rFonts w:ascii="Times New Roman" w:hAnsi="Times New Roman" w:cs="Times New Roman"/>
              </w:rPr>
              <w:t>Principle</w:t>
            </w:r>
          </w:p>
        </w:tc>
        <w:tc>
          <w:tcPr>
            <w:tcW w:w="1880" w:type="dxa"/>
            <w:tcBorders>
              <w:top w:val="none" w:sz="0" w:space="0" w:color="auto"/>
              <w:left w:val="none" w:sz="0" w:space="0" w:color="auto"/>
              <w:bottom w:val="none" w:sz="0" w:space="0" w:color="auto"/>
              <w:right w:val="none" w:sz="0" w:space="0" w:color="auto"/>
            </w:tcBorders>
          </w:tcPr>
          <w:p w14:paraId="375EEA02" w14:textId="77777777" w:rsidR="009A3D44" w:rsidRPr="009C3850" w:rsidRDefault="00BE1A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Component</w:t>
            </w:r>
          </w:p>
        </w:tc>
        <w:tc>
          <w:tcPr>
            <w:tcW w:w="4041" w:type="dxa"/>
            <w:gridSpan w:val="2"/>
            <w:tcBorders>
              <w:top w:val="none" w:sz="0" w:space="0" w:color="auto"/>
              <w:left w:val="none" w:sz="0" w:space="0" w:color="auto"/>
              <w:bottom w:val="none" w:sz="0" w:space="0" w:color="auto"/>
              <w:right w:val="none" w:sz="0" w:space="0" w:color="auto"/>
            </w:tcBorders>
          </w:tcPr>
          <w:p w14:paraId="4F440F3D" w14:textId="77777777" w:rsidR="009A3D44" w:rsidRPr="009C3850" w:rsidRDefault="00BE1A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Performance Indicator</w:t>
            </w:r>
          </w:p>
        </w:tc>
        <w:tc>
          <w:tcPr>
            <w:tcW w:w="1111" w:type="dxa"/>
            <w:tcBorders>
              <w:top w:val="none" w:sz="0" w:space="0" w:color="auto"/>
              <w:left w:val="none" w:sz="0" w:space="0" w:color="auto"/>
              <w:bottom w:val="none" w:sz="0" w:space="0" w:color="auto"/>
              <w:right w:val="none" w:sz="0" w:space="0" w:color="auto"/>
            </w:tcBorders>
          </w:tcPr>
          <w:p w14:paraId="01098010" w14:textId="77777777" w:rsidR="009A3D44" w:rsidRPr="009C3850" w:rsidRDefault="00BE1A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 xml:space="preserve">Previous Score </w:t>
            </w:r>
          </w:p>
          <w:p w14:paraId="6482A4AD" w14:textId="77777777" w:rsidR="009A3D44" w:rsidRPr="009C3850" w:rsidRDefault="00BE1A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color w:val="000000"/>
              </w:rPr>
              <w:t>2022</w:t>
            </w:r>
          </w:p>
        </w:tc>
        <w:tc>
          <w:tcPr>
            <w:tcW w:w="1271" w:type="dxa"/>
            <w:tcBorders>
              <w:top w:val="none" w:sz="0" w:space="0" w:color="auto"/>
              <w:left w:val="none" w:sz="0" w:space="0" w:color="auto"/>
              <w:bottom w:val="none" w:sz="0" w:space="0" w:color="auto"/>
              <w:right w:val="none" w:sz="0" w:space="0" w:color="auto"/>
            </w:tcBorders>
          </w:tcPr>
          <w:p w14:paraId="02F469E7" w14:textId="77777777" w:rsidR="009A3D44" w:rsidRPr="009C3850" w:rsidRDefault="00BE1A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 xml:space="preserve">Current Score </w:t>
            </w:r>
          </w:p>
          <w:p w14:paraId="758F74D1" w14:textId="77777777" w:rsidR="009A3D44" w:rsidRPr="009C3850" w:rsidRDefault="00BE1A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color w:val="000000"/>
              </w:rPr>
              <w:t>2023</w:t>
            </w:r>
          </w:p>
        </w:tc>
        <w:tc>
          <w:tcPr>
            <w:tcW w:w="5851" w:type="dxa"/>
            <w:tcBorders>
              <w:top w:val="none" w:sz="0" w:space="0" w:color="auto"/>
              <w:left w:val="none" w:sz="0" w:space="0" w:color="auto"/>
              <w:bottom w:val="none" w:sz="0" w:space="0" w:color="auto"/>
              <w:right w:val="none" w:sz="0" w:space="0" w:color="auto"/>
            </w:tcBorders>
          </w:tcPr>
          <w:p w14:paraId="1B817515" w14:textId="77777777" w:rsidR="009A3D44" w:rsidRPr="009C3850" w:rsidRDefault="00BE1A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 xml:space="preserve">Rationale or Key Points </w:t>
            </w:r>
          </w:p>
        </w:tc>
      </w:tr>
      <w:tr w:rsidR="009A3D44" w:rsidRPr="009C3850" w14:paraId="1E3D693D" w14:textId="77777777" w:rsidTr="009C385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34" w:type="dxa"/>
            <w:vMerge w:val="restart"/>
            <w:shd w:val="clear" w:color="auto" w:fill="auto"/>
          </w:tcPr>
          <w:p w14:paraId="45E8579D" w14:textId="77777777" w:rsidR="009A3D44" w:rsidRPr="009C3850" w:rsidRDefault="00BE1A09">
            <w:pPr>
              <w:jc w:val="center"/>
              <w:rPr>
                <w:rFonts w:ascii="Times New Roman" w:hAnsi="Times New Roman" w:cs="Times New Roman"/>
              </w:rPr>
            </w:pPr>
            <w:r w:rsidRPr="009C3850">
              <w:rPr>
                <w:rFonts w:ascii="Times New Roman" w:hAnsi="Times New Roman" w:cs="Times New Roman"/>
              </w:rPr>
              <w:t>1 (UoA1: SKJ)</w:t>
            </w:r>
          </w:p>
        </w:tc>
        <w:tc>
          <w:tcPr>
            <w:tcW w:w="1880" w:type="dxa"/>
            <w:vMerge w:val="restart"/>
            <w:shd w:val="clear" w:color="auto" w:fill="auto"/>
          </w:tcPr>
          <w:p w14:paraId="7D75EBD6"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Outcome</w:t>
            </w:r>
          </w:p>
        </w:tc>
        <w:tc>
          <w:tcPr>
            <w:tcW w:w="951" w:type="dxa"/>
            <w:shd w:val="clear" w:color="auto" w:fill="auto"/>
          </w:tcPr>
          <w:p w14:paraId="2FE56DB9"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1.1.1</w:t>
            </w:r>
          </w:p>
        </w:tc>
        <w:tc>
          <w:tcPr>
            <w:tcW w:w="3090" w:type="dxa"/>
            <w:shd w:val="clear" w:color="auto" w:fill="auto"/>
          </w:tcPr>
          <w:p w14:paraId="0FAF2B26"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Stock status</w:t>
            </w:r>
          </w:p>
        </w:tc>
        <w:tc>
          <w:tcPr>
            <w:tcW w:w="1111" w:type="dxa"/>
            <w:shd w:val="clear" w:color="auto" w:fill="auto"/>
          </w:tcPr>
          <w:p w14:paraId="4E171B95" w14:textId="71E4EC04"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53916">
              <w:rPr>
                <w:rFonts w:ascii="Times New Roman" w:hAnsi="Times New Roman" w:cs="Times New Roman"/>
                <w:color w:val="000000"/>
              </w:rPr>
              <w:t>&gt;80</w:t>
            </w:r>
            <w:r w:rsidR="00F53916">
              <w:rPr>
                <w:rStyle w:val="FootnoteReference"/>
                <w:rFonts w:ascii="Times New Roman" w:hAnsi="Times New Roman" w:cs="Times New Roman"/>
                <w:color w:val="000000"/>
              </w:rPr>
              <w:footnoteReference w:id="1"/>
            </w:r>
          </w:p>
        </w:tc>
        <w:tc>
          <w:tcPr>
            <w:tcW w:w="1271" w:type="dxa"/>
            <w:shd w:val="clear" w:color="auto" w:fill="auto"/>
          </w:tcPr>
          <w:p w14:paraId="678A079B"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5851" w:type="dxa"/>
            <w:shd w:val="clear" w:color="auto" w:fill="auto"/>
          </w:tcPr>
          <w:p w14:paraId="3552B567" w14:textId="4D1FCD04" w:rsidR="009A3D44" w:rsidRPr="009C3850" w:rsidRDefault="003426FB">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A</w:t>
            </w:r>
            <w:r w:rsidRPr="009C3850">
              <w:rPr>
                <w:rFonts w:ascii="Times New Roman" w:hAnsi="Times New Roman" w:cs="Times New Roman"/>
                <w:color w:val="000000"/>
              </w:rPr>
              <w:t xml:space="preserve"> new stock assessment </w:t>
            </w:r>
            <w:r>
              <w:rPr>
                <w:rFonts w:ascii="Times New Roman" w:hAnsi="Times New Roman" w:cs="Times New Roman"/>
                <w:color w:val="000000"/>
              </w:rPr>
              <w:t xml:space="preserve">is being </w:t>
            </w:r>
            <w:r w:rsidRPr="009C3850">
              <w:rPr>
                <w:rFonts w:ascii="Times New Roman" w:hAnsi="Times New Roman" w:cs="Times New Roman"/>
                <w:color w:val="000000"/>
              </w:rPr>
              <w:t>conducted in 202</w:t>
            </w:r>
            <w:r w:rsidR="00E87364">
              <w:rPr>
                <w:rFonts w:ascii="Times New Roman" w:hAnsi="Times New Roman" w:cs="Times New Roman"/>
                <w:color w:val="000000"/>
              </w:rPr>
              <w:t>3</w:t>
            </w:r>
            <w:r w:rsidRPr="009C3850">
              <w:rPr>
                <w:rFonts w:ascii="Times New Roman" w:hAnsi="Times New Roman" w:cs="Times New Roman"/>
                <w:color w:val="000000"/>
              </w:rPr>
              <w:t xml:space="preserve"> </w:t>
            </w:r>
            <w:r w:rsidR="00E87364">
              <w:rPr>
                <w:rFonts w:ascii="Times New Roman" w:hAnsi="Times New Roman" w:cs="Times New Roman"/>
                <w:color w:val="000000"/>
              </w:rPr>
              <w:t>so</w:t>
            </w:r>
            <w:r w:rsidR="006B50CC">
              <w:rPr>
                <w:rFonts w:ascii="Times New Roman" w:hAnsi="Times New Roman" w:cs="Times New Roman"/>
                <w:color w:val="000000"/>
              </w:rPr>
              <w:t xml:space="preserve"> </w:t>
            </w:r>
            <w:r w:rsidR="00E87364">
              <w:rPr>
                <w:rFonts w:ascii="Times New Roman" w:hAnsi="Times New Roman" w:cs="Times New Roman"/>
                <w:color w:val="000000"/>
              </w:rPr>
              <w:t xml:space="preserve">existing </w:t>
            </w:r>
            <w:r w:rsidRPr="009C3850">
              <w:rPr>
                <w:rFonts w:ascii="Times New Roman" w:hAnsi="Times New Roman" w:cs="Times New Roman"/>
                <w:color w:val="000000"/>
              </w:rPr>
              <w:t>advice is based on the 2020 assessment using Stock Synthesis with data up to 2019. The outcome of the 2020 stock assessment model does not differ substantially from the previous assessment (2017) despite the large catches recorded in the period 2018-2019, which exceeded the catch limits established in 2017 for this period.</w:t>
            </w:r>
          </w:p>
          <w:p w14:paraId="41060011" w14:textId="66427A25" w:rsidR="009A3D44" w:rsidRPr="009C3850" w:rsidRDefault="00BE1A0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The final overall estimate of stock status indicates that the stock is above the adopted target for this stock and that the current exploitation rate is just below the target. Also, the models estimate that the spawning biomass remains above its SB</w:t>
            </w:r>
            <w:r w:rsidRPr="009C3850">
              <w:rPr>
                <w:rFonts w:ascii="Times New Roman" w:hAnsi="Times New Roman" w:cs="Times New Roman"/>
                <w:color w:val="000000"/>
                <w:vertAlign w:val="subscript"/>
              </w:rPr>
              <w:t>MSY</w:t>
            </w:r>
            <w:r w:rsidRPr="009C3850">
              <w:rPr>
                <w:rFonts w:ascii="Times New Roman" w:hAnsi="Times New Roman" w:cs="Times New Roman"/>
                <w:color w:val="000000"/>
              </w:rPr>
              <w:t xml:space="preserve"> and the fishing mortality remains below E</w:t>
            </w:r>
            <w:r w:rsidRPr="009C3850">
              <w:rPr>
                <w:rFonts w:ascii="Times New Roman" w:hAnsi="Times New Roman" w:cs="Times New Roman"/>
                <w:color w:val="000000"/>
                <w:vertAlign w:val="subscript"/>
              </w:rPr>
              <w:t>MSY</w:t>
            </w:r>
            <w:r w:rsidRPr="009C3850">
              <w:rPr>
                <w:rFonts w:ascii="Times New Roman" w:hAnsi="Times New Roman" w:cs="Times New Roman"/>
                <w:color w:val="000000"/>
              </w:rPr>
              <w:t xml:space="preserve"> with very high probability. Over the history of the fishery, biomass has been well above the adopted limit reference point (0.2*SB0). The recent catches have been within the range of estimated target yield (see C40%SB0). </w:t>
            </w:r>
            <w:r w:rsidR="00AA4189" w:rsidRPr="009C3850">
              <w:rPr>
                <w:rFonts w:ascii="Times New Roman" w:hAnsi="Times New Roman" w:cs="Times New Roman"/>
                <w:color w:val="000000"/>
              </w:rPr>
              <w:t>The cur</w:t>
            </w:r>
            <w:r w:rsidR="00AA4189" w:rsidRPr="00D361D6">
              <w:rPr>
                <w:rFonts w:ascii="Times New Roman" w:hAnsi="Times New Roman" w:cs="Times New Roman"/>
                <w:color w:val="000000"/>
              </w:rPr>
              <w:t>rent</w:t>
            </w:r>
            <w:r w:rsidRPr="009C3850">
              <w:rPr>
                <w:rFonts w:ascii="Times New Roman" w:hAnsi="Times New Roman" w:cs="Times New Roman"/>
                <w:color w:val="000000"/>
              </w:rPr>
              <w:t xml:space="preserve"> spawning biomass relative to unexploited levels is estimated at 45%. Thus, on the weight-of-evidence available in 2020, the skipjack tuna stock is determined to be: (</w:t>
            </w:r>
            <w:proofErr w:type="spellStart"/>
            <w:r w:rsidRPr="009C3850">
              <w:rPr>
                <w:rFonts w:ascii="Times New Roman" w:hAnsi="Times New Roman" w:cs="Times New Roman"/>
                <w:color w:val="000000"/>
              </w:rPr>
              <w:t>i</w:t>
            </w:r>
            <w:proofErr w:type="spellEnd"/>
            <w:r w:rsidRPr="009C3850">
              <w:rPr>
                <w:rFonts w:ascii="Times New Roman" w:hAnsi="Times New Roman" w:cs="Times New Roman"/>
                <w:color w:val="000000"/>
              </w:rPr>
              <w:t>) above the adopted biomass target reference point; (ii) not overfished (SB2019&gt;SB40%SB0); (iii) with fishing mortality below the adopted target fishing mortality, and (iv) not subject to overfishing (E2019&lt;E40%SB0).</w:t>
            </w:r>
            <w:r w:rsidRPr="009C3850">
              <w:rPr>
                <w:rFonts w:ascii="Times New Roman" w:hAnsi="Times New Roman" w:cs="Times New Roman"/>
                <w:b/>
                <w:color w:val="000000"/>
              </w:rPr>
              <w:t xml:space="preserve"> SG80 is met.</w:t>
            </w:r>
          </w:p>
        </w:tc>
      </w:tr>
      <w:tr w:rsidR="009A3D44" w:rsidRPr="009C3850" w14:paraId="4BB9E63F" w14:textId="77777777" w:rsidTr="009C3850">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34FB1391"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1F2A6351" w14:textId="77777777" w:rsidR="009A3D44" w:rsidRPr="009C3850" w:rsidRDefault="009A3D44">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3830D266"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1.1.2</w:t>
            </w:r>
          </w:p>
        </w:tc>
        <w:tc>
          <w:tcPr>
            <w:tcW w:w="3090" w:type="dxa"/>
            <w:shd w:val="clear" w:color="auto" w:fill="auto"/>
          </w:tcPr>
          <w:p w14:paraId="440460D5"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Stock rebuilding</w:t>
            </w:r>
          </w:p>
        </w:tc>
        <w:tc>
          <w:tcPr>
            <w:tcW w:w="1111" w:type="dxa"/>
            <w:shd w:val="clear" w:color="auto" w:fill="auto"/>
          </w:tcPr>
          <w:p w14:paraId="770393AF"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NA</w:t>
            </w:r>
          </w:p>
        </w:tc>
        <w:tc>
          <w:tcPr>
            <w:tcW w:w="1271" w:type="dxa"/>
            <w:shd w:val="clear" w:color="auto" w:fill="auto"/>
          </w:tcPr>
          <w:p w14:paraId="5F458547"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NA</w:t>
            </w:r>
          </w:p>
        </w:tc>
        <w:tc>
          <w:tcPr>
            <w:tcW w:w="5851" w:type="dxa"/>
            <w:shd w:val="clear" w:color="auto" w:fill="auto"/>
          </w:tcPr>
          <w:p w14:paraId="0916D36E"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NA</w:t>
            </w:r>
          </w:p>
        </w:tc>
      </w:tr>
      <w:tr w:rsidR="009A3D44" w:rsidRPr="009C3850" w14:paraId="25BF2576" w14:textId="77777777" w:rsidTr="009C3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35C2DD13"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val="restart"/>
            <w:shd w:val="clear" w:color="auto" w:fill="auto"/>
          </w:tcPr>
          <w:p w14:paraId="0FA7E1BF"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Management</w:t>
            </w:r>
          </w:p>
        </w:tc>
        <w:tc>
          <w:tcPr>
            <w:tcW w:w="951" w:type="dxa"/>
            <w:shd w:val="clear" w:color="auto" w:fill="auto"/>
          </w:tcPr>
          <w:p w14:paraId="368C0692"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1.2.1</w:t>
            </w:r>
          </w:p>
        </w:tc>
        <w:tc>
          <w:tcPr>
            <w:tcW w:w="3090" w:type="dxa"/>
            <w:shd w:val="clear" w:color="auto" w:fill="auto"/>
          </w:tcPr>
          <w:p w14:paraId="34E4F2FF"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Harvest Strategy</w:t>
            </w:r>
          </w:p>
        </w:tc>
        <w:tc>
          <w:tcPr>
            <w:tcW w:w="1111" w:type="dxa"/>
            <w:shd w:val="clear" w:color="auto" w:fill="auto"/>
          </w:tcPr>
          <w:p w14:paraId="4E4ADFF3" w14:textId="60B489E9" w:rsidR="009A3D44" w:rsidRPr="009C3850" w:rsidRDefault="00F539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&lt;60</w:t>
            </w:r>
          </w:p>
        </w:tc>
        <w:tc>
          <w:tcPr>
            <w:tcW w:w="1271" w:type="dxa"/>
            <w:shd w:val="clear" w:color="auto" w:fill="auto"/>
          </w:tcPr>
          <w:p w14:paraId="297E59C6"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60-79</w:t>
            </w:r>
          </w:p>
        </w:tc>
        <w:tc>
          <w:tcPr>
            <w:tcW w:w="5851" w:type="dxa"/>
            <w:shd w:val="clear" w:color="auto" w:fill="auto"/>
          </w:tcPr>
          <w:p w14:paraId="6F46DB5E" w14:textId="0B5F570F"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A harvest control rule and reference points for Indian Ocean skipjack are defined by IOTC Res. 16/02</w:t>
            </w:r>
            <w:r w:rsidR="00FA55DB">
              <w:rPr>
                <w:rFonts w:ascii="Times New Roman" w:hAnsi="Times New Roman" w:cs="Times New Roman"/>
                <w:color w:val="000000"/>
              </w:rPr>
              <w:t xml:space="preserve"> (superseded by Res. 21/03)</w:t>
            </w:r>
            <w:r w:rsidRPr="009C3850">
              <w:rPr>
                <w:rFonts w:ascii="Times New Roman" w:hAnsi="Times New Roman" w:cs="Times New Roman"/>
                <w:color w:val="000000"/>
              </w:rPr>
              <w:t xml:space="preserve">. </w:t>
            </w:r>
          </w:p>
          <w:p w14:paraId="3CE04A84" w14:textId="026A4599" w:rsidR="0062365F" w:rsidRDefault="00BE1A09" w:rsidP="006236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Total catches in </w:t>
            </w:r>
            <w:r w:rsidR="0062365F">
              <w:rPr>
                <w:rFonts w:ascii="Times New Roman" w:hAnsi="Times New Roman" w:cs="Times New Roman"/>
                <w:color w:val="000000"/>
              </w:rPr>
              <w:t>recent years have been l</w:t>
            </w:r>
            <w:r w:rsidRPr="009C3850">
              <w:rPr>
                <w:rFonts w:ascii="Times New Roman" w:hAnsi="Times New Roman" w:cs="Times New Roman"/>
                <w:color w:val="000000"/>
              </w:rPr>
              <w:t xml:space="preserve">arger than the resulting catch limit from the skipjack HCR for the period 2018-2020 (470,029 t), which raised concern as reaching the management objectives defined in Res. </w:t>
            </w:r>
            <w:r w:rsidR="00FA55DB">
              <w:rPr>
                <w:rFonts w:ascii="Times New Roman" w:hAnsi="Times New Roman" w:cs="Times New Roman"/>
                <w:color w:val="000000"/>
              </w:rPr>
              <w:t xml:space="preserve">21/03 </w:t>
            </w:r>
            <w:r w:rsidRPr="009C3850">
              <w:rPr>
                <w:rFonts w:ascii="Times New Roman" w:hAnsi="Times New Roman" w:cs="Times New Roman"/>
                <w:color w:val="000000"/>
              </w:rPr>
              <w:t xml:space="preserve">requires that the catch limits adopted by the skipjack HCR are implemented effectively. Due to its specific life history attributes, skipjack can respond quickly to ambient foraging conditions driven by ocean productivity, which seem to have been </w:t>
            </w:r>
            <w:r w:rsidR="006B50CC" w:rsidRPr="009C3850">
              <w:rPr>
                <w:rFonts w:ascii="Times New Roman" w:hAnsi="Times New Roman" w:cs="Times New Roman"/>
                <w:color w:val="000000"/>
              </w:rPr>
              <w:t>favorable</w:t>
            </w:r>
            <w:r w:rsidRPr="009C3850">
              <w:rPr>
                <w:rFonts w:ascii="Times New Roman" w:hAnsi="Times New Roman" w:cs="Times New Roman"/>
                <w:color w:val="000000"/>
              </w:rPr>
              <w:t xml:space="preserve"> in recent years. </w:t>
            </w:r>
          </w:p>
          <w:p w14:paraId="19D904CC" w14:textId="77777777" w:rsidR="0062365F" w:rsidRDefault="00BE1A09" w:rsidP="006236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Management tools in place aimed to reduce the catch or the effort on tuna species in the IOTC area (Res. 21/01, rebuilding YFT; Res. 18/08, FAD use restrictions) are not specifically aimed to SKJ and in some cases they have resulted in increases in the catch of this species. </w:t>
            </w:r>
          </w:p>
          <w:p w14:paraId="678B08FA" w14:textId="57ADEEF3" w:rsidR="0062365F" w:rsidRDefault="0062365F" w:rsidP="006236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Within the SIOTI</w:t>
            </w:r>
            <w:r w:rsidR="00861A6C">
              <w:rPr>
                <w:rFonts w:ascii="Times New Roman" w:hAnsi="Times New Roman" w:cs="Times New Roman"/>
                <w:color w:val="000000"/>
              </w:rPr>
              <w:t>,</w:t>
            </w:r>
            <w:r>
              <w:rPr>
                <w:rFonts w:ascii="Times New Roman" w:hAnsi="Times New Roman" w:cs="Times New Roman"/>
                <w:color w:val="000000"/>
              </w:rPr>
              <w:t xml:space="preserve"> a number of studies have been undertaken to assess how to better manage the stock (multispecies ca</w:t>
            </w:r>
            <w:r w:rsidR="00B27724">
              <w:rPr>
                <w:rFonts w:ascii="Times New Roman" w:hAnsi="Times New Roman" w:cs="Times New Roman"/>
                <w:color w:val="000000"/>
              </w:rPr>
              <w:t>tc</w:t>
            </w:r>
            <w:r>
              <w:rPr>
                <w:rFonts w:ascii="Times New Roman" w:hAnsi="Times New Roman" w:cs="Times New Roman"/>
                <w:color w:val="000000"/>
              </w:rPr>
              <w:t xml:space="preserve">h limits, </w:t>
            </w:r>
            <w:proofErr w:type="spellStart"/>
            <w:r>
              <w:rPr>
                <w:rFonts w:ascii="Times New Roman" w:hAnsi="Times New Roman" w:cs="Times New Roman"/>
                <w:color w:val="000000"/>
              </w:rPr>
              <w:t>etc</w:t>
            </w:r>
            <w:proofErr w:type="spellEnd"/>
            <w:r>
              <w:rPr>
                <w:rFonts w:ascii="Times New Roman" w:hAnsi="Times New Roman" w:cs="Times New Roman"/>
                <w:color w:val="000000"/>
              </w:rPr>
              <w:t xml:space="preserve">) (Merino et al., 2020; Merino et al., 2022; </w:t>
            </w:r>
            <w:r w:rsidRPr="0062365F">
              <w:rPr>
                <w:rFonts w:ascii="Times New Roman" w:hAnsi="Times New Roman" w:cs="Times New Roman"/>
                <w:color w:val="000000"/>
              </w:rPr>
              <w:t>Sauer</w:t>
            </w:r>
            <w:r>
              <w:rPr>
                <w:rFonts w:ascii="Times New Roman" w:hAnsi="Times New Roman" w:cs="Times New Roman"/>
                <w:color w:val="000000"/>
              </w:rPr>
              <w:t xml:space="preserve"> &amp; </w:t>
            </w:r>
            <w:r w:rsidRPr="0062365F">
              <w:rPr>
                <w:rFonts w:ascii="Times New Roman" w:hAnsi="Times New Roman" w:cs="Times New Roman"/>
                <w:color w:val="000000"/>
              </w:rPr>
              <w:t>Bova</w:t>
            </w:r>
            <w:r>
              <w:rPr>
                <w:rFonts w:ascii="Times New Roman" w:hAnsi="Times New Roman" w:cs="Times New Roman"/>
                <w:color w:val="000000"/>
              </w:rPr>
              <w:t xml:space="preserve"> </w:t>
            </w:r>
            <w:r w:rsidRPr="0062365F">
              <w:rPr>
                <w:rFonts w:ascii="Times New Roman" w:hAnsi="Times New Roman" w:cs="Times New Roman"/>
                <w:color w:val="000000"/>
              </w:rPr>
              <w:t>2022</w:t>
            </w:r>
            <w:r>
              <w:rPr>
                <w:rFonts w:ascii="Times New Roman" w:hAnsi="Times New Roman" w:cs="Times New Roman"/>
                <w:color w:val="000000"/>
              </w:rPr>
              <w:t>).</w:t>
            </w:r>
          </w:p>
          <w:p w14:paraId="6B4DE10A" w14:textId="24E6D8FD" w:rsidR="009A3D44" w:rsidRPr="009C3850" w:rsidRDefault="00BE1A09" w:rsidP="006236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Therefore, there are not pre-agreed tools in place</w:t>
            </w:r>
            <w:r w:rsidR="00F53916">
              <w:rPr>
                <w:rFonts w:ascii="Times New Roman" w:hAnsi="Times New Roman" w:cs="Times New Roman"/>
                <w:color w:val="000000"/>
              </w:rPr>
              <w:t xml:space="preserve"> </w:t>
            </w:r>
            <w:r w:rsidRPr="009C3850">
              <w:rPr>
                <w:rFonts w:ascii="Times New Roman" w:hAnsi="Times New Roman" w:cs="Times New Roman"/>
                <w:color w:val="000000"/>
              </w:rPr>
              <w:t>aimed to reduce the catch of SKJ when it surpass</w:t>
            </w:r>
            <w:r w:rsidR="00861A6C">
              <w:rPr>
                <w:rFonts w:ascii="Times New Roman" w:hAnsi="Times New Roman" w:cs="Times New Roman"/>
                <w:color w:val="000000"/>
              </w:rPr>
              <w:t>es</w:t>
            </w:r>
            <w:r w:rsidRPr="009C3850">
              <w:rPr>
                <w:rFonts w:ascii="Times New Roman" w:hAnsi="Times New Roman" w:cs="Times New Roman"/>
                <w:color w:val="000000"/>
              </w:rPr>
              <w:t xml:space="preserve"> the level set by the HCR and it cannot </w:t>
            </w:r>
            <w:r w:rsidR="006B50CC">
              <w:rPr>
                <w:rFonts w:ascii="Times New Roman" w:hAnsi="Times New Roman" w:cs="Times New Roman"/>
                <w:color w:val="000000"/>
              </w:rPr>
              <w:t xml:space="preserve">be </w:t>
            </w:r>
            <w:r w:rsidRPr="009C3850">
              <w:rPr>
                <w:rFonts w:ascii="Times New Roman" w:hAnsi="Times New Roman" w:cs="Times New Roman"/>
                <w:color w:val="000000"/>
              </w:rPr>
              <w:t>considered that the harvest strategy is</w:t>
            </w:r>
            <w:r w:rsidR="00F53916">
              <w:rPr>
                <w:rFonts w:ascii="Times New Roman" w:hAnsi="Times New Roman" w:cs="Times New Roman"/>
                <w:color w:val="000000"/>
              </w:rPr>
              <w:t xml:space="preserve"> </w:t>
            </w:r>
            <w:r w:rsidRPr="009C3850">
              <w:rPr>
                <w:rFonts w:ascii="Times New Roman" w:hAnsi="Times New Roman" w:cs="Times New Roman"/>
                <w:color w:val="000000"/>
              </w:rPr>
              <w:t xml:space="preserve">responsive to the state of the stock </w:t>
            </w:r>
            <w:r w:rsidR="0062365F">
              <w:rPr>
                <w:rFonts w:ascii="Times New Roman" w:hAnsi="Times New Roman" w:cs="Times New Roman"/>
                <w:color w:val="000000"/>
              </w:rPr>
              <w:t>(</w:t>
            </w:r>
            <w:r w:rsidRPr="009C3850">
              <w:rPr>
                <w:rFonts w:ascii="Times New Roman" w:hAnsi="Times New Roman" w:cs="Times New Roman"/>
                <w:color w:val="000000"/>
              </w:rPr>
              <w:t>1.2.1a</w:t>
            </w:r>
            <w:r w:rsidR="0062365F">
              <w:rPr>
                <w:rFonts w:ascii="Times New Roman" w:hAnsi="Times New Roman" w:cs="Times New Roman"/>
                <w:color w:val="000000"/>
              </w:rPr>
              <w:t>).</w:t>
            </w:r>
            <w:r w:rsidRPr="009C3850">
              <w:rPr>
                <w:rFonts w:ascii="Times New Roman" w:hAnsi="Times New Roman" w:cs="Times New Roman"/>
                <w:color w:val="000000"/>
              </w:rPr>
              <w:t xml:space="preserve"> It is also unclear if the harvest strategy is achieving its objectives (1.2.2b). </w:t>
            </w:r>
            <w:r w:rsidRPr="009C3850">
              <w:rPr>
                <w:rFonts w:ascii="Times New Roman" w:hAnsi="Times New Roman" w:cs="Times New Roman"/>
                <w:b/>
                <w:color w:val="000000"/>
              </w:rPr>
              <w:t>SG80 is not met.</w:t>
            </w:r>
            <w:r w:rsidR="003A0BDC">
              <w:t xml:space="preserve"> </w:t>
            </w:r>
            <w:r w:rsidR="003A0BDC" w:rsidRPr="003A0BDC">
              <w:rPr>
                <w:rFonts w:ascii="Times New Roman" w:hAnsi="Times New Roman" w:cs="Times New Roman"/>
                <w:bCs/>
                <w:color w:val="000000"/>
              </w:rPr>
              <w:t>Harmonized with the Echebastar, CFTO and ANABAC assessments.</w:t>
            </w:r>
          </w:p>
        </w:tc>
      </w:tr>
      <w:tr w:rsidR="009A3D44" w:rsidRPr="009C3850" w14:paraId="5529B32B" w14:textId="77777777" w:rsidTr="009C3850">
        <w:trPr>
          <w:trHeight w:val="243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310CD7D7"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54C120E1" w14:textId="77777777" w:rsidR="009A3D44" w:rsidRPr="009C3850" w:rsidRDefault="009A3D44">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10174669"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1.2.2</w:t>
            </w:r>
          </w:p>
        </w:tc>
        <w:tc>
          <w:tcPr>
            <w:tcW w:w="3090" w:type="dxa"/>
            <w:shd w:val="clear" w:color="auto" w:fill="auto"/>
          </w:tcPr>
          <w:p w14:paraId="67F4E87C"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Harvest control rules and tools</w:t>
            </w:r>
          </w:p>
        </w:tc>
        <w:tc>
          <w:tcPr>
            <w:tcW w:w="1111" w:type="dxa"/>
            <w:shd w:val="clear" w:color="auto" w:fill="auto"/>
          </w:tcPr>
          <w:p w14:paraId="3987BBAF" w14:textId="40491D59" w:rsidR="009A3D44" w:rsidRPr="009C3850" w:rsidRDefault="00F5391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&lt;60</w:t>
            </w:r>
          </w:p>
        </w:tc>
        <w:tc>
          <w:tcPr>
            <w:tcW w:w="1271" w:type="dxa"/>
            <w:shd w:val="clear" w:color="auto" w:fill="auto"/>
          </w:tcPr>
          <w:p w14:paraId="2737EBDD" w14:textId="2E5569F6" w:rsidR="009A3D44" w:rsidRPr="009C3850" w:rsidRDefault="003A0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60-79</w:t>
            </w:r>
          </w:p>
        </w:tc>
        <w:tc>
          <w:tcPr>
            <w:tcW w:w="5851" w:type="dxa"/>
            <w:shd w:val="clear" w:color="auto" w:fill="auto"/>
          </w:tcPr>
          <w:p w14:paraId="2760351C"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MSC Fisheries Standard v2.01 stipulates two conditions for acceptance of HCR being ‘available’ instead of being in place to justify scoring at the SG60 level. The first is through SA2.5.2a where the guidance indicates that teams shall accept ‘available’ HCRs in cases where, “…</w:t>
            </w:r>
            <w:r w:rsidRPr="009C3850">
              <w:rPr>
                <w:rFonts w:ascii="Times New Roman" w:hAnsi="Times New Roman" w:cs="Times New Roman"/>
                <w:i/>
                <w:color w:val="000000"/>
              </w:rPr>
              <w:t>Stock biomass has not previously been reduced below the MSY level or has been maintained at that level for a recent period of time that is at least longer than 2 generation times of the species and is not predicted to be reduced below BMSY within the next 5 years</w:t>
            </w:r>
            <w:r w:rsidRPr="009C3850">
              <w:rPr>
                <w:rFonts w:ascii="Times New Roman" w:hAnsi="Times New Roman" w:cs="Times New Roman"/>
                <w:color w:val="000000"/>
              </w:rPr>
              <w:t>”</w:t>
            </w:r>
          </w:p>
          <w:p w14:paraId="30E23303"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The second condition is through SA2.5.3b where the guidance indicates that teams shall recognize HCRs as being available if “</w:t>
            </w:r>
            <w:r w:rsidRPr="009C3850">
              <w:rPr>
                <w:rFonts w:ascii="Times New Roman" w:hAnsi="Times New Roman" w:cs="Times New Roman"/>
                <w:i/>
                <w:color w:val="000000"/>
              </w:rPr>
              <w:t>an agreement or framework is in place that requires the management body to adopt HCRs before the stock declines below BMSY</w:t>
            </w:r>
            <w:r w:rsidRPr="009C3850">
              <w:rPr>
                <w:rFonts w:ascii="Times New Roman" w:hAnsi="Times New Roman" w:cs="Times New Roman"/>
                <w:color w:val="000000"/>
              </w:rPr>
              <w:t xml:space="preserve">”. </w:t>
            </w:r>
          </w:p>
          <w:p w14:paraId="70CBCAA3" w14:textId="6D83EB36"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 Resolution 21-03</w:t>
            </w:r>
            <w:r w:rsidR="00B27724">
              <w:rPr>
                <w:rFonts w:ascii="Times New Roman" w:hAnsi="Times New Roman" w:cs="Times New Roman"/>
                <w:color w:val="000000"/>
              </w:rPr>
              <w:t>, which superseded 16/02</w:t>
            </w:r>
            <w:r w:rsidRPr="009C3850">
              <w:rPr>
                <w:rFonts w:ascii="Times New Roman" w:hAnsi="Times New Roman" w:cs="Times New Roman"/>
                <w:color w:val="000000"/>
              </w:rPr>
              <w:t xml:space="preserve"> established a biomass limit reference point of 20% of unfished spawning biomass, a biomass target reference point of 40% of unfished spawning biomass (MSY proxy), and a harvest control rule whereby the exploitation rate is proportionally reduced as biomass declines from 0.4B0 to 0.1B0. The HCR is now well defined and is clearly intended to maintain the stock at target levels. The annual catch limit was set </w:t>
            </w:r>
            <w:r w:rsidR="003376B3">
              <w:rPr>
                <w:rFonts w:ascii="Times New Roman" w:hAnsi="Times New Roman" w:cs="Times New Roman"/>
                <w:color w:val="000000"/>
              </w:rPr>
              <w:t>at</w:t>
            </w:r>
            <w:r w:rsidRPr="009C3850">
              <w:rPr>
                <w:rFonts w:ascii="Times New Roman" w:hAnsi="Times New Roman" w:cs="Times New Roman"/>
                <w:color w:val="000000"/>
              </w:rPr>
              <w:t xml:space="preserve"> 513</w:t>
            </w:r>
            <w:r w:rsidR="00B27724">
              <w:rPr>
                <w:rFonts w:ascii="Times New Roman" w:hAnsi="Times New Roman" w:cs="Times New Roman"/>
                <w:color w:val="000000"/>
              </w:rPr>
              <w:t>,</w:t>
            </w:r>
            <w:r w:rsidRPr="009C3850">
              <w:rPr>
                <w:rFonts w:ascii="Times New Roman" w:hAnsi="Times New Roman" w:cs="Times New Roman"/>
                <w:color w:val="000000"/>
              </w:rPr>
              <w:t>572t for the period 2021-202</w:t>
            </w:r>
            <w:r w:rsidR="00B27724">
              <w:rPr>
                <w:rFonts w:ascii="Times New Roman" w:hAnsi="Times New Roman" w:cs="Times New Roman"/>
                <w:color w:val="000000"/>
              </w:rPr>
              <w:t>3</w:t>
            </w:r>
            <w:r w:rsidR="003A0BDC">
              <w:rPr>
                <w:rFonts w:ascii="Times New Roman" w:hAnsi="Times New Roman" w:cs="Times New Roman"/>
                <w:color w:val="000000"/>
              </w:rPr>
              <w:t xml:space="preserve">. However, the </w:t>
            </w:r>
            <w:r w:rsidR="003A0BDC" w:rsidRPr="003A0BDC">
              <w:rPr>
                <w:rFonts w:ascii="Times New Roman" w:hAnsi="Times New Roman" w:cs="Times New Roman"/>
                <w:color w:val="000000"/>
              </w:rPr>
              <w:t xml:space="preserve">tools in use are </w:t>
            </w:r>
            <w:r w:rsidR="003A0BDC">
              <w:rPr>
                <w:rFonts w:ascii="Times New Roman" w:hAnsi="Times New Roman" w:cs="Times New Roman"/>
                <w:color w:val="000000"/>
              </w:rPr>
              <w:t xml:space="preserve">not </w:t>
            </w:r>
            <w:r w:rsidR="003A0BDC" w:rsidRPr="003A0BDC">
              <w:rPr>
                <w:rFonts w:ascii="Times New Roman" w:hAnsi="Times New Roman" w:cs="Times New Roman"/>
                <w:color w:val="000000"/>
              </w:rPr>
              <w:t>effective in achieving the exploitation levels required under the HCRs</w:t>
            </w:r>
            <w:r w:rsidR="00DD3118">
              <w:rPr>
                <w:rFonts w:ascii="Times New Roman" w:hAnsi="Times New Roman" w:cs="Times New Roman"/>
                <w:color w:val="000000"/>
              </w:rPr>
              <w:t xml:space="preserve"> (</w:t>
            </w:r>
            <w:r w:rsidR="00DD3118" w:rsidRPr="00DD3118">
              <w:rPr>
                <w:rFonts w:ascii="Times New Roman" w:hAnsi="Times New Roman" w:cs="Times New Roman"/>
                <w:color w:val="000000"/>
              </w:rPr>
              <w:t>In the first 4 years of applying the skipjack catch limit (2018-2021), skipjack catch overshot the limit in the range 116-130%</w:t>
            </w:r>
            <w:r w:rsidR="00DD3118">
              <w:rPr>
                <w:rFonts w:ascii="Times New Roman" w:hAnsi="Times New Roman" w:cs="Times New Roman"/>
                <w:color w:val="000000"/>
              </w:rPr>
              <w:t>)</w:t>
            </w:r>
            <w:r w:rsidR="003A0BDC">
              <w:rPr>
                <w:rFonts w:ascii="Times New Roman" w:hAnsi="Times New Roman" w:cs="Times New Roman"/>
                <w:color w:val="000000"/>
              </w:rPr>
              <w:t xml:space="preserve">, </w:t>
            </w:r>
            <w:r w:rsidRPr="009C3850">
              <w:rPr>
                <w:rFonts w:ascii="Times New Roman" w:hAnsi="Times New Roman" w:cs="Times New Roman"/>
                <w:b/>
                <w:color w:val="000000"/>
              </w:rPr>
              <w:t xml:space="preserve">SG80 is </w:t>
            </w:r>
            <w:r w:rsidR="003A0BDC">
              <w:rPr>
                <w:rFonts w:ascii="Times New Roman" w:hAnsi="Times New Roman" w:cs="Times New Roman"/>
                <w:b/>
                <w:color w:val="000000"/>
              </w:rPr>
              <w:t xml:space="preserve">not </w:t>
            </w:r>
            <w:r w:rsidRPr="009C3850">
              <w:rPr>
                <w:rFonts w:ascii="Times New Roman" w:hAnsi="Times New Roman" w:cs="Times New Roman"/>
                <w:b/>
                <w:color w:val="000000"/>
              </w:rPr>
              <w:t>met.</w:t>
            </w:r>
            <w:r w:rsidR="003A0BDC">
              <w:rPr>
                <w:rFonts w:ascii="Times New Roman" w:hAnsi="Times New Roman" w:cs="Times New Roman"/>
                <w:b/>
                <w:color w:val="000000"/>
              </w:rPr>
              <w:t xml:space="preserve"> </w:t>
            </w:r>
            <w:r w:rsidR="003A0BDC" w:rsidRPr="003A0BDC">
              <w:rPr>
                <w:rFonts w:ascii="Times New Roman" w:hAnsi="Times New Roman" w:cs="Times New Roman"/>
                <w:bCs/>
                <w:color w:val="000000"/>
              </w:rPr>
              <w:t>Harmonized with the Echebastar, CFTO and ANABAC assessments.</w:t>
            </w:r>
          </w:p>
        </w:tc>
      </w:tr>
      <w:tr w:rsidR="009A3D44" w:rsidRPr="009C3850" w14:paraId="0AE22E87" w14:textId="77777777" w:rsidTr="009C3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3BCB5E73"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03F335DA" w14:textId="77777777" w:rsidR="009A3D44" w:rsidRPr="009C3850" w:rsidRDefault="009A3D44">
            <w:pPr>
              <w:widowControl w:val="0"/>
              <w:pBdr>
                <w:top w:val="nil"/>
                <w:left w:val="nil"/>
                <w:bottom w:val="nil"/>
                <w:right w:val="nil"/>
                <w:between w:val="nil"/>
              </w:pBdr>
              <w:spacing w:before="0"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24659808"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1.2.3</w:t>
            </w:r>
          </w:p>
        </w:tc>
        <w:tc>
          <w:tcPr>
            <w:tcW w:w="3090" w:type="dxa"/>
            <w:shd w:val="clear" w:color="auto" w:fill="auto"/>
          </w:tcPr>
          <w:p w14:paraId="68862858"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Information and monitoring</w:t>
            </w:r>
          </w:p>
        </w:tc>
        <w:tc>
          <w:tcPr>
            <w:tcW w:w="1111" w:type="dxa"/>
            <w:shd w:val="clear" w:color="auto" w:fill="auto"/>
          </w:tcPr>
          <w:p w14:paraId="7DC6B612"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1271" w:type="dxa"/>
            <w:shd w:val="clear" w:color="auto" w:fill="auto"/>
          </w:tcPr>
          <w:p w14:paraId="4B43C547"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5851" w:type="dxa"/>
            <w:shd w:val="clear" w:color="auto" w:fill="auto"/>
          </w:tcPr>
          <w:p w14:paraId="01F40EA3" w14:textId="7154FD7A"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IOTC-2023-WPTT25(DP)-07.2_Rev2 summarizes the standing of a range of data and statistics received by the IOTC Secretariat for skipjack. Although a number of issues on catch reporting from different coastal countries and gears are highlighted in the report (inadequate information on discards, uncertainties in catch and effort data for some countries (Indonesia, Iran, Sri Lanka</w:t>
            </w:r>
            <w:r w:rsidR="008B23A2">
              <w:rPr>
                <w:rFonts w:ascii="Times New Roman" w:hAnsi="Times New Roman" w:cs="Times New Roman"/>
                <w:color w:val="000000"/>
              </w:rPr>
              <w:t>)</w:t>
            </w:r>
            <w:r w:rsidRPr="009C3850">
              <w:rPr>
                <w:rFonts w:ascii="Times New Roman" w:hAnsi="Times New Roman" w:cs="Times New Roman"/>
                <w:color w:val="000000"/>
              </w:rPr>
              <w:t xml:space="preserve">), the main issue identified for the purse seine fishery covered by this FIP (discrepancies in the reported catch data for 2018) has been </w:t>
            </w:r>
            <w:r w:rsidR="00DA2378">
              <w:rPr>
                <w:rFonts w:ascii="Times New Roman" w:hAnsi="Times New Roman" w:cs="Times New Roman"/>
                <w:color w:val="000000"/>
              </w:rPr>
              <w:t>re</w:t>
            </w:r>
            <w:r w:rsidRPr="009C3850">
              <w:rPr>
                <w:rFonts w:ascii="Times New Roman" w:hAnsi="Times New Roman" w:cs="Times New Roman"/>
                <w:color w:val="000000"/>
              </w:rPr>
              <w:t xml:space="preserve">solved, resulting in a </w:t>
            </w:r>
            <w:r w:rsidRPr="009C3850">
              <w:rPr>
                <w:rFonts w:ascii="Times New Roman" w:hAnsi="Times New Roman" w:cs="Times New Roman"/>
                <w:color w:val="000000"/>
              </w:rPr>
              <w:lastRenderedPageBreak/>
              <w:t xml:space="preserve">decrease of almost 2,400 t in catches of skipjack tuna recorded for that year. Data on CPUE, fish size, age trends, etc. seem to be adequately covered for the industrial fleets. </w:t>
            </w:r>
            <w:r w:rsidRPr="009C3850">
              <w:rPr>
                <w:rFonts w:ascii="Times New Roman" w:hAnsi="Times New Roman" w:cs="Times New Roman"/>
                <w:b/>
                <w:color w:val="000000"/>
              </w:rPr>
              <w:t>SG80 is met.</w:t>
            </w:r>
          </w:p>
        </w:tc>
      </w:tr>
      <w:tr w:rsidR="009A3D44" w:rsidRPr="009C3850" w14:paraId="69562196" w14:textId="77777777" w:rsidTr="009C3850">
        <w:trPr>
          <w:trHeight w:val="274"/>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221FA413"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32E62BC2" w14:textId="77777777" w:rsidR="009A3D44" w:rsidRPr="009C3850" w:rsidRDefault="009A3D44">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43298B47"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1.2.4</w:t>
            </w:r>
          </w:p>
        </w:tc>
        <w:tc>
          <w:tcPr>
            <w:tcW w:w="3090" w:type="dxa"/>
            <w:shd w:val="clear" w:color="auto" w:fill="auto"/>
          </w:tcPr>
          <w:p w14:paraId="2BD1042A"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Assessment of stock status</w:t>
            </w:r>
          </w:p>
        </w:tc>
        <w:tc>
          <w:tcPr>
            <w:tcW w:w="1111" w:type="dxa"/>
            <w:shd w:val="clear" w:color="auto" w:fill="auto"/>
          </w:tcPr>
          <w:p w14:paraId="0C99877E"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1271" w:type="dxa"/>
            <w:shd w:val="clear" w:color="auto" w:fill="auto"/>
          </w:tcPr>
          <w:p w14:paraId="78EFA424"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5851" w:type="dxa"/>
            <w:shd w:val="clear" w:color="auto" w:fill="auto"/>
          </w:tcPr>
          <w:p w14:paraId="1C790233"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As indicated above, the most recent stock assessment for skipjack was conducted in 2022 using Stock Synthesis v3 with data up to 2019. It incorporates multiple fisheries, gears, selectivity models and spatial variability. </w:t>
            </w:r>
            <w:r w:rsidRPr="009C3850">
              <w:rPr>
                <w:rFonts w:ascii="Times New Roman" w:hAnsi="Times New Roman" w:cs="Times New Roman"/>
                <w:b/>
                <w:color w:val="000000"/>
              </w:rPr>
              <w:t>SG80 is met.</w:t>
            </w:r>
          </w:p>
        </w:tc>
      </w:tr>
      <w:tr w:rsidR="009A3D44" w:rsidRPr="009C3850" w14:paraId="55BD78C8" w14:textId="77777777" w:rsidTr="009C385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34" w:type="dxa"/>
            <w:vMerge w:val="restart"/>
            <w:shd w:val="clear" w:color="auto" w:fill="auto"/>
          </w:tcPr>
          <w:p w14:paraId="28536723" w14:textId="77777777" w:rsidR="009A3D44" w:rsidRPr="009C3850" w:rsidRDefault="00BE1A09">
            <w:pPr>
              <w:jc w:val="center"/>
              <w:rPr>
                <w:rFonts w:ascii="Times New Roman" w:hAnsi="Times New Roman" w:cs="Times New Roman"/>
              </w:rPr>
            </w:pPr>
            <w:r w:rsidRPr="009C3850">
              <w:rPr>
                <w:rFonts w:ascii="Times New Roman" w:hAnsi="Times New Roman" w:cs="Times New Roman"/>
              </w:rPr>
              <w:t>1 (UoA2: YFT)</w:t>
            </w:r>
          </w:p>
        </w:tc>
        <w:tc>
          <w:tcPr>
            <w:tcW w:w="1880" w:type="dxa"/>
            <w:vMerge w:val="restart"/>
            <w:shd w:val="clear" w:color="auto" w:fill="auto"/>
          </w:tcPr>
          <w:p w14:paraId="22A875EB"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Outcome</w:t>
            </w:r>
          </w:p>
        </w:tc>
        <w:tc>
          <w:tcPr>
            <w:tcW w:w="951" w:type="dxa"/>
            <w:shd w:val="clear" w:color="auto" w:fill="auto"/>
          </w:tcPr>
          <w:p w14:paraId="33C087CC"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1.1.1</w:t>
            </w:r>
          </w:p>
        </w:tc>
        <w:tc>
          <w:tcPr>
            <w:tcW w:w="3090" w:type="dxa"/>
            <w:shd w:val="clear" w:color="auto" w:fill="auto"/>
          </w:tcPr>
          <w:p w14:paraId="7C266543"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Stock status</w:t>
            </w:r>
          </w:p>
        </w:tc>
        <w:tc>
          <w:tcPr>
            <w:tcW w:w="1111" w:type="dxa"/>
            <w:shd w:val="clear" w:color="auto" w:fill="auto"/>
          </w:tcPr>
          <w:p w14:paraId="6807B878"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60-79</w:t>
            </w:r>
          </w:p>
        </w:tc>
        <w:tc>
          <w:tcPr>
            <w:tcW w:w="1271" w:type="dxa"/>
            <w:shd w:val="clear" w:color="auto" w:fill="auto"/>
          </w:tcPr>
          <w:p w14:paraId="0B3CBAA0" w14:textId="03E79691" w:rsidR="009A3D44" w:rsidRPr="009C3850" w:rsidRDefault="006D0D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D0DC3">
              <w:rPr>
                <w:rFonts w:ascii="Times New Roman" w:hAnsi="Times New Roman" w:cs="Times New Roman"/>
                <w:color w:val="000000"/>
              </w:rPr>
              <w:t>60-79</w:t>
            </w:r>
          </w:p>
        </w:tc>
        <w:tc>
          <w:tcPr>
            <w:tcW w:w="5851" w:type="dxa"/>
            <w:shd w:val="clear" w:color="auto" w:fill="auto"/>
          </w:tcPr>
          <w:p w14:paraId="33D0363C"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A new stock assessment was carried out for yellowfin tuna in 2021 using Stock Synthesis III (SS3), a fully integrated model that is currently used to provide scientific advice for the three tropical tunas stocks in the Indian Ocean. Overall stock status estimates do not differ substantially from the previous assessment. Spawning biomass in 2020 was estimated to be 31% on average of the unfished (1950) levels. Biomass estimates have been generally declining over time and particularly since 2011. Spawning biomass in 2020 was estimated to be 87% of the level that supports the maximum sustainable yield (SB</w:t>
            </w:r>
            <w:r w:rsidRPr="006D0DC3">
              <w:rPr>
                <w:rFonts w:ascii="Times New Roman" w:hAnsi="Times New Roman" w:cs="Times New Roman"/>
                <w:color w:val="000000"/>
                <w:vertAlign w:val="subscript"/>
              </w:rPr>
              <w:t>2020</w:t>
            </w:r>
            <w:r w:rsidRPr="009C3850">
              <w:rPr>
                <w:rFonts w:ascii="Times New Roman" w:hAnsi="Times New Roman" w:cs="Times New Roman"/>
                <w:color w:val="000000"/>
              </w:rPr>
              <w:t>/ SB</w:t>
            </w:r>
            <w:r w:rsidRPr="006D0DC3">
              <w:rPr>
                <w:rFonts w:ascii="Times New Roman" w:hAnsi="Times New Roman" w:cs="Times New Roman"/>
                <w:color w:val="000000"/>
                <w:vertAlign w:val="subscript"/>
              </w:rPr>
              <w:t>MSY</w:t>
            </w:r>
            <w:r w:rsidRPr="009C3850">
              <w:rPr>
                <w:rFonts w:ascii="Times New Roman" w:hAnsi="Times New Roman" w:cs="Times New Roman"/>
                <w:color w:val="000000"/>
              </w:rPr>
              <w:t xml:space="preserve"> = 0.87). Current fishing mortality is estimated to be 32% higher than F</w:t>
            </w:r>
            <w:r w:rsidRPr="006D0DC3">
              <w:rPr>
                <w:rFonts w:ascii="Times New Roman" w:hAnsi="Times New Roman" w:cs="Times New Roman"/>
                <w:color w:val="000000"/>
                <w:vertAlign w:val="subscript"/>
              </w:rPr>
              <w:t>MSY</w:t>
            </w:r>
            <w:r w:rsidRPr="009C3850">
              <w:rPr>
                <w:rFonts w:ascii="Times New Roman" w:hAnsi="Times New Roman" w:cs="Times New Roman"/>
                <w:color w:val="000000"/>
              </w:rPr>
              <w:t xml:space="preserve"> (F</w:t>
            </w:r>
            <w:r w:rsidRPr="006D0DC3">
              <w:rPr>
                <w:rFonts w:ascii="Times New Roman" w:hAnsi="Times New Roman" w:cs="Times New Roman"/>
                <w:color w:val="000000"/>
                <w:vertAlign w:val="subscript"/>
              </w:rPr>
              <w:t>2020</w:t>
            </w:r>
            <w:r w:rsidRPr="009C3850">
              <w:rPr>
                <w:rFonts w:ascii="Times New Roman" w:hAnsi="Times New Roman" w:cs="Times New Roman"/>
                <w:color w:val="000000"/>
              </w:rPr>
              <w:t>/ F</w:t>
            </w:r>
            <w:r w:rsidRPr="006D0DC3">
              <w:rPr>
                <w:rFonts w:ascii="Times New Roman" w:hAnsi="Times New Roman" w:cs="Times New Roman"/>
                <w:color w:val="000000"/>
                <w:vertAlign w:val="subscript"/>
              </w:rPr>
              <w:t>MSY</w:t>
            </w:r>
            <w:r w:rsidRPr="009C3850">
              <w:rPr>
                <w:rFonts w:ascii="Times New Roman" w:hAnsi="Times New Roman" w:cs="Times New Roman"/>
                <w:color w:val="000000"/>
              </w:rPr>
              <w:t xml:space="preserve"> = 1.32). The probability of the stock being in the red Kobe quadrant in 2020 is estimated to be 68%. The WPTT (IOTC-2021-WPTT23-R) and Scientific Committee noted that many of the issues undermining the previous assessment in 2018 had been resolved and improved levels of certainty in the results, including the projections of status in relation to future catch levels. On the weight-of-evidence available since 2018, the yellowfin tuna stock is determined to remain overfished and subject to overfishing. Based on this information, the stock of YFT is not above the MSY level. </w:t>
            </w:r>
            <w:r w:rsidRPr="009C3850">
              <w:rPr>
                <w:rFonts w:ascii="Times New Roman" w:hAnsi="Times New Roman" w:cs="Times New Roman"/>
                <w:b/>
                <w:color w:val="000000"/>
              </w:rPr>
              <w:t>SG80 is not met.</w:t>
            </w:r>
          </w:p>
        </w:tc>
      </w:tr>
      <w:tr w:rsidR="009A3D44" w:rsidRPr="009C3850" w14:paraId="7ECA193B" w14:textId="77777777" w:rsidTr="009C3850">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60CF7A74"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1299A044" w14:textId="77777777" w:rsidR="009A3D44" w:rsidRPr="009C3850" w:rsidRDefault="009A3D44">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2AA6084D"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1.1.2</w:t>
            </w:r>
          </w:p>
        </w:tc>
        <w:tc>
          <w:tcPr>
            <w:tcW w:w="3090" w:type="dxa"/>
            <w:shd w:val="clear" w:color="auto" w:fill="auto"/>
          </w:tcPr>
          <w:p w14:paraId="3E994345"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Stock rebuilding</w:t>
            </w:r>
          </w:p>
        </w:tc>
        <w:tc>
          <w:tcPr>
            <w:tcW w:w="1111" w:type="dxa"/>
            <w:shd w:val="clear" w:color="auto" w:fill="auto"/>
          </w:tcPr>
          <w:p w14:paraId="18B68AFB"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60-79</w:t>
            </w:r>
          </w:p>
        </w:tc>
        <w:tc>
          <w:tcPr>
            <w:tcW w:w="1271" w:type="dxa"/>
            <w:shd w:val="clear" w:color="auto" w:fill="auto"/>
          </w:tcPr>
          <w:p w14:paraId="2DFE7BA7"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&lt;60</w:t>
            </w:r>
          </w:p>
        </w:tc>
        <w:tc>
          <w:tcPr>
            <w:tcW w:w="5851" w:type="dxa"/>
            <w:shd w:val="clear" w:color="auto" w:fill="auto"/>
          </w:tcPr>
          <w:p w14:paraId="16DA7F8D" w14:textId="648D283B"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Assuming a natural mortality of 0.35 - 0.8 yr-1, the yellowfin generation time should be around 3.75 – 5.9 years, and 2 generation times 8-12 years (GSA2.2.4: Goodyear 1995). Catches of the stock have decreased in the most recent years, from 442,205 t and 450,788 t caught in 2018 and 2019 respectively to 427,156 t and 416,614 t in 2020 and 2021 respectively but they are not yet enough to rebuild the stock (Resolution 21/01 requires reductions in 2022 catches based on </w:t>
            </w:r>
            <w:r w:rsidRPr="009C3850">
              <w:rPr>
                <w:rFonts w:ascii="Times New Roman" w:hAnsi="Times New Roman" w:cs="Times New Roman"/>
                <w:color w:val="000000"/>
              </w:rPr>
              <w:lastRenderedPageBreak/>
              <w:t xml:space="preserve">2014 catch levels, which, if fully implemented, will achieve a reduction to around 400,000). Reductions need to be achieved by CPCs and vary by fleet from 0% to 21%. Bearing in mind at least a two-year delay before reductions </w:t>
            </w:r>
            <w:r w:rsidR="0017128D" w:rsidRPr="009C3850">
              <w:rPr>
                <w:rFonts w:ascii="Times New Roman" w:hAnsi="Times New Roman" w:cs="Times New Roman"/>
                <w:color w:val="000000"/>
              </w:rPr>
              <w:t>occurs</w:t>
            </w:r>
            <w:r w:rsidRPr="009C3850">
              <w:rPr>
                <w:rFonts w:ascii="Times New Roman" w:hAnsi="Times New Roman" w:cs="Times New Roman"/>
                <w:color w:val="000000"/>
              </w:rPr>
              <w:t xml:space="preserve"> and probably, based on the resolutions, a 10% reduction in practice will be achieved (i.e., 80% projected catches compared to current levels), there would be approximately &gt;70% probability B2023&lt;BMSY after 3 years and &gt;50% probability B2030&lt;BMSY after 10 years (</w:t>
            </w:r>
            <w:proofErr w:type="spellStart"/>
            <w:r w:rsidRPr="009C3850">
              <w:rPr>
                <w:rFonts w:ascii="Times New Roman" w:hAnsi="Times New Roman" w:cs="Times New Roman"/>
                <w:color w:val="000000"/>
              </w:rPr>
              <w:t>Urtizberea</w:t>
            </w:r>
            <w:proofErr w:type="spellEnd"/>
            <w:r w:rsidRPr="009C3850">
              <w:rPr>
                <w:rFonts w:ascii="Times New Roman" w:hAnsi="Times New Roman" w:cs="Times New Roman"/>
                <w:color w:val="000000"/>
              </w:rPr>
              <w:t xml:space="preserve"> et al. 2021, see figure 3 in Annex 1). </w:t>
            </w:r>
          </w:p>
          <w:p w14:paraId="575BFB72" w14:textId="51132FA2" w:rsidR="009A3D44" w:rsidRPr="009C3850" w:rsidRDefault="00183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77D3C">
              <w:rPr>
                <w:rFonts w:ascii="Times New Roman" w:hAnsi="Times New Roman" w:cs="Times New Roman"/>
                <w:color w:val="auto"/>
              </w:rPr>
              <w:t xml:space="preserve">Catch reported for 2021 remained above the catch limitation specified in the rebuilding plan and requiring substantial reduction to give more confidence that the stock can be rebuilt. The Working Party on Tropical Tunas continued to express concern that increases in catches by some CPCs and objections by other CPCs are offsetting the reductions achieved by compliant CPCs (IOTC-2022-WPTT24R). SIOTI flag states continue to comply with the catch limit allocations. </w:t>
            </w:r>
            <w:r w:rsidRPr="009C3850">
              <w:rPr>
                <w:rFonts w:ascii="Times New Roman" w:hAnsi="Times New Roman" w:cs="Times New Roman"/>
                <w:color w:val="000000"/>
              </w:rPr>
              <w:t xml:space="preserve">Based on the implementation of Resolution 2021/01, the score for this P.I. was increased from &lt;60 to 60-79 but it is important to note that some countries with significant yellowfin catches are not bound to this latest resolution and catches have not been decreased enough yet. Therefore, the auditor considers that </w:t>
            </w:r>
            <w:r w:rsidRPr="009C3850">
              <w:rPr>
                <w:rFonts w:ascii="Times New Roman" w:hAnsi="Times New Roman" w:cs="Times New Roman"/>
                <w:b/>
                <w:color w:val="000000"/>
              </w:rPr>
              <w:t>SG60 is not met.</w:t>
            </w:r>
          </w:p>
        </w:tc>
      </w:tr>
      <w:tr w:rsidR="009A3D44" w:rsidRPr="009C3850" w14:paraId="330C3F01" w14:textId="77777777" w:rsidTr="009C3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2A36DDF4"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val="restart"/>
            <w:shd w:val="clear" w:color="auto" w:fill="auto"/>
          </w:tcPr>
          <w:p w14:paraId="15ED9450"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Management</w:t>
            </w:r>
          </w:p>
        </w:tc>
        <w:tc>
          <w:tcPr>
            <w:tcW w:w="951" w:type="dxa"/>
            <w:shd w:val="clear" w:color="auto" w:fill="auto"/>
          </w:tcPr>
          <w:p w14:paraId="565F7D27"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1.2.1</w:t>
            </w:r>
          </w:p>
        </w:tc>
        <w:tc>
          <w:tcPr>
            <w:tcW w:w="3090" w:type="dxa"/>
            <w:shd w:val="clear" w:color="auto" w:fill="auto"/>
          </w:tcPr>
          <w:p w14:paraId="285134EF"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Harvest Strategy</w:t>
            </w:r>
          </w:p>
        </w:tc>
        <w:tc>
          <w:tcPr>
            <w:tcW w:w="1111" w:type="dxa"/>
            <w:shd w:val="clear" w:color="auto" w:fill="auto"/>
          </w:tcPr>
          <w:p w14:paraId="4E6880A7"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&lt;60</w:t>
            </w:r>
          </w:p>
        </w:tc>
        <w:tc>
          <w:tcPr>
            <w:tcW w:w="1271" w:type="dxa"/>
            <w:shd w:val="clear" w:color="auto" w:fill="auto"/>
          </w:tcPr>
          <w:p w14:paraId="1A1C599E" w14:textId="063FFA3F"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w:t>
            </w:r>
            <w:r w:rsidR="00161853">
              <w:rPr>
                <w:rFonts w:ascii="Times New Roman" w:hAnsi="Times New Roman" w:cs="Times New Roman"/>
                <w:color w:val="000000"/>
              </w:rPr>
              <w:t>-79</w:t>
            </w:r>
          </w:p>
        </w:tc>
        <w:tc>
          <w:tcPr>
            <w:tcW w:w="5851" w:type="dxa"/>
            <w:shd w:val="clear" w:color="auto" w:fill="auto"/>
          </w:tcPr>
          <w:p w14:paraId="4CA6B8CC" w14:textId="6B0F8F7A"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The IOTC’s harvest strategy objective is to maintain stock levels at or above the biomass which would produce MSY. This was established as an interim threshold reference point under 15-10. Scientific advice has been formulated relative to a harvest strategy relative to MSY reference points and</w:t>
            </w:r>
            <w:r w:rsidRPr="009C3850">
              <w:rPr>
                <w:rFonts w:ascii="Times New Roman" w:hAnsi="Times New Roman" w:cs="Times New Roman"/>
                <w:b/>
                <w:color w:val="000000"/>
              </w:rPr>
              <w:t xml:space="preserve"> </w:t>
            </w:r>
            <w:r w:rsidRPr="009C3850">
              <w:rPr>
                <w:rFonts w:ascii="Times New Roman" w:hAnsi="Times New Roman" w:cs="Times New Roman"/>
                <w:color w:val="000000"/>
              </w:rPr>
              <w:t>is responsive to that state of the stock and to limit and target reference points commonly used for yellowfin and other tropical tunas. Resolutions 16/01, 17/01, 18/01, 19/01 and 21/01 established interim plans for rebuilding the Indian Ocean yellowfin tuna stock in the IOTC area of competence. However, the effectivity of the strategy is unclear as a number of provisions, like well-defined catch limits, are still in development and have not been implemented yet</w:t>
            </w:r>
            <w:r w:rsidR="00161853">
              <w:rPr>
                <w:rFonts w:ascii="Times New Roman" w:hAnsi="Times New Roman" w:cs="Times New Roman"/>
                <w:color w:val="000000"/>
              </w:rPr>
              <w:t xml:space="preserve">. </w:t>
            </w:r>
            <w:r w:rsidRPr="009C3850">
              <w:rPr>
                <w:rFonts w:ascii="Times New Roman" w:hAnsi="Times New Roman" w:cs="Times New Roman"/>
                <w:color w:val="000000"/>
              </w:rPr>
              <w:t xml:space="preserve">As indicated above, catches have regularly exceeded the estimated MSY since 2012. The 2021 estimate of MSY was 349,000 t while the </w:t>
            </w:r>
            <w:r w:rsidRPr="009C3850">
              <w:rPr>
                <w:rFonts w:ascii="Times New Roman" w:hAnsi="Times New Roman" w:cs="Times New Roman"/>
                <w:color w:val="000000"/>
              </w:rPr>
              <w:lastRenderedPageBreak/>
              <w:t>average catch 2016-2020 = 434,569 t, suggesting that the current strategy is not working well</w:t>
            </w:r>
            <w:r w:rsidR="00161853">
              <w:rPr>
                <w:rFonts w:ascii="Times New Roman" w:hAnsi="Times New Roman" w:cs="Times New Roman"/>
                <w:color w:val="000000"/>
              </w:rPr>
              <w:t xml:space="preserve"> (enforcement is lacking)</w:t>
            </w:r>
            <w:r w:rsidRPr="009C3850">
              <w:rPr>
                <w:rFonts w:ascii="Times New Roman" w:hAnsi="Times New Roman" w:cs="Times New Roman"/>
                <w:color w:val="000000"/>
              </w:rPr>
              <w:t xml:space="preserve">. </w:t>
            </w:r>
            <w:r w:rsidRPr="009C3850">
              <w:rPr>
                <w:rFonts w:ascii="Times New Roman" w:hAnsi="Times New Roman" w:cs="Times New Roman"/>
                <w:b/>
                <w:color w:val="000000"/>
              </w:rPr>
              <w:t>SG</w:t>
            </w:r>
            <w:r w:rsidR="00161853">
              <w:rPr>
                <w:rFonts w:ascii="Times New Roman" w:hAnsi="Times New Roman" w:cs="Times New Roman"/>
                <w:b/>
                <w:color w:val="000000"/>
              </w:rPr>
              <w:t>8</w:t>
            </w:r>
            <w:r w:rsidRPr="009C3850">
              <w:rPr>
                <w:rFonts w:ascii="Times New Roman" w:hAnsi="Times New Roman" w:cs="Times New Roman"/>
                <w:b/>
                <w:color w:val="000000"/>
              </w:rPr>
              <w:t>0 is not met.</w:t>
            </w:r>
          </w:p>
        </w:tc>
      </w:tr>
      <w:tr w:rsidR="009A3D44" w:rsidRPr="009C3850" w14:paraId="2A367739" w14:textId="77777777" w:rsidTr="009C3850">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77D9DB7B"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7BC600E1" w14:textId="77777777" w:rsidR="009A3D44" w:rsidRPr="009C3850" w:rsidRDefault="009A3D44">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761CBA09"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1.2.2</w:t>
            </w:r>
          </w:p>
        </w:tc>
        <w:tc>
          <w:tcPr>
            <w:tcW w:w="3090" w:type="dxa"/>
            <w:shd w:val="clear" w:color="auto" w:fill="auto"/>
          </w:tcPr>
          <w:p w14:paraId="4719E6AD"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Harvest control rules and tools</w:t>
            </w:r>
          </w:p>
        </w:tc>
        <w:tc>
          <w:tcPr>
            <w:tcW w:w="1111" w:type="dxa"/>
            <w:shd w:val="clear" w:color="auto" w:fill="auto"/>
          </w:tcPr>
          <w:p w14:paraId="47B35AFB"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&lt;60</w:t>
            </w:r>
          </w:p>
        </w:tc>
        <w:tc>
          <w:tcPr>
            <w:tcW w:w="1271" w:type="dxa"/>
            <w:shd w:val="clear" w:color="auto" w:fill="auto"/>
          </w:tcPr>
          <w:p w14:paraId="46B62ABF" w14:textId="41FBBE87" w:rsidR="009A3D44" w:rsidRPr="009C3850" w:rsidRDefault="001618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&lt;60</w:t>
            </w:r>
          </w:p>
        </w:tc>
        <w:tc>
          <w:tcPr>
            <w:tcW w:w="5851" w:type="dxa"/>
            <w:shd w:val="clear" w:color="auto" w:fill="auto"/>
          </w:tcPr>
          <w:p w14:paraId="5592B9E0"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As indicated previously, MSC Fisheries Standard v2.01 stipulates two conditions for acceptance of HCR being ‘available’ instead of being in place to justify scoring at the SG60 level. The first is through SA2.5.2a where the guidance indicates that teams shall accept ‘available’ HCRs in cases where, “…</w:t>
            </w:r>
            <w:r w:rsidRPr="009C3850">
              <w:rPr>
                <w:rFonts w:ascii="Times New Roman" w:hAnsi="Times New Roman" w:cs="Times New Roman"/>
                <w:i/>
                <w:color w:val="000000"/>
              </w:rPr>
              <w:t>Stock biomass has not previously been reduced below the MSY level or has been maintained at that level for a recent period of time that is at least longer than 2 generation times of the species and is not predicted to be reduced below BMSY within the next 5 years</w:t>
            </w:r>
            <w:r w:rsidRPr="009C3850">
              <w:rPr>
                <w:rFonts w:ascii="Times New Roman" w:hAnsi="Times New Roman" w:cs="Times New Roman"/>
                <w:color w:val="000000"/>
              </w:rPr>
              <w:t>”.</w:t>
            </w:r>
          </w:p>
          <w:p w14:paraId="78F1B411"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The second condition is through SA2.5.3b where the guidance indicates that teams shall recognize HCRs as being available if “</w:t>
            </w:r>
            <w:r w:rsidRPr="009C3850">
              <w:rPr>
                <w:rFonts w:ascii="Times New Roman" w:hAnsi="Times New Roman" w:cs="Times New Roman"/>
                <w:i/>
                <w:color w:val="000000"/>
              </w:rPr>
              <w:t>an agreement or framework is in place that requires the management body to adopt HCRs before the stock declines below BMSY</w:t>
            </w:r>
            <w:r w:rsidRPr="009C3850">
              <w:rPr>
                <w:rFonts w:ascii="Times New Roman" w:hAnsi="Times New Roman" w:cs="Times New Roman"/>
                <w:color w:val="000000"/>
              </w:rPr>
              <w:t>”.</w:t>
            </w:r>
          </w:p>
          <w:p w14:paraId="6B95ED61"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In the case of yellowfin, the stock has declined and based on projections in the assessments before 2015 was likely to fall below its target point. The most recent assessments confirmed that this indeed had happened.</w:t>
            </w:r>
          </w:p>
          <w:p w14:paraId="71C09028" w14:textId="1C93AAAC"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Based on resolutions 16-01/17-01/18-01/19-01/21-01 a number of tools for controlling catches were adopted including percent reductions in purse seine, gillnet and other gear catch and reduction in FADs</w:t>
            </w:r>
            <w:r w:rsidR="00393BB3">
              <w:rPr>
                <w:rFonts w:ascii="Times New Roman" w:hAnsi="Times New Roman" w:cs="Times New Roman"/>
                <w:color w:val="000000"/>
              </w:rPr>
              <w:t>.</w:t>
            </w:r>
            <w:r w:rsidRPr="009C3850">
              <w:rPr>
                <w:rFonts w:ascii="Times New Roman" w:hAnsi="Times New Roman" w:cs="Times New Roman"/>
                <w:color w:val="000000"/>
              </w:rPr>
              <w:t xml:space="preserve"> Catches have been broadly reduced in some fleets subject to the controls, albeit the reduction has not yet met the target level over the last 5 years. Fleets exempt from such requirements have increased their catch, and the overall catch has therefore increased in 2020 to around the 2016 level and has remained significantly higher than the target. Resolution 19/01 threatens overages to catch limits be carried forward to 2021 and resolution 21/01 has increased the catch reductions. Several countries have objected to Res. 19/01 and to Res. 21/01. </w:t>
            </w:r>
          </w:p>
          <w:p w14:paraId="03673A5B" w14:textId="7EDE13F5"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lastRenderedPageBreak/>
              <w:t xml:space="preserve">As CPCs are unwilling or unable to apply the catch limits being </w:t>
            </w:r>
            <w:r w:rsidR="00861547">
              <w:rPr>
                <w:rFonts w:ascii="Times New Roman" w:hAnsi="Times New Roman" w:cs="Times New Roman"/>
                <w:color w:val="000000"/>
              </w:rPr>
              <w:t>s</w:t>
            </w:r>
            <w:r w:rsidRPr="009C3850">
              <w:rPr>
                <w:rFonts w:ascii="Times New Roman" w:hAnsi="Times New Roman" w:cs="Times New Roman"/>
                <w:color w:val="000000"/>
              </w:rPr>
              <w:t xml:space="preserve">et out in resolutions, </w:t>
            </w:r>
            <w:r w:rsidR="00861547">
              <w:rPr>
                <w:rFonts w:ascii="Times New Roman" w:hAnsi="Times New Roman" w:cs="Times New Roman"/>
                <w:color w:val="000000"/>
              </w:rPr>
              <w:t xml:space="preserve">there is no </w:t>
            </w:r>
            <w:r w:rsidR="00861547" w:rsidRPr="00861547">
              <w:rPr>
                <w:rFonts w:ascii="Times New Roman" w:hAnsi="Times New Roman" w:cs="Times New Roman"/>
                <w:color w:val="000000"/>
              </w:rPr>
              <w:t>evidence indicat</w:t>
            </w:r>
            <w:r w:rsidR="00861547">
              <w:rPr>
                <w:rFonts w:ascii="Times New Roman" w:hAnsi="Times New Roman" w:cs="Times New Roman"/>
                <w:color w:val="000000"/>
              </w:rPr>
              <w:t>ing</w:t>
            </w:r>
            <w:r w:rsidR="00861547" w:rsidRPr="00861547">
              <w:rPr>
                <w:rFonts w:ascii="Times New Roman" w:hAnsi="Times New Roman" w:cs="Times New Roman"/>
                <w:color w:val="000000"/>
              </w:rPr>
              <w:t xml:space="preserve"> that the tools in use are appropriate and effective in achieving the exploitation levels required under the HCRs.</w:t>
            </w:r>
            <w:r w:rsidR="00861547">
              <w:rPr>
                <w:rFonts w:ascii="Times New Roman" w:hAnsi="Times New Roman" w:cs="Times New Roman"/>
                <w:color w:val="000000"/>
              </w:rPr>
              <w:t xml:space="preserve"> </w:t>
            </w:r>
            <w:r w:rsidRPr="009C3850">
              <w:rPr>
                <w:rFonts w:ascii="Times New Roman" w:hAnsi="Times New Roman" w:cs="Times New Roman"/>
                <w:b/>
                <w:color w:val="000000"/>
              </w:rPr>
              <w:t>SG60 is not met.</w:t>
            </w:r>
          </w:p>
        </w:tc>
      </w:tr>
      <w:tr w:rsidR="009A3D44" w:rsidRPr="009C3850" w14:paraId="78370AF5" w14:textId="77777777" w:rsidTr="009C3850">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06888819"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3ED9D803" w14:textId="77777777" w:rsidR="009A3D44" w:rsidRPr="009C3850" w:rsidRDefault="009A3D44">
            <w:pPr>
              <w:widowControl w:val="0"/>
              <w:pBdr>
                <w:top w:val="nil"/>
                <w:left w:val="nil"/>
                <w:bottom w:val="nil"/>
                <w:right w:val="nil"/>
                <w:between w:val="nil"/>
              </w:pBdr>
              <w:spacing w:before="0"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4640B605"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1.2.3</w:t>
            </w:r>
          </w:p>
        </w:tc>
        <w:tc>
          <w:tcPr>
            <w:tcW w:w="3090" w:type="dxa"/>
            <w:shd w:val="clear" w:color="auto" w:fill="auto"/>
          </w:tcPr>
          <w:p w14:paraId="3B93A9DF"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Information and monitoring</w:t>
            </w:r>
          </w:p>
        </w:tc>
        <w:tc>
          <w:tcPr>
            <w:tcW w:w="1111" w:type="dxa"/>
            <w:shd w:val="clear" w:color="auto" w:fill="auto"/>
          </w:tcPr>
          <w:p w14:paraId="2AE89180"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1271" w:type="dxa"/>
            <w:shd w:val="clear" w:color="auto" w:fill="auto"/>
          </w:tcPr>
          <w:p w14:paraId="3722ABE6"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5851" w:type="dxa"/>
            <w:shd w:val="clear" w:color="auto" w:fill="auto"/>
          </w:tcPr>
          <w:p w14:paraId="48296C92"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The IOTC-2023-WPTT25(DP)-07.1_Rev1 summarizes the standing of a range of data and statistics received by the IOTC Secretariat for tropical tunas. Data available includes information on catches, geo-referenced catch and effort data, size frequency data, tagging data, socio-economic data. A scoring system has been implemented to assess the quality of the retained catch, catch-effort, and size-frequency data available at the Secretariat for all IOTC species. Overall, the reporting quality for industrial fisheries covered by this FIP is better than artisanal fisheries, mostly because larger vessels are generally monitored with logbooks and recording systems at landing. Some issues were identified for the reporting of YFT and BET in the EU fleet but it is considered that the available information is broadly adequate to assess the status of both stocks. </w:t>
            </w:r>
            <w:r w:rsidRPr="009C3850">
              <w:rPr>
                <w:rFonts w:ascii="Times New Roman" w:hAnsi="Times New Roman" w:cs="Times New Roman"/>
                <w:b/>
                <w:color w:val="000000"/>
              </w:rPr>
              <w:t>SG80 is met.</w:t>
            </w:r>
          </w:p>
        </w:tc>
      </w:tr>
      <w:tr w:rsidR="009A3D44" w:rsidRPr="009C3850" w14:paraId="3BF334F6" w14:textId="77777777" w:rsidTr="009C3850">
        <w:trPr>
          <w:trHeight w:val="274"/>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72AC44BF"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55D65B61" w14:textId="77777777" w:rsidR="009A3D44" w:rsidRPr="009C3850" w:rsidRDefault="009A3D44">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1B7C8C28"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1.2.4</w:t>
            </w:r>
          </w:p>
        </w:tc>
        <w:tc>
          <w:tcPr>
            <w:tcW w:w="3090" w:type="dxa"/>
            <w:shd w:val="clear" w:color="auto" w:fill="auto"/>
          </w:tcPr>
          <w:p w14:paraId="14198DEF"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Assessment of stock status</w:t>
            </w:r>
          </w:p>
        </w:tc>
        <w:tc>
          <w:tcPr>
            <w:tcW w:w="1111" w:type="dxa"/>
            <w:shd w:val="clear" w:color="auto" w:fill="auto"/>
          </w:tcPr>
          <w:p w14:paraId="3366D487"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1271" w:type="dxa"/>
            <w:shd w:val="clear" w:color="auto" w:fill="auto"/>
          </w:tcPr>
          <w:p w14:paraId="0AF41C8F"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5851" w:type="dxa"/>
            <w:shd w:val="clear" w:color="auto" w:fill="auto"/>
          </w:tcPr>
          <w:p w14:paraId="51F84170"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The most recent full assessment of YFT was carried out in 2021 using Stock Synthesis III (SS3), a fully integrated model that is currently used to provide scientific advice for the three tropical tunas stocks in the Indian Ocean. The model used in 2021 is based on the model developed in 2018 with a series of revisions that were noted during the WPTT in 2018, 2019 and 2020. The model uses four types of data: catch, size frequency, tagging and CPUE indices. The proposed final assessment model options correspond to a combination of model configurations, including alternative assumptions about the spatial structure (2 options), longline CPUE catchability (2 options on the effect of piracy), weighting of the tagging dataset (lambda = 0.1 or 1), steepness values (0.7, 0.8, and 0.9), natural mortality values (2 options), and growth parameters (2 options). The model ensemble (a total of 96 models) encompasses a range of stock dynamics. </w:t>
            </w:r>
            <w:r w:rsidRPr="009C3850">
              <w:rPr>
                <w:rFonts w:ascii="Times New Roman" w:hAnsi="Times New Roman" w:cs="Times New Roman"/>
                <w:b/>
                <w:color w:val="000000"/>
              </w:rPr>
              <w:t>SG80 is met.</w:t>
            </w:r>
          </w:p>
        </w:tc>
      </w:tr>
      <w:tr w:rsidR="009A3D44" w:rsidRPr="009C3850" w14:paraId="69FCAF50" w14:textId="77777777" w:rsidTr="009C385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34" w:type="dxa"/>
            <w:vMerge w:val="restart"/>
            <w:shd w:val="clear" w:color="auto" w:fill="auto"/>
          </w:tcPr>
          <w:p w14:paraId="7C43A1F2" w14:textId="77777777" w:rsidR="009A3D44" w:rsidRPr="009C3850" w:rsidRDefault="00BE1A09">
            <w:pPr>
              <w:jc w:val="center"/>
              <w:rPr>
                <w:rFonts w:ascii="Times New Roman" w:hAnsi="Times New Roman" w:cs="Times New Roman"/>
              </w:rPr>
            </w:pPr>
            <w:r w:rsidRPr="009C3850">
              <w:rPr>
                <w:rFonts w:ascii="Times New Roman" w:hAnsi="Times New Roman" w:cs="Times New Roman"/>
              </w:rPr>
              <w:t>1 (UoA3: BET)</w:t>
            </w:r>
          </w:p>
        </w:tc>
        <w:tc>
          <w:tcPr>
            <w:tcW w:w="1880" w:type="dxa"/>
            <w:vMerge w:val="restart"/>
            <w:shd w:val="clear" w:color="auto" w:fill="auto"/>
          </w:tcPr>
          <w:p w14:paraId="49A8C649"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Outcome</w:t>
            </w:r>
          </w:p>
        </w:tc>
        <w:tc>
          <w:tcPr>
            <w:tcW w:w="951" w:type="dxa"/>
            <w:shd w:val="clear" w:color="auto" w:fill="auto"/>
          </w:tcPr>
          <w:p w14:paraId="6ACBC4A5"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1.1.1</w:t>
            </w:r>
          </w:p>
        </w:tc>
        <w:tc>
          <w:tcPr>
            <w:tcW w:w="3090" w:type="dxa"/>
            <w:shd w:val="clear" w:color="auto" w:fill="auto"/>
          </w:tcPr>
          <w:p w14:paraId="2643DDE3"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Stock status</w:t>
            </w:r>
          </w:p>
        </w:tc>
        <w:tc>
          <w:tcPr>
            <w:tcW w:w="1111" w:type="dxa"/>
            <w:shd w:val="clear" w:color="auto" w:fill="auto"/>
          </w:tcPr>
          <w:p w14:paraId="14A40F54"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1271" w:type="dxa"/>
            <w:shd w:val="clear" w:color="auto" w:fill="auto"/>
          </w:tcPr>
          <w:p w14:paraId="74ECD664"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60-79</w:t>
            </w:r>
          </w:p>
        </w:tc>
        <w:tc>
          <w:tcPr>
            <w:tcW w:w="5851" w:type="dxa"/>
            <w:shd w:val="clear" w:color="auto" w:fill="auto"/>
          </w:tcPr>
          <w:p w14:paraId="3CE9A21B"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In 2022 a new stock assessment was carried out for bigeye tuna in the IOTC area of competence to update the stock assessment </w:t>
            </w:r>
            <w:r w:rsidRPr="009C3850">
              <w:rPr>
                <w:rFonts w:ascii="Times New Roman" w:hAnsi="Times New Roman" w:cs="Times New Roman"/>
                <w:color w:val="000000"/>
              </w:rPr>
              <w:lastRenderedPageBreak/>
              <w:t>undertaken in 2019. Two models were applied to the bigeye stock (Statistical Catch at Size (SCAS) and Stock Synthesis (SS3)), with the SS3 stock assessment selected to provide scientific advice. Spawning biomass in 2021 was estimated to be 25% (80% CI: 23-27%) of the unfished levels in 2021 and 90% (75-105%) of the level that can support MSY. Fishing mortality was estimated at 1.43 (1.1-1.77) times the F</w:t>
            </w:r>
            <w:r w:rsidRPr="006D0DC3">
              <w:rPr>
                <w:rFonts w:ascii="Times New Roman" w:hAnsi="Times New Roman" w:cs="Times New Roman"/>
                <w:color w:val="000000"/>
                <w:vertAlign w:val="subscript"/>
              </w:rPr>
              <w:t>MSY</w:t>
            </w:r>
            <w:r w:rsidRPr="009C3850">
              <w:rPr>
                <w:rFonts w:ascii="Times New Roman" w:hAnsi="Times New Roman" w:cs="Times New Roman"/>
                <w:color w:val="000000"/>
              </w:rPr>
              <w:t xml:space="preserve"> level. Considering the characterized uncertainty, the assessment indicates that SB</w:t>
            </w:r>
            <w:r w:rsidRPr="006D0DC3">
              <w:rPr>
                <w:rFonts w:ascii="Times New Roman" w:hAnsi="Times New Roman" w:cs="Times New Roman"/>
                <w:color w:val="000000"/>
                <w:vertAlign w:val="subscript"/>
              </w:rPr>
              <w:t>2021</w:t>
            </w:r>
            <w:r w:rsidRPr="009C3850">
              <w:rPr>
                <w:rFonts w:ascii="Times New Roman" w:hAnsi="Times New Roman" w:cs="Times New Roman"/>
                <w:color w:val="000000"/>
              </w:rPr>
              <w:t xml:space="preserve"> is below SB</w:t>
            </w:r>
            <w:r w:rsidRPr="006D0DC3">
              <w:rPr>
                <w:rFonts w:ascii="Times New Roman" w:hAnsi="Times New Roman" w:cs="Times New Roman"/>
                <w:color w:val="000000"/>
                <w:vertAlign w:val="subscript"/>
              </w:rPr>
              <w:t>MSY</w:t>
            </w:r>
            <w:r w:rsidRPr="009C3850">
              <w:rPr>
                <w:rFonts w:ascii="Times New Roman" w:hAnsi="Times New Roman" w:cs="Times New Roman"/>
                <w:color w:val="000000"/>
              </w:rPr>
              <w:t xml:space="preserve"> and that F2021 is above F</w:t>
            </w:r>
            <w:r w:rsidRPr="006D0DC3">
              <w:rPr>
                <w:rFonts w:ascii="Times New Roman" w:hAnsi="Times New Roman" w:cs="Times New Roman"/>
                <w:color w:val="000000"/>
                <w:vertAlign w:val="subscript"/>
              </w:rPr>
              <w:t>MSY</w:t>
            </w:r>
            <w:r w:rsidRPr="009C3850">
              <w:rPr>
                <w:rFonts w:ascii="Times New Roman" w:hAnsi="Times New Roman" w:cs="Times New Roman"/>
                <w:color w:val="000000"/>
              </w:rPr>
              <w:t xml:space="preserve"> (79%). On the weight-of-evidence available in 2022, the bigeye tuna stock is determined to be overfished and subject to overfishing. </w:t>
            </w:r>
            <w:r w:rsidRPr="009C3850">
              <w:rPr>
                <w:rFonts w:ascii="Times New Roman" w:hAnsi="Times New Roman" w:cs="Times New Roman"/>
                <w:b/>
                <w:color w:val="000000"/>
              </w:rPr>
              <w:t>SG80 is not met.</w:t>
            </w:r>
          </w:p>
        </w:tc>
      </w:tr>
      <w:tr w:rsidR="009A3D44" w:rsidRPr="009C3850" w14:paraId="608F5AA2" w14:textId="77777777" w:rsidTr="009C3850">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1DDE712C"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79A8680B" w14:textId="77777777" w:rsidR="009A3D44" w:rsidRPr="009C3850" w:rsidRDefault="009A3D44">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4CAC5DA4"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1.1.2</w:t>
            </w:r>
          </w:p>
        </w:tc>
        <w:tc>
          <w:tcPr>
            <w:tcW w:w="3090" w:type="dxa"/>
            <w:shd w:val="clear" w:color="auto" w:fill="auto"/>
          </w:tcPr>
          <w:p w14:paraId="0B9128EF"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Stock rebuilding</w:t>
            </w:r>
          </w:p>
        </w:tc>
        <w:tc>
          <w:tcPr>
            <w:tcW w:w="1111" w:type="dxa"/>
            <w:shd w:val="clear" w:color="auto" w:fill="auto"/>
          </w:tcPr>
          <w:p w14:paraId="5ADC0FD2"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NA</w:t>
            </w:r>
          </w:p>
        </w:tc>
        <w:tc>
          <w:tcPr>
            <w:tcW w:w="1271" w:type="dxa"/>
            <w:shd w:val="clear" w:color="auto" w:fill="auto"/>
          </w:tcPr>
          <w:p w14:paraId="4757D191" w14:textId="78C166E3" w:rsidR="009A3D44" w:rsidRPr="009C3850" w:rsidRDefault="000530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60</w:t>
            </w:r>
            <w:r w:rsidR="00AD39A5">
              <w:rPr>
                <w:rFonts w:ascii="Times New Roman" w:hAnsi="Times New Roman" w:cs="Times New Roman"/>
                <w:color w:val="000000"/>
              </w:rPr>
              <w:t>-79</w:t>
            </w:r>
          </w:p>
        </w:tc>
        <w:tc>
          <w:tcPr>
            <w:tcW w:w="5851" w:type="dxa"/>
            <w:shd w:val="clear" w:color="auto" w:fill="auto"/>
          </w:tcPr>
          <w:p w14:paraId="0F0F7F32" w14:textId="2D21F284" w:rsidR="008C590A"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Given the life history characteristics of bigeye, it seems that the stock has the potential to recover relatively quickly (within a </w:t>
            </w:r>
            <w:r w:rsidR="00563B30" w:rsidRPr="009C3850">
              <w:rPr>
                <w:rFonts w:ascii="Times New Roman" w:hAnsi="Times New Roman" w:cs="Times New Roman"/>
                <w:color w:val="000000"/>
              </w:rPr>
              <w:t>5</w:t>
            </w:r>
            <w:r w:rsidR="00563B30">
              <w:rPr>
                <w:rFonts w:ascii="Times New Roman" w:hAnsi="Times New Roman" w:cs="Times New Roman"/>
                <w:color w:val="000000"/>
              </w:rPr>
              <w:t>–10-year</w:t>
            </w:r>
            <w:r w:rsidRPr="009C3850">
              <w:rPr>
                <w:rFonts w:ascii="Times New Roman" w:hAnsi="Times New Roman" w:cs="Times New Roman"/>
                <w:color w:val="000000"/>
              </w:rPr>
              <w:t xml:space="preserve"> period) with appropriate management measures</w:t>
            </w:r>
            <w:r w:rsidR="00053014">
              <w:rPr>
                <w:rFonts w:ascii="Times New Roman" w:hAnsi="Times New Roman" w:cs="Times New Roman"/>
                <w:color w:val="000000"/>
              </w:rPr>
              <w:t xml:space="preserve"> (Medley et al., 2023)</w:t>
            </w:r>
            <w:r w:rsidRPr="009C3850">
              <w:rPr>
                <w:rFonts w:ascii="Times New Roman" w:hAnsi="Times New Roman" w:cs="Times New Roman"/>
                <w:color w:val="000000"/>
              </w:rPr>
              <w:t>. The TAC recommended from the application of the MP specified in Resolution 22/03 is 80,583 t/year for the period 2024-2025, a 15% below the 2021 catch.</w:t>
            </w:r>
            <w:r w:rsidRPr="009C3850">
              <w:rPr>
                <w:rFonts w:ascii="Times New Roman" w:hAnsi="Times New Roman" w:cs="Times New Roman"/>
              </w:rPr>
              <w:t xml:space="preserve"> </w:t>
            </w:r>
            <w:r w:rsidRPr="009C3850">
              <w:rPr>
                <w:rFonts w:ascii="Times New Roman" w:hAnsi="Times New Roman" w:cs="Times New Roman"/>
                <w:color w:val="000000"/>
              </w:rPr>
              <w:t xml:space="preserve">The management procedure </w:t>
            </w:r>
            <w:r w:rsidR="00053014">
              <w:rPr>
                <w:rFonts w:ascii="Times New Roman" w:hAnsi="Times New Roman" w:cs="Times New Roman"/>
                <w:color w:val="000000"/>
              </w:rPr>
              <w:t xml:space="preserve">approved for the species </w:t>
            </w:r>
            <w:r w:rsidRPr="009C3850">
              <w:rPr>
                <w:rFonts w:ascii="Times New Roman" w:hAnsi="Times New Roman" w:cs="Times New Roman"/>
                <w:color w:val="000000"/>
              </w:rPr>
              <w:t>is designed to achieve: a 60% probability that the bigeye tuna spawning stock biomass achieves the target reference point of SB</w:t>
            </w:r>
            <w:r w:rsidRPr="006D0DC3">
              <w:rPr>
                <w:rFonts w:ascii="Times New Roman" w:hAnsi="Times New Roman" w:cs="Times New Roman"/>
                <w:color w:val="000000"/>
                <w:vertAlign w:val="subscript"/>
              </w:rPr>
              <w:t>MSY</w:t>
            </w:r>
            <w:r w:rsidRPr="009C3850">
              <w:rPr>
                <w:rFonts w:ascii="Times New Roman" w:hAnsi="Times New Roman" w:cs="Times New Roman"/>
                <w:color w:val="000000"/>
              </w:rPr>
              <w:t xml:space="preserve"> by 2034-2038 (12 years). The rebuilding time frame of 2034 is within the 20 years or 2 times the approximate generation time. </w:t>
            </w:r>
            <w:r w:rsidR="00053014">
              <w:rPr>
                <w:rFonts w:ascii="Times New Roman" w:hAnsi="Times New Roman" w:cs="Times New Roman"/>
                <w:color w:val="000000"/>
              </w:rPr>
              <w:t>However, t</w:t>
            </w:r>
            <w:r w:rsidR="00053014" w:rsidRPr="00053014">
              <w:rPr>
                <w:rFonts w:ascii="Times New Roman" w:hAnsi="Times New Roman" w:cs="Times New Roman"/>
                <w:color w:val="000000"/>
              </w:rPr>
              <w:t>he projections shown in annex 1 indicate</w:t>
            </w:r>
            <w:r w:rsidR="00053014">
              <w:rPr>
                <w:rFonts w:ascii="Times New Roman" w:hAnsi="Times New Roman" w:cs="Times New Roman"/>
                <w:color w:val="000000"/>
              </w:rPr>
              <w:t xml:space="preserve"> a 60% probability of </w:t>
            </w:r>
            <w:r w:rsidR="00053014" w:rsidRPr="00053014">
              <w:rPr>
                <w:rFonts w:ascii="Times New Roman" w:hAnsi="Times New Roman" w:cs="Times New Roman"/>
                <w:color w:val="000000"/>
              </w:rPr>
              <w:t>violating the MSY</w:t>
            </w:r>
            <w:r w:rsidR="00053014">
              <w:rPr>
                <w:rFonts w:ascii="Times New Roman" w:hAnsi="Times New Roman" w:cs="Times New Roman"/>
                <w:color w:val="000000"/>
              </w:rPr>
              <w:t xml:space="preserve"> target point for 2028 </w:t>
            </w:r>
            <w:r w:rsidR="00053014" w:rsidRPr="00053014">
              <w:rPr>
                <w:rFonts w:ascii="Times New Roman" w:hAnsi="Times New Roman" w:cs="Times New Roman"/>
                <w:color w:val="000000"/>
              </w:rPr>
              <w:t>with catch l</w:t>
            </w:r>
            <w:r w:rsidR="00053014">
              <w:rPr>
                <w:rFonts w:ascii="Times New Roman" w:hAnsi="Times New Roman" w:cs="Times New Roman"/>
                <w:color w:val="000000"/>
              </w:rPr>
              <w:t xml:space="preserve">evels similar to the one set </w:t>
            </w:r>
            <w:r w:rsidR="00053014" w:rsidRPr="00053014">
              <w:rPr>
                <w:rFonts w:ascii="Times New Roman" w:hAnsi="Times New Roman" w:cs="Times New Roman"/>
                <w:color w:val="000000"/>
              </w:rPr>
              <w:t xml:space="preserve">by </w:t>
            </w:r>
            <w:r w:rsidR="0042780F">
              <w:rPr>
                <w:rFonts w:ascii="Times New Roman" w:hAnsi="Times New Roman" w:cs="Times New Roman"/>
                <w:color w:val="000000"/>
              </w:rPr>
              <w:t>Resolution 23/04</w:t>
            </w:r>
            <w:r w:rsidR="00053014" w:rsidRPr="00053014">
              <w:rPr>
                <w:rFonts w:ascii="Times New Roman" w:hAnsi="Times New Roman" w:cs="Times New Roman"/>
                <w:color w:val="000000"/>
              </w:rPr>
              <w:t xml:space="preserve"> for</w:t>
            </w:r>
            <w:r w:rsidR="00053014">
              <w:rPr>
                <w:rFonts w:ascii="Times New Roman" w:hAnsi="Times New Roman" w:cs="Times New Roman"/>
                <w:color w:val="000000"/>
              </w:rPr>
              <w:t xml:space="preserve"> t</w:t>
            </w:r>
            <w:r w:rsidR="00053014" w:rsidRPr="00053014">
              <w:rPr>
                <w:rFonts w:ascii="Times New Roman" w:hAnsi="Times New Roman" w:cs="Times New Roman"/>
                <w:color w:val="000000"/>
              </w:rPr>
              <w:t>he period 2024-2025</w:t>
            </w:r>
            <w:r w:rsidR="0042780F">
              <w:rPr>
                <w:rFonts w:ascii="Times New Roman" w:hAnsi="Times New Roman" w:cs="Times New Roman"/>
                <w:color w:val="000000"/>
              </w:rPr>
              <w:t xml:space="preserve"> (see explanation below)</w:t>
            </w:r>
            <w:r w:rsidR="00053014">
              <w:rPr>
                <w:rFonts w:ascii="Times New Roman" w:hAnsi="Times New Roman" w:cs="Times New Roman"/>
                <w:color w:val="000000"/>
              </w:rPr>
              <w:t>. Moreover, catch limits set for other tuna species (SKJ, YFT) in the IOTC have not been complied with by the CPCs</w:t>
            </w:r>
            <w:r w:rsidR="00AD39A5">
              <w:rPr>
                <w:rFonts w:ascii="Times New Roman" w:hAnsi="Times New Roman" w:cs="Times New Roman"/>
                <w:color w:val="000000"/>
              </w:rPr>
              <w:t xml:space="preserve"> a</w:t>
            </w:r>
            <w:r w:rsidR="00053014">
              <w:rPr>
                <w:rFonts w:ascii="Times New Roman" w:hAnsi="Times New Roman" w:cs="Times New Roman"/>
                <w:color w:val="000000"/>
              </w:rPr>
              <w:t>nd it is unclear how this catch limit will be enforced</w:t>
            </w:r>
            <w:r w:rsidR="00AD39A5">
              <w:rPr>
                <w:rFonts w:ascii="Times New Roman" w:hAnsi="Times New Roman" w:cs="Times New Roman"/>
                <w:color w:val="000000"/>
              </w:rPr>
              <w:t xml:space="preserve"> for BET</w:t>
            </w:r>
            <w:r w:rsidR="00053014">
              <w:rPr>
                <w:rFonts w:ascii="Times New Roman" w:hAnsi="Times New Roman" w:cs="Times New Roman"/>
                <w:color w:val="000000"/>
              </w:rPr>
              <w:t xml:space="preserve">. </w:t>
            </w:r>
            <w:r w:rsidRPr="009C3850">
              <w:rPr>
                <w:rFonts w:ascii="Times New Roman" w:hAnsi="Times New Roman" w:cs="Times New Roman"/>
                <w:color w:val="000000"/>
              </w:rPr>
              <w:t xml:space="preserve">Therefore, on that basis it is considered that </w:t>
            </w:r>
            <w:r w:rsidRPr="009C3850">
              <w:rPr>
                <w:rFonts w:ascii="Times New Roman" w:hAnsi="Times New Roman" w:cs="Times New Roman"/>
                <w:b/>
                <w:color w:val="000000"/>
              </w:rPr>
              <w:t>SG</w:t>
            </w:r>
            <w:r w:rsidR="00DD3118">
              <w:rPr>
                <w:rFonts w:ascii="Times New Roman" w:hAnsi="Times New Roman" w:cs="Times New Roman"/>
                <w:b/>
                <w:color w:val="000000"/>
              </w:rPr>
              <w:t>8</w:t>
            </w:r>
            <w:r w:rsidR="00053014">
              <w:rPr>
                <w:rFonts w:ascii="Times New Roman" w:hAnsi="Times New Roman" w:cs="Times New Roman"/>
                <w:b/>
                <w:color w:val="000000"/>
              </w:rPr>
              <w:t>0 is not met</w:t>
            </w:r>
            <w:r w:rsidR="00053014">
              <w:rPr>
                <w:rFonts w:ascii="Times New Roman" w:hAnsi="Times New Roman" w:cs="Times New Roman"/>
                <w:color w:val="000000"/>
              </w:rPr>
              <w:t>.</w:t>
            </w:r>
          </w:p>
        </w:tc>
      </w:tr>
      <w:tr w:rsidR="009A3D44" w:rsidRPr="009C3850" w14:paraId="6901EC0B" w14:textId="77777777" w:rsidTr="009C3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7694DEE7"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val="restart"/>
            <w:shd w:val="clear" w:color="auto" w:fill="auto"/>
          </w:tcPr>
          <w:p w14:paraId="48382CE4"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Management</w:t>
            </w:r>
          </w:p>
        </w:tc>
        <w:tc>
          <w:tcPr>
            <w:tcW w:w="951" w:type="dxa"/>
            <w:shd w:val="clear" w:color="auto" w:fill="auto"/>
          </w:tcPr>
          <w:p w14:paraId="2E1F131A"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1.2.1</w:t>
            </w:r>
          </w:p>
        </w:tc>
        <w:tc>
          <w:tcPr>
            <w:tcW w:w="3090" w:type="dxa"/>
            <w:shd w:val="clear" w:color="auto" w:fill="auto"/>
          </w:tcPr>
          <w:p w14:paraId="792C91FA"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Harvest Strategy</w:t>
            </w:r>
          </w:p>
        </w:tc>
        <w:tc>
          <w:tcPr>
            <w:tcW w:w="1111" w:type="dxa"/>
            <w:shd w:val="clear" w:color="auto" w:fill="auto"/>
          </w:tcPr>
          <w:p w14:paraId="3DE9133D" w14:textId="7C635631" w:rsidR="009A3D44" w:rsidRPr="009C3850" w:rsidRDefault="006D0D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&lt;60</w:t>
            </w:r>
          </w:p>
        </w:tc>
        <w:tc>
          <w:tcPr>
            <w:tcW w:w="1271" w:type="dxa"/>
            <w:shd w:val="clear" w:color="auto" w:fill="auto"/>
          </w:tcPr>
          <w:p w14:paraId="3193E8E6"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60-79</w:t>
            </w:r>
          </w:p>
        </w:tc>
        <w:tc>
          <w:tcPr>
            <w:tcW w:w="5851" w:type="dxa"/>
            <w:shd w:val="clear" w:color="auto" w:fill="auto"/>
          </w:tcPr>
          <w:p w14:paraId="125A7BF3"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The adopted management objectives of the Commission set out in Resolution 15/10 are to: </w:t>
            </w:r>
          </w:p>
          <w:p w14:paraId="3451DC30"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1) maintain the biomass at or above levels required to produce MSY or its proxy, </w:t>
            </w:r>
          </w:p>
          <w:p w14:paraId="4378FF25"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lastRenderedPageBreak/>
              <w:t xml:space="preserve">2) maintain the fishing mortality rate at or below FMSY or its proxy, and </w:t>
            </w:r>
          </w:p>
          <w:p w14:paraId="13E102E3"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3) avoid the biomass being below B</w:t>
            </w:r>
            <w:r w:rsidRPr="00053014">
              <w:rPr>
                <w:rFonts w:ascii="Times New Roman" w:hAnsi="Times New Roman" w:cs="Times New Roman"/>
                <w:color w:val="000000"/>
                <w:vertAlign w:val="subscript"/>
              </w:rPr>
              <w:t>LIM</w:t>
            </w:r>
            <w:r w:rsidRPr="009C3850">
              <w:rPr>
                <w:rFonts w:ascii="Times New Roman" w:hAnsi="Times New Roman" w:cs="Times New Roman"/>
                <w:color w:val="000000"/>
              </w:rPr>
              <w:t xml:space="preserve"> and the fishing mortality rate being above F</w:t>
            </w:r>
            <w:r w:rsidRPr="00053014">
              <w:rPr>
                <w:rFonts w:ascii="Times New Roman" w:hAnsi="Times New Roman" w:cs="Times New Roman"/>
                <w:color w:val="000000"/>
                <w:vertAlign w:val="subscript"/>
              </w:rPr>
              <w:t xml:space="preserve">LIM. </w:t>
            </w:r>
          </w:p>
          <w:p w14:paraId="3A388D24" w14:textId="0E004A0C"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This basic harvest strategy is understood and is expected to achieve stock management objectives consistent with BMSY. The strategy consists of periodic stock assessment updates (every three years) providing management advice. Current management resolutions being applied consist of managing FADs (Res. 19/02), maintaining a list of authorised vessels (Res. 19/04), banning discarding (Res. 19/05) and managing transshipment (Res. 19/06). Indirect effects of limiting yellowfin catches (Res. 19/01) </w:t>
            </w:r>
            <w:r w:rsidR="00053014">
              <w:rPr>
                <w:rFonts w:ascii="Times New Roman" w:hAnsi="Times New Roman" w:cs="Times New Roman"/>
                <w:color w:val="000000"/>
              </w:rPr>
              <w:t xml:space="preserve">and the use of FADs (Res. 19/02) </w:t>
            </w:r>
            <w:r w:rsidRPr="009C3850">
              <w:rPr>
                <w:rFonts w:ascii="Times New Roman" w:hAnsi="Times New Roman" w:cs="Times New Roman"/>
                <w:color w:val="000000"/>
              </w:rPr>
              <w:t>may also help limit exploitation on bigeye.</w:t>
            </w:r>
          </w:p>
          <w:p w14:paraId="268B6D47" w14:textId="553D8B4F"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In 2022, IOTC adopted a Management Procedure (MP) for bigeye in Resolution 22/03</w:t>
            </w:r>
            <w:r w:rsidR="0057289A">
              <w:rPr>
                <w:rFonts w:ascii="Times New Roman" w:hAnsi="Times New Roman" w:cs="Times New Roman"/>
                <w:color w:val="000000"/>
              </w:rPr>
              <w:t xml:space="preserve"> (</w:t>
            </w:r>
            <w:r w:rsidRPr="009C3850">
              <w:rPr>
                <w:rFonts w:ascii="Times New Roman" w:hAnsi="Times New Roman" w:cs="Times New Roman"/>
                <w:color w:val="000000"/>
              </w:rPr>
              <w:t>known as MP1 Harvest</w:t>
            </w:r>
            <w:r w:rsidR="0057289A">
              <w:rPr>
                <w:rFonts w:ascii="Times New Roman" w:hAnsi="Times New Roman" w:cs="Times New Roman"/>
                <w:color w:val="000000"/>
              </w:rPr>
              <w:t>)</w:t>
            </w:r>
            <w:r w:rsidRPr="009C3850">
              <w:rPr>
                <w:rFonts w:ascii="Times New Roman" w:hAnsi="Times New Roman" w:cs="Times New Roman"/>
                <w:color w:val="000000"/>
              </w:rPr>
              <w:t xml:space="preserve"> for setting </w:t>
            </w:r>
            <w:r w:rsidR="0057289A">
              <w:rPr>
                <w:rFonts w:ascii="Times New Roman" w:hAnsi="Times New Roman" w:cs="Times New Roman"/>
                <w:color w:val="000000"/>
              </w:rPr>
              <w:t>a</w:t>
            </w:r>
            <w:r w:rsidRPr="009C3850">
              <w:rPr>
                <w:rFonts w:ascii="Times New Roman" w:hAnsi="Times New Roman" w:cs="Times New Roman"/>
                <w:color w:val="000000"/>
              </w:rPr>
              <w:t xml:space="preserve"> TAC for </w:t>
            </w:r>
            <w:r w:rsidR="0057289A">
              <w:rPr>
                <w:rFonts w:ascii="Times New Roman" w:hAnsi="Times New Roman" w:cs="Times New Roman"/>
                <w:color w:val="000000"/>
              </w:rPr>
              <w:t xml:space="preserve">the species for the period </w:t>
            </w:r>
            <w:r w:rsidRPr="009C3850">
              <w:rPr>
                <w:rFonts w:ascii="Times New Roman" w:hAnsi="Times New Roman" w:cs="Times New Roman"/>
                <w:color w:val="000000"/>
              </w:rPr>
              <w:t>2024-2025. The management procedure is designed to achieve:</w:t>
            </w:r>
          </w:p>
          <w:p w14:paraId="4DEC1668"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a) a 60% probability that the bigeye tuna spawning stock biomass achieves the target reference point of SB</w:t>
            </w:r>
            <w:r w:rsidRPr="0057289A">
              <w:rPr>
                <w:rFonts w:ascii="Times New Roman" w:hAnsi="Times New Roman" w:cs="Times New Roman"/>
                <w:color w:val="000000"/>
                <w:vertAlign w:val="subscript"/>
              </w:rPr>
              <w:t>MSY</w:t>
            </w:r>
            <w:r w:rsidRPr="009C3850">
              <w:rPr>
                <w:rFonts w:ascii="Times New Roman" w:hAnsi="Times New Roman" w:cs="Times New Roman"/>
                <w:color w:val="000000"/>
              </w:rPr>
              <w:t xml:space="preserve"> by 2034-2038;</w:t>
            </w:r>
          </w:p>
          <w:p w14:paraId="752476E9"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b) the bigeye tuna spawning stock biomass avoids breaching the interim limit reference point specified in Resolution 15/10 with a high probability;</w:t>
            </w:r>
          </w:p>
          <w:p w14:paraId="12F2AE66"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and operates with the following constraint:</w:t>
            </w:r>
          </w:p>
          <w:p w14:paraId="03194C4F"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c) the maximum increase or decrease in the TAC shall be 15% relative to the previous TAC.</w:t>
            </w:r>
          </w:p>
          <w:p w14:paraId="7C913096" w14:textId="08F7C93D"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Based on that resolution it is considered that</w:t>
            </w:r>
            <w:r w:rsidRPr="009C3850">
              <w:rPr>
                <w:rFonts w:ascii="Times New Roman" w:hAnsi="Times New Roman" w:cs="Times New Roman"/>
                <w:b/>
                <w:color w:val="000000"/>
              </w:rPr>
              <w:t xml:space="preserve"> SG</w:t>
            </w:r>
            <w:r w:rsidR="00161853">
              <w:rPr>
                <w:rFonts w:ascii="Times New Roman" w:hAnsi="Times New Roman" w:cs="Times New Roman"/>
                <w:b/>
                <w:color w:val="000000"/>
              </w:rPr>
              <w:t>6</w:t>
            </w:r>
            <w:r w:rsidRPr="009C3850">
              <w:rPr>
                <w:rFonts w:ascii="Times New Roman" w:hAnsi="Times New Roman" w:cs="Times New Roman"/>
                <w:b/>
                <w:color w:val="000000"/>
              </w:rPr>
              <w:t>0 is met</w:t>
            </w:r>
            <w:r w:rsidR="00B70424">
              <w:rPr>
                <w:rFonts w:ascii="Times New Roman" w:hAnsi="Times New Roman" w:cs="Times New Roman"/>
                <w:b/>
                <w:color w:val="000000"/>
              </w:rPr>
              <w:t>.</w:t>
            </w:r>
            <w:r w:rsidR="00B70424" w:rsidRPr="00183707">
              <w:rPr>
                <w:rFonts w:ascii="Times New Roman" w:hAnsi="Times New Roman" w:cs="Times New Roman"/>
                <w:bCs/>
                <w:color w:val="000000"/>
              </w:rPr>
              <w:t xml:space="preserve"> The IOTC Commission adopted a management procedure for bigeye tuna at its 26th session in 2022 (IOTC-2022-S26-RE). The TAC for 2024 and 2025 were set under Resolution 23/04 by the IOTC Commission in May 2023.</w:t>
            </w:r>
            <w:r w:rsidR="00B70424" w:rsidRPr="00B70424">
              <w:rPr>
                <w:rFonts w:ascii="Times New Roman" w:hAnsi="Times New Roman" w:cs="Times New Roman"/>
                <w:b/>
                <w:color w:val="000000"/>
              </w:rPr>
              <w:t xml:space="preserve"> </w:t>
            </w:r>
            <w:r w:rsidR="00161853">
              <w:rPr>
                <w:rFonts w:ascii="Times New Roman" w:hAnsi="Times New Roman" w:cs="Times New Roman"/>
                <w:b/>
                <w:color w:val="000000"/>
              </w:rPr>
              <w:t xml:space="preserve"> </w:t>
            </w:r>
            <w:r w:rsidR="00B70424">
              <w:rPr>
                <w:rFonts w:ascii="Times New Roman" w:hAnsi="Times New Roman" w:cs="Times New Roman"/>
                <w:bCs/>
                <w:color w:val="000000"/>
              </w:rPr>
              <w:t>B</w:t>
            </w:r>
            <w:r w:rsidR="00161853" w:rsidRPr="00161853">
              <w:rPr>
                <w:rFonts w:ascii="Times New Roman" w:hAnsi="Times New Roman" w:cs="Times New Roman"/>
                <w:bCs/>
                <w:color w:val="000000"/>
              </w:rPr>
              <w:t>ut</w:t>
            </w:r>
            <w:r w:rsidR="00DD3118">
              <w:rPr>
                <w:rFonts w:ascii="Times New Roman" w:hAnsi="Times New Roman" w:cs="Times New Roman"/>
                <w:bCs/>
                <w:color w:val="000000"/>
              </w:rPr>
              <w:t xml:space="preserve"> </w:t>
            </w:r>
            <w:r w:rsidR="001B7306">
              <w:rPr>
                <w:rFonts w:ascii="Times New Roman" w:hAnsi="Times New Roman" w:cs="Times New Roman"/>
                <w:bCs/>
                <w:color w:val="000000"/>
              </w:rPr>
              <w:t>due to the rec</w:t>
            </w:r>
            <w:r w:rsidR="00325003">
              <w:rPr>
                <w:rFonts w:ascii="Times New Roman" w:hAnsi="Times New Roman" w:cs="Times New Roman"/>
                <w:bCs/>
                <w:color w:val="000000"/>
              </w:rPr>
              <w:t>e</w:t>
            </w:r>
            <w:r w:rsidR="001B7306">
              <w:rPr>
                <w:rFonts w:ascii="Times New Roman" w:hAnsi="Times New Roman" w:cs="Times New Roman"/>
                <w:bCs/>
                <w:color w:val="000000"/>
              </w:rPr>
              <w:t xml:space="preserve">nt </w:t>
            </w:r>
            <w:r w:rsidR="001B7306">
              <w:rPr>
                <w:rFonts w:ascii="Times New Roman" w:hAnsi="Times New Roman" w:cs="Times New Roman"/>
                <w:bCs/>
                <w:color w:val="000000"/>
              </w:rPr>
              <w:lastRenderedPageBreak/>
              <w:t xml:space="preserve">implementation of the TAC, </w:t>
            </w:r>
            <w:r w:rsidR="00161853" w:rsidRPr="00161853">
              <w:rPr>
                <w:rFonts w:ascii="Times New Roman" w:hAnsi="Times New Roman" w:cs="Times New Roman"/>
                <w:bCs/>
                <w:color w:val="000000"/>
              </w:rPr>
              <w:t>no evidence exists</w:t>
            </w:r>
            <w:r w:rsidR="001B7306">
              <w:rPr>
                <w:rFonts w:ascii="Times New Roman" w:hAnsi="Times New Roman" w:cs="Times New Roman"/>
                <w:bCs/>
                <w:color w:val="000000"/>
              </w:rPr>
              <w:t xml:space="preserve"> </w:t>
            </w:r>
            <w:r w:rsidR="00161853" w:rsidRPr="00161853">
              <w:rPr>
                <w:rFonts w:ascii="Times New Roman" w:hAnsi="Times New Roman" w:cs="Times New Roman"/>
                <w:bCs/>
                <w:color w:val="000000"/>
              </w:rPr>
              <w:t>that it is achieving its objectives</w:t>
            </w:r>
            <w:r w:rsidR="00325003">
              <w:rPr>
                <w:rFonts w:ascii="Times New Roman" w:hAnsi="Times New Roman" w:cs="Times New Roman"/>
                <w:bCs/>
                <w:color w:val="000000"/>
              </w:rPr>
              <w:t xml:space="preserve"> yet</w:t>
            </w:r>
            <w:r w:rsidR="00161853" w:rsidRPr="00161853">
              <w:rPr>
                <w:rFonts w:ascii="Times New Roman" w:hAnsi="Times New Roman" w:cs="Times New Roman"/>
                <w:bCs/>
                <w:color w:val="000000"/>
              </w:rPr>
              <w:t xml:space="preserve"> (1.2.1.b),</w:t>
            </w:r>
            <w:r w:rsidR="00161853">
              <w:rPr>
                <w:rFonts w:ascii="Times New Roman" w:hAnsi="Times New Roman" w:cs="Times New Roman"/>
                <w:b/>
                <w:color w:val="000000"/>
              </w:rPr>
              <w:t xml:space="preserve"> SG80 is not met</w:t>
            </w:r>
            <w:r w:rsidRPr="009C3850">
              <w:rPr>
                <w:rFonts w:ascii="Times New Roman" w:hAnsi="Times New Roman" w:cs="Times New Roman"/>
                <w:color w:val="000000"/>
              </w:rPr>
              <w:t>.</w:t>
            </w:r>
          </w:p>
        </w:tc>
      </w:tr>
      <w:tr w:rsidR="009A3D44" w:rsidRPr="009C3850" w14:paraId="20D40C95" w14:textId="77777777" w:rsidTr="009C3850">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09C95504"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0BCF26F7" w14:textId="77777777" w:rsidR="009A3D44" w:rsidRPr="009C3850" w:rsidRDefault="009A3D44">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25168129"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1.2.2</w:t>
            </w:r>
          </w:p>
        </w:tc>
        <w:tc>
          <w:tcPr>
            <w:tcW w:w="3090" w:type="dxa"/>
            <w:shd w:val="clear" w:color="auto" w:fill="auto"/>
          </w:tcPr>
          <w:p w14:paraId="6B65DAE8"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Harvest control rules and tools</w:t>
            </w:r>
          </w:p>
        </w:tc>
        <w:tc>
          <w:tcPr>
            <w:tcW w:w="1111" w:type="dxa"/>
            <w:shd w:val="clear" w:color="auto" w:fill="auto"/>
          </w:tcPr>
          <w:p w14:paraId="3D8BEE64" w14:textId="121375BA" w:rsidR="009A3D44" w:rsidRPr="009C3850" w:rsidRDefault="006D0D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&lt;60</w:t>
            </w:r>
          </w:p>
        </w:tc>
        <w:tc>
          <w:tcPr>
            <w:tcW w:w="1271" w:type="dxa"/>
            <w:shd w:val="clear" w:color="auto" w:fill="auto"/>
          </w:tcPr>
          <w:p w14:paraId="3C4552C3" w14:textId="340BD31A" w:rsidR="009A3D44" w:rsidRPr="009C3850" w:rsidRDefault="001618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&lt;60</w:t>
            </w:r>
          </w:p>
        </w:tc>
        <w:tc>
          <w:tcPr>
            <w:tcW w:w="5851" w:type="dxa"/>
            <w:shd w:val="clear" w:color="auto" w:fill="auto"/>
          </w:tcPr>
          <w:p w14:paraId="64C28003" w14:textId="1C56FA91"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As indicated </w:t>
            </w:r>
            <w:r w:rsidR="0057289A">
              <w:rPr>
                <w:rFonts w:ascii="Times New Roman" w:hAnsi="Times New Roman" w:cs="Times New Roman"/>
                <w:color w:val="000000"/>
              </w:rPr>
              <w:t xml:space="preserve">above, in 2022 </w:t>
            </w:r>
            <w:r w:rsidR="0057289A" w:rsidRPr="0057289A">
              <w:rPr>
                <w:rFonts w:ascii="Times New Roman" w:hAnsi="Times New Roman" w:cs="Times New Roman"/>
                <w:color w:val="000000"/>
              </w:rPr>
              <w:t>IOTC adopted a Management Procedure (MP) for bigeye in Resolution 22/03 (known as MP1 Harvest) for setting a TAC for the species for the period 2024-2025</w:t>
            </w:r>
            <w:r w:rsidR="0057289A">
              <w:rPr>
                <w:rFonts w:ascii="Times New Roman" w:hAnsi="Times New Roman" w:cs="Times New Roman"/>
                <w:color w:val="000000"/>
              </w:rPr>
              <w:t xml:space="preserve">. </w:t>
            </w:r>
            <w:proofErr w:type="gramStart"/>
            <w:r w:rsidR="0057289A">
              <w:rPr>
                <w:rFonts w:ascii="Times New Roman" w:hAnsi="Times New Roman" w:cs="Times New Roman"/>
                <w:color w:val="000000"/>
              </w:rPr>
              <w:t>A</w:t>
            </w:r>
            <w:proofErr w:type="gramEnd"/>
            <w:r w:rsidR="0057289A">
              <w:rPr>
                <w:rFonts w:ascii="Times New Roman" w:hAnsi="Times New Roman" w:cs="Times New Roman"/>
                <w:color w:val="000000"/>
              </w:rPr>
              <w:t xml:space="preserve"> </w:t>
            </w:r>
            <w:r w:rsidR="0057289A" w:rsidRPr="0057289A">
              <w:rPr>
                <w:rFonts w:ascii="Times New Roman" w:hAnsi="Times New Roman" w:cs="Times New Roman"/>
                <w:color w:val="000000"/>
              </w:rPr>
              <w:t xml:space="preserve">80,583 t/year </w:t>
            </w:r>
            <w:r w:rsidR="0057289A">
              <w:rPr>
                <w:rFonts w:ascii="Times New Roman" w:hAnsi="Times New Roman" w:cs="Times New Roman"/>
                <w:color w:val="000000"/>
              </w:rPr>
              <w:t xml:space="preserve">TAC has been set </w:t>
            </w:r>
            <w:r w:rsidR="0057289A" w:rsidRPr="0057289A">
              <w:rPr>
                <w:rFonts w:ascii="Times New Roman" w:hAnsi="Times New Roman" w:cs="Times New Roman"/>
                <w:color w:val="000000"/>
              </w:rPr>
              <w:t>for the period 2024-2025</w:t>
            </w:r>
            <w:r w:rsidRPr="009C3850">
              <w:rPr>
                <w:rFonts w:ascii="Times New Roman" w:hAnsi="Times New Roman" w:cs="Times New Roman"/>
                <w:color w:val="000000"/>
              </w:rPr>
              <w:t>. After 2025, the TAC will be applied in each of the subsequent three years following the year it is set by the Commission (ISSF 2023).</w:t>
            </w:r>
          </w:p>
          <w:p w14:paraId="14B5E249" w14:textId="1FADA364" w:rsidR="009A3D44" w:rsidRPr="009C3850" w:rsidRDefault="00A37C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Resolution 23/04 adopted at the 27</w:t>
            </w:r>
            <w:r w:rsidRPr="005E3385">
              <w:rPr>
                <w:rFonts w:ascii="Times New Roman" w:hAnsi="Times New Roman" w:cs="Times New Roman"/>
                <w:color w:val="000000"/>
                <w:vertAlign w:val="superscript"/>
              </w:rPr>
              <w:t>th</w:t>
            </w:r>
            <w:r>
              <w:rPr>
                <w:rFonts w:ascii="Times New Roman" w:hAnsi="Times New Roman" w:cs="Times New Roman"/>
                <w:color w:val="000000"/>
              </w:rPr>
              <w:t xml:space="preserve"> </w:t>
            </w:r>
            <w:r w:rsidR="00721E0E">
              <w:rPr>
                <w:rFonts w:ascii="Times New Roman" w:hAnsi="Times New Roman" w:cs="Times New Roman"/>
                <w:color w:val="000000"/>
              </w:rPr>
              <w:t>commission adopted a TAC for BET for the years 2024 and 2025</w:t>
            </w:r>
            <w:r w:rsidR="005E3385">
              <w:rPr>
                <w:rFonts w:ascii="Times New Roman" w:hAnsi="Times New Roman" w:cs="Times New Roman"/>
                <w:color w:val="000000"/>
              </w:rPr>
              <w:t xml:space="preserve"> but no specific restrictions are set</w:t>
            </w:r>
            <w:r w:rsidR="00810618">
              <w:rPr>
                <w:rFonts w:ascii="Times New Roman" w:hAnsi="Times New Roman" w:cs="Times New Roman"/>
                <w:color w:val="000000"/>
              </w:rPr>
              <w:t xml:space="preserve"> </w:t>
            </w:r>
            <w:r w:rsidR="004B0557">
              <w:rPr>
                <w:rFonts w:ascii="Times New Roman" w:hAnsi="Times New Roman" w:cs="Times New Roman"/>
                <w:color w:val="000000"/>
              </w:rPr>
              <w:t xml:space="preserve">in the resolution </w:t>
            </w:r>
            <w:r w:rsidR="00810618">
              <w:rPr>
                <w:rFonts w:ascii="Times New Roman" w:hAnsi="Times New Roman" w:cs="Times New Roman"/>
                <w:color w:val="000000"/>
              </w:rPr>
              <w:t>to reduce fishing effort</w:t>
            </w:r>
            <w:r w:rsidR="00721E0E">
              <w:rPr>
                <w:rFonts w:ascii="Times New Roman" w:hAnsi="Times New Roman" w:cs="Times New Roman"/>
                <w:color w:val="000000"/>
              </w:rPr>
              <w:t xml:space="preserve">. </w:t>
            </w:r>
            <w:r w:rsidR="005E3385">
              <w:rPr>
                <w:rFonts w:ascii="Times New Roman" w:hAnsi="Times New Roman" w:cs="Times New Roman"/>
                <w:color w:val="000000"/>
              </w:rPr>
              <w:t>O</w:t>
            </w:r>
            <w:r w:rsidR="000F7B40">
              <w:rPr>
                <w:rFonts w:ascii="Times New Roman" w:hAnsi="Times New Roman" w:cs="Times New Roman"/>
                <w:color w:val="000000"/>
              </w:rPr>
              <w:t xml:space="preserve">ther measures in place </w:t>
            </w:r>
            <w:r w:rsidR="005E3385">
              <w:rPr>
                <w:rFonts w:ascii="Times New Roman" w:hAnsi="Times New Roman" w:cs="Times New Roman"/>
                <w:color w:val="000000"/>
              </w:rPr>
              <w:t xml:space="preserve">in the area </w:t>
            </w:r>
            <w:r w:rsidR="00861226">
              <w:rPr>
                <w:rFonts w:ascii="Times New Roman" w:hAnsi="Times New Roman" w:cs="Times New Roman"/>
                <w:color w:val="000000"/>
              </w:rPr>
              <w:t>are</w:t>
            </w:r>
            <w:r w:rsidR="000F7B40">
              <w:rPr>
                <w:rFonts w:ascii="Times New Roman" w:hAnsi="Times New Roman" w:cs="Times New Roman"/>
                <w:color w:val="000000"/>
              </w:rPr>
              <w:t xml:space="preserve"> R</w:t>
            </w:r>
            <w:r w:rsidR="00BE1A09" w:rsidRPr="009C3850">
              <w:rPr>
                <w:rFonts w:ascii="Times New Roman" w:hAnsi="Times New Roman" w:cs="Times New Roman"/>
                <w:color w:val="000000"/>
              </w:rPr>
              <w:t>esolution 21/01 on yellowfin request CPCs to gradually reduce supply vessels by 31 December 2022. Resolution 19/05 establishes a ban on discards of bigeye, skipjack and yellowfin tuna by purse seine vessels. Resolution 19/02 established procedures on a FADs management plan, including a limit of 300 operational buoys at sea at any one time per vessel</w:t>
            </w:r>
            <w:r w:rsidR="0057289A">
              <w:rPr>
                <w:rFonts w:ascii="Times New Roman" w:hAnsi="Times New Roman" w:cs="Times New Roman"/>
                <w:color w:val="000000"/>
              </w:rPr>
              <w:t>.</w:t>
            </w:r>
            <w:r w:rsidR="00BE1A09" w:rsidRPr="009C3850">
              <w:rPr>
                <w:rFonts w:ascii="Times New Roman" w:hAnsi="Times New Roman" w:cs="Times New Roman"/>
                <w:color w:val="000000"/>
              </w:rPr>
              <w:t xml:space="preserve"> </w:t>
            </w:r>
            <w:r w:rsidR="0057289A">
              <w:rPr>
                <w:rFonts w:ascii="Times New Roman" w:hAnsi="Times New Roman" w:cs="Times New Roman"/>
                <w:color w:val="000000"/>
              </w:rPr>
              <w:t xml:space="preserve">It is understood that those measures would help to reduce the catch of bigeye, although their </w:t>
            </w:r>
            <w:r w:rsidR="00810618">
              <w:rPr>
                <w:rFonts w:ascii="Times New Roman" w:hAnsi="Times New Roman" w:cs="Times New Roman"/>
                <w:color w:val="000000"/>
              </w:rPr>
              <w:t>effectiveness</w:t>
            </w:r>
            <w:r w:rsidR="0057289A">
              <w:rPr>
                <w:rFonts w:ascii="Times New Roman" w:hAnsi="Times New Roman" w:cs="Times New Roman"/>
                <w:color w:val="000000"/>
              </w:rPr>
              <w:t xml:space="preserve"> </w:t>
            </w:r>
            <w:r w:rsidR="00810618">
              <w:rPr>
                <w:rFonts w:ascii="Times New Roman" w:hAnsi="Times New Roman" w:cs="Times New Roman"/>
                <w:color w:val="000000"/>
              </w:rPr>
              <w:t xml:space="preserve">so far </w:t>
            </w:r>
            <w:r w:rsidR="0057289A">
              <w:rPr>
                <w:rFonts w:ascii="Times New Roman" w:hAnsi="Times New Roman" w:cs="Times New Roman"/>
                <w:color w:val="000000"/>
              </w:rPr>
              <w:t>is unknown.</w:t>
            </w:r>
          </w:p>
          <w:p w14:paraId="20B6D347" w14:textId="28D85B9E" w:rsidR="009A3D44" w:rsidRPr="009C3850" w:rsidRDefault="00DD31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However, there is </w:t>
            </w:r>
            <w:r w:rsidR="0013009D">
              <w:rPr>
                <w:rFonts w:ascii="Times New Roman" w:hAnsi="Times New Roman" w:cs="Times New Roman"/>
                <w:color w:val="000000"/>
              </w:rPr>
              <w:t>no</w:t>
            </w:r>
            <w:r>
              <w:rPr>
                <w:rFonts w:ascii="Times New Roman" w:hAnsi="Times New Roman" w:cs="Times New Roman"/>
                <w:color w:val="000000"/>
              </w:rPr>
              <w:t xml:space="preserve"> a</w:t>
            </w:r>
            <w:r w:rsidRPr="00DD3118">
              <w:rPr>
                <w:rFonts w:ascii="Times New Roman" w:hAnsi="Times New Roman" w:cs="Times New Roman"/>
                <w:color w:val="000000"/>
              </w:rPr>
              <w:t>vailable evidence indicat</w:t>
            </w:r>
            <w:r w:rsidR="0013009D">
              <w:rPr>
                <w:rFonts w:ascii="Times New Roman" w:hAnsi="Times New Roman" w:cs="Times New Roman"/>
                <w:color w:val="000000"/>
              </w:rPr>
              <w:t>ing</w:t>
            </w:r>
            <w:r w:rsidRPr="00DD3118">
              <w:rPr>
                <w:rFonts w:ascii="Times New Roman" w:hAnsi="Times New Roman" w:cs="Times New Roman"/>
                <w:color w:val="000000"/>
              </w:rPr>
              <w:t xml:space="preserve"> that the tools in use are appropriate and effective in achieving the exploitation levels required under the HCRs</w:t>
            </w:r>
            <w:r>
              <w:rPr>
                <w:rFonts w:ascii="Times New Roman" w:hAnsi="Times New Roman" w:cs="Times New Roman"/>
                <w:color w:val="000000"/>
              </w:rPr>
              <w:t xml:space="preserve"> (the IOTC has struggle</w:t>
            </w:r>
            <w:r w:rsidR="00861226">
              <w:rPr>
                <w:rFonts w:ascii="Times New Roman" w:hAnsi="Times New Roman" w:cs="Times New Roman"/>
                <w:color w:val="000000"/>
              </w:rPr>
              <w:t>d</w:t>
            </w:r>
            <w:r>
              <w:rPr>
                <w:rFonts w:ascii="Times New Roman" w:hAnsi="Times New Roman" w:cs="Times New Roman"/>
                <w:color w:val="000000"/>
              </w:rPr>
              <w:t xml:space="preserve"> to enforce catch limits for YFT and SKJ)</w:t>
            </w:r>
            <w:r w:rsidRPr="00DD3118">
              <w:rPr>
                <w:rFonts w:ascii="Times New Roman" w:hAnsi="Times New Roman" w:cs="Times New Roman"/>
                <w:color w:val="000000"/>
              </w:rPr>
              <w:t>.</w:t>
            </w:r>
            <w:r>
              <w:rPr>
                <w:rFonts w:ascii="Times New Roman" w:hAnsi="Times New Roman" w:cs="Times New Roman"/>
                <w:color w:val="000000"/>
              </w:rPr>
              <w:t xml:space="preserve"> </w:t>
            </w:r>
            <w:r w:rsidR="00161853" w:rsidRPr="00161853">
              <w:rPr>
                <w:rFonts w:ascii="Times New Roman" w:hAnsi="Times New Roman" w:cs="Times New Roman"/>
                <w:b/>
                <w:bCs/>
                <w:color w:val="000000"/>
              </w:rPr>
              <w:t>SG60 is not met</w:t>
            </w:r>
            <w:r w:rsidR="00161853">
              <w:rPr>
                <w:rFonts w:ascii="Times New Roman" w:hAnsi="Times New Roman" w:cs="Times New Roman"/>
                <w:color w:val="000000"/>
              </w:rPr>
              <w:t>.</w:t>
            </w:r>
          </w:p>
        </w:tc>
      </w:tr>
      <w:tr w:rsidR="009A3D44" w:rsidRPr="009C3850" w14:paraId="53169F7C" w14:textId="77777777" w:rsidTr="009C3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01F3760B"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7404232A" w14:textId="77777777" w:rsidR="009A3D44" w:rsidRPr="009C3850" w:rsidRDefault="009A3D44">
            <w:pPr>
              <w:widowControl w:val="0"/>
              <w:pBdr>
                <w:top w:val="nil"/>
                <w:left w:val="nil"/>
                <w:bottom w:val="nil"/>
                <w:right w:val="nil"/>
                <w:between w:val="nil"/>
              </w:pBdr>
              <w:spacing w:before="0"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5DC5F1AD"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1.2.3</w:t>
            </w:r>
          </w:p>
        </w:tc>
        <w:tc>
          <w:tcPr>
            <w:tcW w:w="3090" w:type="dxa"/>
            <w:shd w:val="clear" w:color="auto" w:fill="auto"/>
          </w:tcPr>
          <w:p w14:paraId="0DD56E84"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Information and monitoring</w:t>
            </w:r>
          </w:p>
        </w:tc>
        <w:tc>
          <w:tcPr>
            <w:tcW w:w="1111" w:type="dxa"/>
            <w:shd w:val="clear" w:color="auto" w:fill="auto"/>
          </w:tcPr>
          <w:p w14:paraId="4FFD6A4F"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1271" w:type="dxa"/>
            <w:shd w:val="clear" w:color="auto" w:fill="auto"/>
          </w:tcPr>
          <w:p w14:paraId="47E446EB"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5851" w:type="dxa"/>
            <w:shd w:val="clear" w:color="auto" w:fill="auto"/>
          </w:tcPr>
          <w:p w14:paraId="1B8186A1" w14:textId="7506830B"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The IOTC-2023-WPTT25(DP)-07.1_Rev1 summarizes the standing of a range of data and statistics received by the IOTC Secretariat for tropical tunas. Data available includes information on catches, geo-referenced catch and effort data, size frequency data, tagging data, socio-economic data. A scoring system has been implemented to assess the quality of the retained catch, catch-effort, and size-frequency data available at the Secretariat for all IOTC species. </w:t>
            </w:r>
            <w:r w:rsidR="0013009D" w:rsidRPr="009C3850">
              <w:rPr>
                <w:rFonts w:ascii="Times New Roman" w:hAnsi="Times New Roman" w:cs="Times New Roman"/>
                <w:color w:val="000000"/>
              </w:rPr>
              <w:t>Overall,</w:t>
            </w:r>
            <w:r w:rsidRPr="009C3850">
              <w:rPr>
                <w:rFonts w:ascii="Times New Roman" w:hAnsi="Times New Roman" w:cs="Times New Roman"/>
                <w:color w:val="000000"/>
              </w:rPr>
              <w:t xml:space="preserve"> the reporting quality for industrial fisheries covered by this FIP is better than artisanal fisheries, mostly because larger vessels are </w:t>
            </w:r>
            <w:r w:rsidRPr="009C3850">
              <w:rPr>
                <w:rFonts w:ascii="Times New Roman" w:hAnsi="Times New Roman" w:cs="Times New Roman"/>
                <w:color w:val="000000"/>
              </w:rPr>
              <w:lastRenderedPageBreak/>
              <w:t xml:space="preserve">generally monitored with logbooks and recording systems at landing. Some issues were identified for the reporting of YFT and BET in the EU fleet but it is considered that the available information is broadly adequate to assess the status of both stocks and support the harvest strategy. </w:t>
            </w:r>
            <w:r w:rsidRPr="009C3850">
              <w:rPr>
                <w:rFonts w:ascii="Times New Roman" w:hAnsi="Times New Roman" w:cs="Times New Roman"/>
                <w:b/>
                <w:color w:val="000000"/>
              </w:rPr>
              <w:t>SG80 is met.</w:t>
            </w:r>
          </w:p>
        </w:tc>
      </w:tr>
      <w:tr w:rsidR="009A3D44" w:rsidRPr="009C3850" w14:paraId="43B3951C" w14:textId="77777777" w:rsidTr="009C3850">
        <w:trPr>
          <w:trHeight w:val="274"/>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25F13F73"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331BEBBB" w14:textId="77777777" w:rsidR="009A3D44" w:rsidRPr="009C3850" w:rsidRDefault="009A3D44">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512F2D50"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1.2.4</w:t>
            </w:r>
          </w:p>
        </w:tc>
        <w:tc>
          <w:tcPr>
            <w:tcW w:w="3090" w:type="dxa"/>
            <w:shd w:val="clear" w:color="auto" w:fill="auto"/>
          </w:tcPr>
          <w:p w14:paraId="19EA41BD"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Assessment of stock status</w:t>
            </w:r>
          </w:p>
        </w:tc>
        <w:tc>
          <w:tcPr>
            <w:tcW w:w="1111" w:type="dxa"/>
            <w:shd w:val="clear" w:color="auto" w:fill="auto"/>
          </w:tcPr>
          <w:p w14:paraId="4AE8A3CF"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1271" w:type="dxa"/>
            <w:shd w:val="clear" w:color="auto" w:fill="auto"/>
          </w:tcPr>
          <w:p w14:paraId="59E12639"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5851" w:type="dxa"/>
            <w:shd w:val="clear" w:color="auto" w:fill="auto"/>
          </w:tcPr>
          <w:p w14:paraId="2D84335F"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In 2022 a new stock assessment was carried out for bigeye tuna in the IOTC area of competence to update the stock assessment undertaken in 2019. Two models were applied to the bigeye stock (Statistical Catch at Size (SCAS) and Stock Synthesis (SS3)), with the SS3 stock assessment selected to provide scientific advice. The reported stock status is based on a grid of 24 model configurations designed to capture the uncertainty on stock recruitment relationship, longline selectivity, growth and natural mortality. </w:t>
            </w:r>
            <w:r w:rsidRPr="009C3850">
              <w:rPr>
                <w:rFonts w:ascii="Times New Roman" w:hAnsi="Times New Roman" w:cs="Times New Roman"/>
                <w:b/>
                <w:color w:val="000000"/>
              </w:rPr>
              <w:t>SG80 is met.</w:t>
            </w:r>
          </w:p>
        </w:tc>
      </w:tr>
      <w:tr w:rsidR="009A3D44" w:rsidRPr="009C3850" w14:paraId="537146FB" w14:textId="77777777" w:rsidTr="009C3850">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234" w:type="dxa"/>
            <w:vMerge w:val="restart"/>
            <w:shd w:val="clear" w:color="auto" w:fill="auto"/>
          </w:tcPr>
          <w:p w14:paraId="5B6C2597" w14:textId="77777777" w:rsidR="009A3D44" w:rsidRPr="009C3850" w:rsidRDefault="00BE1A09">
            <w:pPr>
              <w:jc w:val="center"/>
              <w:rPr>
                <w:rFonts w:ascii="Times New Roman" w:hAnsi="Times New Roman" w:cs="Times New Roman"/>
              </w:rPr>
            </w:pPr>
            <w:r w:rsidRPr="009C3850">
              <w:rPr>
                <w:rFonts w:ascii="Times New Roman" w:hAnsi="Times New Roman" w:cs="Times New Roman"/>
              </w:rPr>
              <w:t>2</w:t>
            </w:r>
          </w:p>
          <w:p w14:paraId="5EEB0A90" w14:textId="77777777" w:rsidR="009A3D44" w:rsidRPr="009C3850" w:rsidRDefault="009A3D44">
            <w:pPr>
              <w:jc w:val="center"/>
              <w:rPr>
                <w:rFonts w:ascii="Times New Roman" w:hAnsi="Times New Roman" w:cs="Times New Roman"/>
              </w:rPr>
            </w:pPr>
          </w:p>
          <w:p w14:paraId="7A01280D" w14:textId="77777777" w:rsidR="009A3D44" w:rsidRPr="009C3850" w:rsidRDefault="009A3D44">
            <w:pPr>
              <w:jc w:val="center"/>
              <w:rPr>
                <w:rFonts w:ascii="Times New Roman" w:hAnsi="Times New Roman" w:cs="Times New Roman"/>
              </w:rPr>
            </w:pPr>
          </w:p>
        </w:tc>
        <w:tc>
          <w:tcPr>
            <w:tcW w:w="1880" w:type="dxa"/>
            <w:vMerge w:val="restart"/>
            <w:shd w:val="clear" w:color="auto" w:fill="auto"/>
          </w:tcPr>
          <w:p w14:paraId="196A7096"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Primary species</w:t>
            </w:r>
          </w:p>
        </w:tc>
        <w:tc>
          <w:tcPr>
            <w:tcW w:w="951" w:type="dxa"/>
            <w:shd w:val="clear" w:color="auto" w:fill="auto"/>
          </w:tcPr>
          <w:p w14:paraId="236DF9B2"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2.1.1</w:t>
            </w:r>
          </w:p>
        </w:tc>
        <w:tc>
          <w:tcPr>
            <w:tcW w:w="3090" w:type="dxa"/>
            <w:shd w:val="clear" w:color="auto" w:fill="auto"/>
          </w:tcPr>
          <w:p w14:paraId="4D10D4EA"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Outcome</w:t>
            </w:r>
          </w:p>
        </w:tc>
        <w:tc>
          <w:tcPr>
            <w:tcW w:w="1111" w:type="dxa"/>
            <w:shd w:val="clear" w:color="auto" w:fill="auto"/>
          </w:tcPr>
          <w:p w14:paraId="19C4F824"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1271" w:type="dxa"/>
            <w:shd w:val="clear" w:color="auto" w:fill="auto"/>
          </w:tcPr>
          <w:p w14:paraId="34703C78"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5851" w:type="dxa"/>
            <w:shd w:val="clear" w:color="auto" w:fill="auto"/>
          </w:tcPr>
          <w:p w14:paraId="50CC94B2" w14:textId="0A6173F8"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No primary species were identified during the pre-assessment.</w:t>
            </w:r>
            <w:r w:rsidR="0048099F">
              <w:rPr>
                <w:rFonts w:ascii="Times New Roman" w:hAnsi="Times New Roman" w:cs="Times New Roman"/>
                <w:color w:val="000000"/>
              </w:rPr>
              <w:t xml:space="preserve"> However, skipjack, Yellowfin and bigeye must be considered primary main under the </w:t>
            </w:r>
            <w:proofErr w:type="spellStart"/>
            <w:r w:rsidR="0048099F">
              <w:rPr>
                <w:rFonts w:ascii="Times New Roman" w:hAnsi="Times New Roman" w:cs="Times New Roman"/>
                <w:color w:val="000000"/>
              </w:rPr>
              <w:t>UoAs</w:t>
            </w:r>
            <w:proofErr w:type="spellEnd"/>
            <w:r w:rsidR="0048099F">
              <w:rPr>
                <w:rFonts w:ascii="Times New Roman" w:hAnsi="Times New Roman" w:cs="Times New Roman"/>
                <w:color w:val="000000"/>
              </w:rPr>
              <w:t xml:space="preserve"> which they are not the target species. According to the information presented in P1, for the three species </w:t>
            </w:r>
            <w:r w:rsidR="00CD0C30">
              <w:rPr>
                <w:rFonts w:ascii="Times New Roman" w:hAnsi="Times New Roman" w:cs="Times New Roman"/>
                <w:color w:val="000000"/>
              </w:rPr>
              <w:t xml:space="preserve">it </w:t>
            </w:r>
            <w:r w:rsidR="0048099F">
              <w:rPr>
                <w:rFonts w:ascii="Times New Roman" w:hAnsi="Times New Roman" w:cs="Times New Roman"/>
                <w:color w:val="000000"/>
              </w:rPr>
              <w:t xml:space="preserve">is highly likely </w:t>
            </w:r>
            <w:r w:rsidR="0048099F" w:rsidRPr="0048099F">
              <w:rPr>
                <w:rFonts w:ascii="Times New Roman" w:hAnsi="Times New Roman" w:cs="Times New Roman"/>
                <w:color w:val="000000"/>
              </w:rPr>
              <w:t>(80th percentile) that the stock</w:t>
            </w:r>
            <w:r w:rsidR="00CD0C30">
              <w:rPr>
                <w:rFonts w:ascii="Times New Roman" w:hAnsi="Times New Roman" w:cs="Times New Roman"/>
                <w:color w:val="000000"/>
              </w:rPr>
              <w:t>s</w:t>
            </w:r>
            <w:r w:rsidR="0048099F" w:rsidRPr="0048099F">
              <w:rPr>
                <w:rFonts w:ascii="Times New Roman" w:hAnsi="Times New Roman" w:cs="Times New Roman"/>
                <w:color w:val="000000"/>
              </w:rPr>
              <w:t xml:space="preserve"> </w:t>
            </w:r>
            <w:r w:rsidR="00CD0C30">
              <w:rPr>
                <w:rFonts w:ascii="Times New Roman" w:hAnsi="Times New Roman" w:cs="Times New Roman"/>
                <w:color w:val="000000"/>
              </w:rPr>
              <w:t>are</w:t>
            </w:r>
            <w:r w:rsidR="0048099F" w:rsidRPr="0048099F">
              <w:rPr>
                <w:rFonts w:ascii="Times New Roman" w:hAnsi="Times New Roman" w:cs="Times New Roman"/>
                <w:color w:val="000000"/>
              </w:rPr>
              <w:t xml:space="preserve"> above the PRI. </w:t>
            </w:r>
            <w:r w:rsidRPr="009C3850">
              <w:rPr>
                <w:rFonts w:ascii="Times New Roman" w:hAnsi="Times New Roman" w:cs="Times New Roman"/>
                <w:b/>
                <w:color w:val="000000"/>
              </w:rPr>
              <w:t>SG80 is met</w:t>
            </w:r>
            <w:r w:rsidRPr="009C3850">
              <w:rPr>
                <w:rFonts w:ascii="Times New Roman" w:hAnsi="Times New Roman" w:cs="Times New Roman"/>
                <w:i/>
                <w:color w:val="000000"/>
              </w:rPr>
              <w:t>.</w:t>
            </w:r>
          </w:p>
        </w:tc>
      </w:tr>
      <w:tr w:rsidR="009A3D44" w:rsidRPr="009C3850" w14:paraId="0BF2470F" w14:textId="77777777" w:rsidTr="009C3850">
        <w:trPr>
          <w:trHeight w:val="596"/>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3BBCEE9D"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5A1AD84C" w14:textId="77777777" w:rsidR="009A3D44" w:rsidRPr="009C3850" w:rsidRDefault="009A3D44">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52E8BE97"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2.1.2</w:t>
            </w:r>
          </w:p>
        </w:tc>
        <w:tc>
          <w:tcPr>
            <w:tcW w:w="3090" w:type="dxa"/>
            <w:shd w:val="clear" w:color="auto" w:fill="auto"/>
          </w:tcPr>
          <w:p w14:paraId="45E47EAC"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Management strategy</w:t>
            </w:r>
          </w:p>
        </w:tc>
        <w:tc>
          <w:tcPr>
            <w:tcW w:w="1111" w:type="dxa"/>
            <w:shd w:val="clear" w:color="auto" w:fill="auto"/>
          </w:tcPr>
          <w:p w14:paraId="69DC61D3"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1271" w:type="dxa"/>
            <w:shd w:val="clear" w:color="auto" w:fill="auto"/>
          </w:tcPr>
          <w:p w14:paraId="46A1D795"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5851" w:type="dxa"/>
            <w:shd w:val="clear" w:color="auto" w:fill="auto"/>
          </w:tcPr>
          <w:p w14:paraId="1C560D91" w14:textId="39F71256" w:rsidR="005142D1" w:rsidRPr="008E6895" w:rsidRDefault="005142D1" w:rsidP="00514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6895">
              <w:rPr>
                <w:rFonts w:ascii="Times New Roman" w:hAnsi="Times New Roman" w:cs="Times New Roman"/>
                <w:color w:val="000000"/>
              </w:rPr>
              <w:t xml:space="preserve"> </w:t>
            </w:r>
            <w:r w:rsidR="00CD0C30">
              <w:rPr>
                <w:rFonts w:ascii="Times New Roman" w:hAnsi="Times New Roman" w:cs="Times New Roman"/>
                <w:color w:val="000000"/>
              </w:rPr>
              <w:t>A</w:t>
            </w:r>
            <w:r w:rsidRPr="008E6895">
              <w:rPr>
                <w:rFonts w:ascii="Times New Roman" w:hAnsi="Times New Roman" w:cs="Times New Roman"/>
                <w:color w:val="000000"/>
              </w:rPr>
              <w:t xml:space="preserve"> number of measures in </w:t>
            </w:r>
            <w:r w:rsidR="00CD0C30">
              <w:rPr>
                <w:rFonts w:ascii="Times New Roman" w:hAnsi="Times New Roman" w:cs="Times New Roman"/>
                <w:color w:val="000000"/>
              </w:rPr>
              <w:t xml:space="preserve">the </w:t>
            </w:r>
            <w:r w:rsidRPr="008E6895">
              <w:rPr>
                <w:rFonts w:ascii="Times New Roman" w:hAnsi="Times New Roman" w:cs="Times New Roman"/>
                <w:color w:val="000000"/>
              </w:rPr>
              <w:t xml:space="preserve">IO </w:t>
            </w:r>
            <w:r w:rsidR="00CD0C30">
              <w:rPr>
                <w:rFonts w:ascii="Times New Roman" w:hAnsi="Times New Roman" w:cs="Times New Roman"/>
                <w:color w:val="000000"/>
              </w:rPr>
              <w:t xml:space="preserve">are </w:t>
            </w:r>
            <w:r w:rsidRPr="008E6895">
              <w:rPr>
                <w:rFonts w:ascii="Times New Roman" w:hAnsi="Times New Roman" w:cs="Times New Roman"/>
                <w:color w:val="000000"/>
              </w:rPr>
              <w:t>aimed at managing the main tuna stocks including</w:t>
            </w:r>
            <w:r w:rsidR="00CD0C30">
              <w:rPr>
                <w:rFonts w:ascii="Times New Roman" w:hAnsi="Times New Roman" w:cs="Times New Roman"/>
                <w:color w:val="000000"/>
              </w:rPr>
              <w:t xml:space="preserve"> </w:t>
            </w:r>
            <w:r w:rsidR="00B60343" w:rsidRPr="00B60343">
              <w:rPr>
                <w:rFonts w:ascii="Times New Roman" w:hAnsi="Times New Roman" w:cs="Times New Roman"/>
                <w:color w:val="000000"/>
              </w:rPr>
              <w:t>inter alia.</w:t>
            </w:r>
            <w:r w:rsidR="00CD0C30">
              <w:rPr>
                <w:rFonts w:ascii="Times New Roman" w:hAnsi="Times New Roman" w:cs="Times New Roman"/>
                <w:color w:val="000000"/>
              </w:rPr>
              <w:t xml:space="preserve"> </w:t>
            </w:r>
          </w:p>
          <w:p w14:paraId="5B9D07CA" w14:textId="77777777" w:rsidR="00665212" w:rsidRPr="00B60343" w:rsidRDefault="00665212" w:rsidP="006652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65212">
              <w:rPr>
                <w:color w:val="000000"/>
              </w:rPr>
              <w:t xml:space="preserve">• </w:t>
            </w:r>
            <w:r w:rsidRPr="00B60343">
              <w:rPr>
                <w:rFonts w:ascii="Times New Roman" w:hAnsi="Times New Roman" w:cs="Times New Roman"/>
                <w:color w:val="000000"/>
              </w:rPr>
              <w:t>Resolution 23/04 On Establishing Catch Limits for Bigeye Tuna in the IOTC Area of Competence</w:t>
            </w:r>
          </w:p>
          <w:p w14:paraId="2C5333F7" w14:textId="1638B4D0" w:rsidR="005142D1" w:rsidRPr="008E6895" w:rsidRDefault="00665212" w:rsidP="006652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65212">
              <w:rPr>
                <w:color w:val="000000"/>
              </w:rPr>
              <w:t xml:space="preserve">• </w:t>
            </w:r>
            <w:r w:rsidR="005142D1" w:rsidRPr="008E6895">
              <w:rPr>
                <w:rFonts w:ascii="Times New Roman" w:hAnsi="Times New Roman" w:cs="Times New Roman"/>
                <w:color w:val="000000"/>
              </w:rPr>
              <w:t>Resolution 22/03 On a Management Procedure for Bigeye Tuna in the IOTC Area of Competence</w:t>
            </w:r>
          </w:p>
          <w:p w14:paraId="0EFD5EBA" w14:textId="64A98142" w:rsidR="005142D1" w:rsidRPr="008E6895" w:rsidRDefault="005142D1" w:rsidP="00514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6895">
              <w:rPr>
                <w:rFonts w:ascii="Times New Roman" w:hAnsi="Times New Roman" w:cs="Times New Roman"/>
                <w:color w:val="000000"/>
              </w:rPr>
              <w:t>• Resolution 21/01 On an interim plan for rebuilding the Indian Ocean Yellowfin tuna stock in the IOTC Area of Competence which sets out separate catch limits (expressed as reductions from 2014 levels) for purse seine, gill net, longline and other gear fisheries.</w:t>
            </w:r>
          </w:p>
          <w:p w14:paraId="2927D0CD" w14:textId="24CA50AE" w:rsidR="005142D1" w:rsidRPr="008E6895" w:rsidRDefault="005142D1" w:rsidP="00514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6895">
              <w:rPr>
                <w:rFonts w:ascii="Times New Roman" w:hAnsi="Times New Roman" w:cs="Times New Roman"/>
                <w:color w:val="000000"/>
              </w:rPr>
              <w:t xml:space="preserve">• Resolution 16/02. Resolution 21-03 established a biomass limit reference point of 20% of unfished spawning biomass, a </w:t>
            </w:r>
            <w:r w:rsidRPr="008E6895">
              <w:rPr>
                <w:rFonts w:ascii="Times New Roman" w:hAnsi="Times New Roman" w:cs="Times New Roman"/>
                <w:color w:val="000000"/>
              </w:rPr>
              <w:lastRenderedPageBreak/>
              <w:t>biomass target reference point of 40% of unfished spawning biomass (MSY proxy</w:t>
            </w:r>
            <w:r w:rsidR="00283EC9">
              <w:rPr>
                <w:rFonts w:ascii="Times New Roman" w:hAnsi="Times New Roman" w:cs="Times New Roman"/>
                <w:color w:val="000000"/>
              </w:rPr>
              <w:t>)</w:t>
            </w:r>
          </w:p>
          <w:p w14:paraId="56E88943" w14:textId="77777777" w:rsidR="005142D1" w:rsidRPr="008E6895" w:rsidRDefault="005142D1" w:rsidP="00514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6895">
              <w:rPr>
                <w:rFonts w:ascii="Times New Roman" w:hAnsi="Times New Roman" w:cs="Times New Roman"/>
                <w:color w:val="000000"/>
              </w:rPr>
              <w:t>• Resolution 22/04 On a Regional Observer Scheme</w:t>
            </w:r>
          </w:p>
          <w:p w14:paraId="31E6A535" w14:textId="77777777" w:rsidR="005142D1" w:rsidRPr="008E6895" w:rsidRDefault="005142D1" w:rsidP="00514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6895">
              <w:rPr>
                <w:rFonts w:ascii="Times New Roman" w:hAnsi="Times New Roman" w:cs="Times New Roman"/>
                <w:color w:val="000000"/>
              </w:rPr>
              <w:t>• Resolution 15/01 On the recording of catch and effort by fishing vessels in the IOTC area of competence</w:t>
            </w:r>
          </w:p>
          <w:p w14:paraId="785CC23C" w14:textId="77777777" w:rsidR="005142D1" w:rsidRPr="008E6895" w:rsidRDefault="005142D1" w:rsidP="00514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6895">
              <w:rPr>
                <w:rFonts w:ascii="Times New Roman" w:hAnsi="Times New Roman" w:cs="Times New Roman"/>
                <w:color w:val="000000"/>
              </w:rPr>
              <w:t>• Resolution 15/02 Mandatory statistical reporting requirements for IOTC Contracting Parties and Cooperating Non-Contracting Parties (CPC’s)</w:t>
            </w:r>
          </w:p>
          <w:p w14:paraId="19946BCA" w14:textId="77777777" w:rsidR="005142D1" w:rsidRPr="008E6895" w:rsidRDefault="005142D1" w:rsidP="00514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6895">
              <w:rPr>
                <w:rFonts w:ascii="Times New Roman" w:hAnsi="Times New Roman" w:cs="Times New Roman"/>
                <w:color w:val="000000"/>
              </w:rPr>
              <w:t>• Resolution 15/06 On a ban on discards of bigeye tuna, skipjack tuna, yellowfin tuna and a recommendation for non-targeted species caught by purse seine vessels in the</w:t>
            </w:r>
          </w:p>
          <w:p w14:paraId="592958B2" w14:textId="77777777" w:rsidR="005142D1" w:rsidRPr="008E6895" w:rsidRDefault="005142D1" w:rsidP="00514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6895">
              <w:rPr>
                <w:rFonts w:ascii="Times New Roman" w:hAnsi="Times New Roman" w:cs="Times New Roman"/>
                <w:color w:val="000000"/>
              </w:rPr>
              <w:t>• Resolution 15/10 On target and limit reference points and a decision framework</w:t>
            </w:r>
          </w:p>
          <w:p w14:paraId="223C82B4" w14:textId="77777777" w:rsidR="005142D1" w:rsidRPr="008E6895" w:rsidRDefault="005142D1" w:rsidP="00514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6895">
              <w:rPr>
                <w:rFonts w:ascii="Times New Roman" w:hAnsi="Times New Roman" w:cs="Times New Roman"/>
                <w:color w:val="000000"/>
              </w:rPr>
              <w:t>• Resolution 15/11 on the implementation of a limitation of fishing capacity of Contracting Parties and Cooperating Non-Contracting Parties</w:t>
            </w:r>
          </w:p>
          <w:p w14:paraId="066EE54C" w14:textId="77777777" w:rsidR="005142D1" w:rsidRPr="008E6895" w:rsidRDefault="005142D1" w:rsidP="00514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6895">
              <w:rPr>
                <w:rFonts w:ascii="Times New Roman" w:hAnsi="Times New Roman" w:cs="Times New Roman"/>
                <w:color w:val="000000"/>
              </w:rPr>
              <w:t xml:space="preserve">• Resolution 14/02 for the conservation and management of tropical </w:t>
            </w:r>
            <w:proofErr w:type="gramStart"/>
            <w:r w:rsidRPr="008E6895">
              <w:rPr>
                <w:rFonts w:ascii="Times New Roman" w:hAnsi="Times New Roman" w:cs="Times New Roman"/>
                <w:color w:val="000000"/>
              </w:rPr>
              <w:t>tunas</w:t>
            </w:r>
            <w:proofErr w:type="gramEnd"/>
            <w:r w:rsidRPr="008E6895">
              <w:rPr>
                <w:rFonts w:ascii="Times New Roman" w:hAnsi="Times New Roman" w:cs="Times New Roman"/>
                <w:color w:val="000000"/>
              </w:rPr>
              <w:t xml:space="preserve"> stocks in the IOTC area of competence.</w:t>
            </w:r>
          </w:p>
          <w:p w14:paraId="675F4709" w14:textId="77777777" w:rsidR="005142D1" w:rsidRPr="008E6895" w:rsidRDefault="005142D1" w:rsidP="00514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6895">
              <w:rPr>
                <w:rFonts w:ascii="Times New Roman" w:hAnsi="Times New Roman" w:cs="Times New Roman"/>
                <w:color w:val="000000"/>
              </w:rPr>
              <w:t>• Resolution 14/05 concerning a record of licensed foreign vessels fishing for IOTC species in the IOTC area of competence and access agreement information</w:t>
            </w:r>
          </w:p>
          <w:p w14:paraId="4D350779" w14:textId="77777777" w:rsidR="005142D1" w:rsidRPr="008E6895" w:rsidRDefault="005142D1" w:rsidP="00514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6895">
              <w:rPr>
                <w:rFonts w:ascii="Times New Roman" w:hAnsi="Times New Roman" w:cs="Times New Roman"/>
                <w:color w:val="000000"/>
              </w:rPr>
              <w:t>• Resolution 10/08 concerning a record of active vessels fishing for tunas and swordfish in the IOTC area</w:t>
            </w:r>
          </w:p>
          <w:p w14:paraId="49D8599A" w14:textId="5F147BE2" w:rsidR="009A3D44" w:rsidRPr="008E6895" w:rsidRDefault="005142D1" w:rsidP="00514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8E6895">
              <w:rPr>
                <w:rFonts w:ascii="Times New Roman" w:hAnsi="Times New Roman" w:cs="Times New Roman"/>
                <w:color w:val="000000"/>
              </w:rPr>
              <w:t xml:space="preserve">The three stocks are highly likely </w:t>
            </w:r>
            <w:r w:rsidR="00283EC9">
              <w:rPr>
                <w:rFonts w:ascii="Times New Roman" w:hAnsi="Times New Roman" w:cs="Times New Roman"/>
                <w:color w:val="000000"/>
              </w:rPr>
              <w:t xml:space="preserve">to be </w:t>
            </w:r>
            <w:r w:rsidRPr="008E6895">
              <w:rPr>
                <w:rFonts w:ascii="Times New Roman" w:hAnsi="Times New Roman" w:cs="Times New Roman"/>
                <w:color w:val="000000"/>
              </w:rPr>
              <w:t xml:space="preserve">above the PRI. </w:t>
            </w:r>
            <w:r w:rsidR="00D055A2">
              <w:rPr>
                <w:rFonts w:ascii="Times New Roman" w:hAnsi="Times New Roman" w:cs="Times New Roman"/>
                <w:color w:val="000000"/>
              </w:rPr>
              <w:t>As such</w:t>
            </w:r>
            <w:r w:rsidRPr="008E6895">
              <w:rPr>
                <w:rFonts w:ascii="Times New Roman" w:hAnsi="Times New Roman" w:cs="Times New Roman"/>
                <w:color w:val="000000"/>
              </w:rPr>
              <w:t xml:space="preserve">, it is considered that there is a partial strategy in place that is expected to maintain or to not hinder rebuilding of the main primary species at/to levels which are highly likely to be above the PRI. </w:t>
            </w:r>
            <w:r w:rsidRPr="008E6895">
              <w:rPr>
                <w:rFonts w:ascii="Times New Roman" w:hAnsi="Times New Roman" w:cs="Times New Roman"/>
                <w:b/>
                <w:color w:val="000000"/>
              </w:rPr>
              <w:t>SG80 is met.</w:t>
            </w:r>
          </w:p>
        </w:tc>
      </w:tr>
      <w:tr w:rsidR="009A3D44" w:rsidRPr="009C3850" w14:paraId="55508762" w14:textId="77777777" w:rsidTr="009C3850">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689CC351"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b w:val="0"/>
                <w:color w:val="000000"/>
              </w:rPr>
            </w:pPr>
          </w:p>
        </w:tc>
        <w:tc>
          <w:tcPr>
            <w:tcW w:w="1880" w:type="dxa"/>
            <w:vMerge/>
            <w:shd w:val="clear" w:color="auto" w:fill="auto"/>
          </w:tcPr>
          <w:p w14:paraId="60FDF575" w14:textId="77777777" w:rsidR="009A3D44" w:rsidRPr="009C3850" w:rsidRDefault="009A3D44">
            <w:pPr>
              <w:widowControl w:val="0"/>
              <w:pBdr>
                <w:top w:val="nil"/>
                <w:left w:val="nil"/>
                <w:bottom w:val="nil"/>
                <w:right w:val="nil"/>
                <w:between w:val="nil"/>
              </w:pBdr>
              <w:spacing w:before="0"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p>
        </w:tc>
        <w:tc>
          <w:tcPr>
            <w:tcW w:w="951" w:type="dxa"/>
            <w:shd w:val="clear" w:color="auto" w:fill="auto"/>
          </w:tcPr>
          <w:p w14:paraId="09BE6D16"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2.1.3</w:t>
            </w:r>
          </w:p>
        </w:tc>
        <w:tc>
          <w:tcPr>
            <w:tcW w:w="3090" w:type="dxa"/>
            <w:shd w:val="clear" w:color="auto" w:fill="auto"/>
          </w:tcPr>
          <w:p w14:paraId="696BA7D3"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Information</w:t>
            </w:r>
          </w:p>
        </w:tc>
        <w:tc>
          <w:tcPr>
            <w:tcW w:w="1111" w:type="dxa"/>
            <w:shd w:val="clear" w:color="auto" w:fill="auto"/>
          </w:tcPr>
          <w:p w14:paraId="62124AC1"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&gt;80 </w:t>
            </w:r>
          </w:p>
        </w:tc>
        <w:tc>
          <w:tcPr>
            <w:tcW w:w="1271" w:type="dxa"/>
            <w:shd w:val="clear" w:color="auto" w:fill="auto"/>
          </w:tcPr>
          <w:p w14:paraId="72CAA6AD"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5851" w:type="dxa"/>
            <w:shd w:val="clear" w:color="auto" w:fill="auto"/>
          </w:tcPr>
          <w:p w14:paraId="642978A0" w14:textId="77777777" w:rsidR="00900A9C" w:rsidRDefault="00BE1A09" w:rsidP="00900A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There is quantitative information for the catch of ‘main’ and ‘minor’ primary species (landings and discards) from a range </w:t>
            </w:r>
            <w:r w:rsidRPr="009C3850">
              <w:rPr>
                <w:rFonts w:ascii="Times New Roman" w:hAnsi="Times New Roman" w:cs="Times New Roman"/>
                <w:color w:val="000000"/>
              </w:rPr>
              <w:lastRenderedPageBreak/>
              <w:t xml:space="preserve">of fishery dependent (logbooks) and independent sources. </w:t>
            </w:r>
            <w:r w:rsidR="00900A9C" w:rsidRPr="00900A9C">
              <w:rPr>
                <w:rFonts w:ascii="Times New Roman" w:hAnsi="Times New Roman" w:cs="Times New Roman"/>
                <w:color w:val="000000"/>
              </w:rPr>
              <w:t>IOTC Resolution 22/04 requires CPCs to ensure that all fishing vessels of 24 meters length overall (LOA) and above and under 24 meters, if they operate outside the exclusive economic zone (EEZ) of the flag CPC and in the IOTC area of competence, comply with the minimum observer coverage of 5% as defined by the number of operations/sets.</w:t>
            </w:r>
          </w:p>
          <w:p w14:paraId="63692F82" w14:textId="74ACCC2F" w:rsidR="009A3D44" w:rsidRPr="009C3850" w:rsidRDefault="00900A9C" w:rsidP="00900A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A500E">
              <w:rPr>
                <w:rFonts w:ascii="Times New Roman" w:hAnsi="Times New Roman" w:cs="Times New Roman"/>
                <w:color w:val="auto"/>
              </w:rPr>
              <w:t>Under the SIOTI FIP, 100% observer coverage (by onboard or electronic observers) should be guaranteed by SIOTI member fleets.</w:t>
            </w:r>
            <w:r w:rsidR="00665212" w:rsidRPr="00AA500E">
              <w:rPr>
                <w:rFonts w:ascii="Times New Roman" w:hAnsi="Times New Roman" w:cs="Times New Roman"/>
                <w:color w:val="auto"/>
              </w:rPr>
              <w:t xml:space="preserve"> However, when translating this coverage to data availability, this percentage usually decreases due to a lack of recovery the trip data or the no compliance with the standard quality required for the data to be included in the database</w:t>
            </w:r>
            <w:r w:rsidR="00AA500E">
              <w:rPr>
                <w:rFonts w:ascii="Times New Roman" w:hAnsi="Times New Roman" w:cs="Times New Roman"/>
                <w:color w:val="auto"/>
              </w:rPr>
              <w:t xml:space="preserve"> </w:t>
            </w:r>
            <w:r w:rsidR="007D677B" w:rsidRPr="00AA500E">
              <w:rPr>
                <w:rFonts w:ascii="Times New Roman" w:hAnsi="Times New Roman" w:cs="Times New Roman"/>
                <w:color w:val="auto"/>
              </w:rPr>
              <w:t>(</w:t>
            </w:r>
            <w:r w:rsidRPr="00AA500E">
              <w:rPr>
                <w:rFonts w:ascii="Times New Roman" w:hAnsi="Times New Roman" w:cs="Times New Roman"/>
                <w:color w:val="auto"/>
              </w:rPr>
              <w:t>according to the MSC assessment reports consulted, the number of observed sets is lower (for example in the Echebastar fishery 70% and 38% in the FADs and FSC sets were observed in 2020 (Scarcella &amp; Rios 2022) or in the ANABAC fishery the observed coverage in recent years reaches a 53%</w:t>
            </w:r>
            <w:r w:rsidR="00665212" w:rsidRPr="00AA500E">
              <w:rPr>
                <w:rFonts w:ascii="Times New Roman" w:hAnsi="Times New Roman" w:cs="Times New Roman"/>
                <w:color w:val="auto"/>
              </w:rPr>
              <w:t xml:space="preserve"> on average for the years 2016-2020</w:t>
            </w:r>
            <w:r w:rsidRPr="00AA500E">
              <w:rPr>
                <w:rFonts w:ascii="Times New Roman" w:hAnsi="Times New Roman" w:cs="Times New Roman"/>
                <w:color w:val="auto"/>
              </w:rPr>
              <w:t xml:space="preserve"> (Scarcella et al., 2023). Anyway, the Echebastar, CFTO and ANABAC MSC assessments, provide unconditional passes to both primary and secondary species information PIs. Therefore, it is considered the collected information (through logbooks and observers) is adequate to assess the impact of the fishery on those species. </w:t>
            </w:r>
            <w:r w:rsidRPr="00AA500E">
              <w:rPr>
                <w:rFonts w:ascii="Times New Roman" w:hAnsi="Times New Roman" w:cs="Times New Roman"/>
                <w:b/>
                <w:color w:val="auto"/>
              </w:rPr>
              <w:t>SG80 is met.</w:t>
            </w:r>
          </w:p>
        </w:tc>
      </w:tr>
      <w:tr w:rsidR="005D341C" w:rsidRPr="009C3850" w14:paraId="7202C69B" w14:textId="77777777" w:rsidTr="00192636">
        <w:trPr>
          <w:trHeight w:val="596"/>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0D66AFCB" w14:textId="77777777" w:rsidR="005D341C" w:rsidRPr="009C3850" w:rsidRDefault="005D341C" w:rsidP="005D341C">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val="restart"/>
            <w:shd w:val="clear" w:color="auto" w:fill="auto"/>
          </w:tcPr>
          <w:p w14:paraId="3772B585" w14:textId="77777777" w:rsidR="005D341C" w:rsidRPr="009C3850" w:rsidRDefault="005D341C" w:rsidP="005D3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Secondary species</w:t>
            </w:r>
          </w:p>
        </w:tc>
        <w:tc>
          <w:tcPr>
            <w:tcW w:w="951" w:type="dxa"/>
            <w:shd w:val="clear" w:color="auto" w:fill="auto"/>
          </w:tcPr>
          <w:p w14:paraId="46AA80B0" w14:textId="77777777" w:rsidR="005D341C" w:rsidRPr="009C3850" w:rsidRDefault="005D341C" w:rsidP="005D3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2.2.1</w:t>
            </w:r>
          </w:p>
        </w:tc>
        <w:tc>
          <w:tcPr>
            <w:tcW w:w="3090" w:type="dxa"/>
            <w:shd w:val="clear" w:color="auto" w:fill="auto"/>
          </w:tcPr>
          <w:p w14:paraId="1617C3D2" w14:textId="77777777" w:rsidR="005D341C" w:rsidRPr="009C3850" w:rsidRDefault="005D341C" w:rsidP="005D34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Outcome</w:t>
            </w:r>
          </w:p>
        </w:tc>
        <w:tc>
          <w:tcPr>
            <w:tcW w:w="1111" w:type="dxa"/>
            <w:shd w:val="clear" w:color="auto" w:fill="auto"/>
          </w:tcPr>
          <w:p w14:paraId="28C007A3" w14:textId="77777777" w:rsidR="005D341C" w:rsidRPr="009C3850" w:rsidRDefault="005D341C" w:rsidP="005D3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1271" w:type="dxa"/>
            <w:shd w:val="clear" w:color="auto" w:fill="auto"/>
          </w:tcPr>
          <w:p w14:paraId="69F1C277" w14:textId="77777777" w:rsidR="005D341C" w:rsidRPr="009C3850" w:rsidRDefault="005D341C" w:rsidP="005D34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5851" w:type="dxa"/>
            <w:vAlign w:val="top"/>
          </w:tcPr>
          <w:p w14:paraId="7ABE4FA8" w14:textId="211E1BB9" w:rsidR="005D341C" w:rsidRPr="005D341C" w:rsidRDefault="005D341C" w:rsidP="005D34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341C">
              <w:rPr>
                <w:rFonts w:ascii="Times New Roman" w:hAnsi="Times New Roman" w:cs="Times New Roman"/>
              </w:rPr>
              <w:t xml:space="preserve">Three secondary main species were defined during the pre-assessment: blue marlin (BUM), rainbow runner (RRU) &amp; dolphinfish (DOL) (silky shark was also defined as secondary but later moved to ETP following a harmonization with Echebastar). </w:t>
            </w:r>
            <w:r w:rsidR="00106D29">
              <w:rPr>
                <w:rFonts w:ascii="Times New Roman" w:hAnsi="Times New Roman" w:cs="Times New Roman"/>
              </w:rPr>
              <w:t>No main secondary species have been identified in most recent reports</w:t>
            </w:r>
            <w:r w:rsidR="00A96FF9">
              <w:rPr>
                <w:rFonts w:ascii="Times New Roman" w:hAnsi="Times New Roman" w:cs="Times New Roman"/>
              </w:rPr>
              <w:t xml:space="preserve"> (Scarcella et al., 2023, Sieben &amp; des </w:t>
            </w:r>
            <w:proofErr w:type="spellStart"/>
            <w:r w:rsidR="00A96FF9">
              <w:rPr>
                <w:rFonts w:ascii="Times New Roman" w:hAnsi="Times New Roman" w:cs="Times New Roman"/>
              </w:rPr>
              <w:t>Clers</w:t>
            </w:r>
            <w:proofErr w:type="spellEnd"/>
            <w:r w:rsidR="00A96FF9">
              <w:rPr>
                <w:rFonts w:ascii="Times New Roman" w:hAnsi="Times New Roman" w:cs="Times New Roman"/>
              </w:rPr>
              <w:t xml:space="preserve"> 2023)</w:t>
            </w:r>
            <w:r w:rsidR="00106D29">
              <w:rPr>
                <w:rFonts w:ascii="Times New Roman" w:hAnsi="Times New Roman" w:cs="Times New Roman"/>
              </w:rPr>
              <w:t xml:space="preserve">. </w:t>
            </w:r>
            <w:r w:rsidR="00106D29" w:rsidRPr="00106D29">
              <w:rPr>
                <w:rFonts w:ascii="Times New Roman" w:hAnsi="Times New Roman" w:cs="Times New Roman"/>
                <w:b/>
                <w:bCs/>
              </w:rPr>
              <w:t>SG80 is met.</w:t>
            </w:r>
          </w:p>
        </w:tc>
      </w:tr>
      <w:tr w:rsidR="005D341C" w:rsidRPr="009C3850" w14:paraId="4A5DDB07" w14:textId="77777777" w:rsidTr="00861226">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6F8A1BC5" w14:textId="77777777" w:rsidR="005D341C" w:rsidRPr="009C3850" w:rsidRDefault="005D341C" w:rsidP="005D341C">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20585153" w14:textId="77777777" w:rsidR="005D341C" w:rsidRPr="009C3850" w:rsidRDefault="005D341C" w:rsidP="005D341C">
            <w:pPr>
              <w:widowControl w:val="0"/>
              <w:pBdr>
                <w:top w:val="nil"/>
                <w:left w:val="nil"/>
                <w:bottom w:val="nil"/>
                <w:right w:val="nil"/>
                <w:between w:val="nil"/>
              </w:pBdr>
              <w:spacing w:before="0"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7734A142" w14:textId="77777777" w:rsidR="005D341C" w:rsidRPr="009C3850" w:rsidRDefault="005D341C" w:rsidP="005D3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2.2.2</w:t>
            </w:r>
          </w:p>
        </w:tc>
        <w:tc>
          <w:tcPr>
            <w:tcW w:w="3090" w:type="dxa"/>
            <w:shd w:val="clear" w:color="auto" w:fill="auto"/>
          </w:tcPr>
          <w:p w14:paraId="391B6573" w14:textId="77777777" w:rsidR="005D341C" w:rsidRPr="009C3850" w:rsidRDefault="005D341C" w:rsidP="005D34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Management strategy</w:t>
            </w:r>
          </w:p>
        </w:tc>
        <w:tc>
          <w:tcPr>
            <w:tcW w:w="1111" w:type="dxa"/>
            <w:shd w:val="clear" w:color="auto" w:fill="auto"/>
          </w:tcPr>
          <w:p w14:paraId="6B0FCC02" w14:textId="77777777" w:rsidR="005D341C" w:rsidRPr="009C3850" w:rsidRDefault="005D341C" w:rsidP="005D3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1271" w:type="dxa"/>
            <w:shd w:val="clear" w:color="auto" w:fill="auto"/>
          </w:tcPr>
          <w:p w14:paraId="581263C2" w14:textId="77777777" w:rsidR="005D341C" w:rsidRPr="009C3850" w:rsidRDefault="005D341C" w:rsidP="005D34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58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top"/>
          </w:tcPr>
          <w:p w14:paraId="5489ED35" w14:textId="2AE0F447" w:rsidR="005D341C" w:rsidRPr="005D341C" w:rsidRDefault="000B45CE" w:rsidP="005D34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 </w:t>
            </w:r>
            <w:r w:rsidR="005D341C" w:rsidRPr="005D341C">
              <w:rPr>
                <w:rFonts w:ascii="Times New Roman" w:hAnsi="Times New Roman" w:cs="Times New Roman"/>
              </w:rPr>
              <w:t xml:space="preserve">Code of </w:t>
            </w:r>
            <w:r>
              <w:rPr>
                <w:rFonts w:ascii="Times New Roman" w:hAnsi="Times New Roman" w:cs="Times New Roman"/>
              </w:rPr>
              <w:t>G</w:t>
            </w:r>
            <w:r w:rsidR="005D341C" w:rsidRPr="005D341C">
              <w:rPr>
                <w:rFonts w:ascii="Times New Roman" w:hAnsi="Times New Roman" w:cs="Times New Roman"/>
              </w:rPr>
              <w:t xml:space="preserve">ood </w:t>
            </w:r>
            <w:r>
              <w:rPr>
                <w:rFonts w:ascii="Times New Roman" w:hAnsi="Times New Roman" w:cs="Times New Roman"/>
              </w:rPr>
              <w:t>P</w:t>
            </w:r>
            <w:r w:rsidR="005D341C" w:rsidRPr="005D341C">
              <w:rPr>
                <w:rFonts w:ascii="Times New Roman" w:hAnsi="Times New Roman" w:cs="Times New Roman"/>
              </w:rPr>
              <w:t>ractices h</w:t>
            </w:r>
            <w:r>
              <w:rPr>
                <w:rFonts w:ascii="Times New Roman" w:hAnsi="Times New Roman" w:cs="Times New Roman"/>
              </w:rPr>
              <w:t>as</w:t>
            </w:r>
            <w:r w:rsidR="005D341C" w:rsidRPr="005D341C">
              <w:rPr>
                <w:rFonts w:ascii="Times New Roman" w:hAnsi="Times New Roman" w:cs="Times New Roman"/>
              </w:rPr>
              <w:t xml:space="preserve"> been implemented </w:t>
            </w:r>
            <w:r>
              <w:rPr>
                <w:rFonts w:ascii="Times New Roman" w:hAnsi="Times New Roman" w:cs="Times New Roman"/>
              </w:rPr>
              <w:t>by</w:t>
            </w:r>
            <w:r w:rsidR="005D341C" w:rsidRPr="005D341C">
              <w:rPr>
                <w:rFonts w:ascii="Times New Roman" w:hAnsi="Times New Roman" w:cs="Times New Roman"/>
              </w:rPr>
              <w:t xml:space="preserve"> the SIOTI fleet</w:t>
            </w:r>
            <w:r w:rsidR="00106D29">
              <w:rPr>
                <w:rFonts w:ascii="Times New Roman" w:hAnsi="Times New Roman" w:cs="Times New Roman"/>
              </w:rPr>
              <w:t xml:space="preserve">. They are harmonized through the fleet and updated when necessary. </w:t>
            </w:r>
            <w:r w:rsidR="005D341C" w:rsidRPr="005D341C">
              <w:rPr>
                <w:rFonts w:ascii="Times New Roman" w:hAnsi="Times New Roman" w:cs="Times New Roman"/>
              </w:rPr>
              <w:t xml:space="preserve">It </w:t>
            </w:r>
            <w:r w:rsidR="00106D29">
              <w:rPr>
                <w:rFonts w:ascii="Times New Roman" w:hAnsi="Times New Roman" w:cs="Times New Roman"/>
              </w:rPr>
              <w:t xml:space="preserve">is understood </w:t>
            </w:r>
            <w:proofErr w:type="gramStart"/>
            <w:r>
              <w:rPr>
                <w:rFonts w:ascii="Times New Roman" w:hAnsi="Times New Roman" w:cs="Times New Roman"/>
              </w:rPr>
              <w:t xml:space="preserve">this </w:t>
            </w:r>
            <w:r w:rsidR="00106D29">
              <w:rPr>
                <w:rFonts w:ascii="Times New Roman" w:hAnsi="Times New Roman" w:cs="Times New Roman"/>
              </w:rPr>
              <w:t xml:space="preserve"> will</w:t>
            </w:r>
            <w:proofErr w:type="gramEnd"/>
            <w:r w:rsidR="00106D29">
              <w:rPr>
                <w:rFonts w:ascii="Times New Roman" w:hAnsi="Times New Roman" w:cs="Times New Roman"/>
              </w:rPr>
              <w:t xml:space="preserve"> help to reduce the impact </w:t>
            </w:r>
            <w:r w:rsidR="00106D29">
              <w:rPr>
                <w:rFonts w:ascii="Times New Roman" w:hAnsi="Times New Roman" w:cs="Times New Roman"/>
              </w:rPr>
              <w:lastRenderedPageBreak/>
              <w:t>of the fishery on secondary species</w:t>
            </w:r>
            <w:r w:rsidR="00F06632">
              <w:rPr>
                <w:rFonts w:ascii="Times New Roman" w:hAnsi="Times New Roman" w:cs="Times New Roman"/>
              </w:rPr>
              <w:t xml:space="preserve">. </w:t>
            </w:r>
            <w:r w:rsidR="00106D29">
              <w:rPr>
                <w:rFonts w:ascii="Times New Roman" w:hAnsi="Times New Roman" w:cs="Times New Roman"/>
              </w:rPr>
              <w:t xml:space="preserve">. </w:t>
            </w:r>
            <w:r w:rsidR="005D341C" w:rsidRPr="005D341C">
              <w:rPr>
                <w:rFonts w:ascii="Times New Roman" w:hAnsi="Times New Roman" w:cs="Times New Roman"/>
              </w:rPr>
              <w:t>Shark finning does not take place</w:t>
            </w:r>
            <w:r w:rsidR="00106D29">
              <w:rPr>
                <w:rFonts w:ascii="Times New Roman" w:hAnsi="Times New Roman" w:cs="Times New Roman"/>
              </w:rPr>
              <w:t xml:space="preserve"> in the fleet. </w:t>
            </w:r>
            <w:r w:rsidR="00106D29" w:rsidRPr="00106D29">
              <w:rPr>
                <w:rFonts w:ascii="Times New Roman" w:hAnsi="Times New Roman" w:cs="Times New Roman"/>
                <w:b/>
                <w:bCs/>
              </w:rPr>
              <w:t>SG80 is met.</w:t>
            </w:r>
          </w:p>
        </w:tc>
      </w:tr>
      <w:tr w:rsidR="00DD4DD0" w:rsidRPr="009C3850" w14:paraId="1BFAD9FC" w14:textId="77777777" w:rsidTr="00436492">
        <w:trPr>
          <w:trHeight w:val="596"/>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0DA86E0B" w14:textId="77777777" w:rsidR="00DD4DD0" w:rsidRPr="009C3850" w:rsidRDefault="00DD4DD0" w:rsidP="00DD4DD0">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11924EF3" w14:textId="77777777" w:rsidR="00DD4DD0" w:rsidRPr="009C3850" w:rsidRDefault="00DD4DD0" w:rsidP="00DD4DD0">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34EB8789" w14:textId="77777777" w:rsidR="00DD4DD0" w:rsidRPr="009C3850" w:rsidRDefault="00DD4DD0" w:rsidP="00DD4D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2.2.3</w:t>
            </w:r>
          </w:p>
        </w:tc>
        <w:tc>
          <w:tcPr>
            <w:tcW w:w="3090" w:type="dxa"/>
            <w:shd w:val="clear" w:color="auto" w:fill="auto"/>
          </w:tcPr>
          <w:p w14:paraId="4ABB62A5" w14:textId="77777777" w:rsidR="00DD4DD0" w:rsidRPr="009C3850" w:rsidRDefault="00DD4DD0" w:rsidP="00DD4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Information</w:t>
            </w:r>
          </w:p>
        </w:tc>
        <w:tc>
          <w:tcPr>
            <w:tcW w:w="1111" w:type="dxa"/>
            <w:shd w:val="clear" w:color="auto" w:fill="auto"/>
          </w:tcPr>
          <w:p w14:paraId="11C41F8C" w14:textId="77777777" w:rsidR="00DD4DD0" w:rsidRPr="009C3850" w:rsidRDefault="00DD4DD0" w:rsidP="00DD4D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1271" w:type="dxa"/>
            <w:shd w:val="clear" w:color="auto" w:fill="auto"/>
          </w:tcPr>
          <w:p w14:paraId="2BFAFBE7" w14:textId="77777777" w:rsidR="00DD4DD0" w:rsidRPr="009C3850" w:rsidRDefault="00DD4DD0" w:rsidP="00DD4D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5851" w:type="dxa"/>
            <w:shd w:val="clear" w:color="auto" w:fill="auto"/>
            <w:vAlign w:val="top"/>
          </w:tcPr>
          <w:p w14:paraId="569E8FAE" w14:textId="5D0EEC70" w:rsidR="00DD4DD0" w:rsidRPr="00DD4DD0" w:rsidRDefault="00900A9C" w:rsidP="00DD4D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rPr>
              <w:t xml:space="preserve">As in 2.1.3. </w:t>
            </w:r>
            <w:r w:rsidRPr="00900A9C">
              <w:rPr>
                <w:rFonts w:ascii="Times New Roman" w:hAnsi="Times New Roman" w:cs="Times New Roman"/>
                <w:b/>
                <w:bCs/>
              </w:rPr>
              <w:t>SG80 is met.</w:t>
            </w:r>
          </w:p>
        </w:tc>
      </w:tr>
      <w:tr w:rsidR="009A3D44" w:rsidRPr="009C3850" w14:paraId="6F6E121D" w14:textId="77777777" w:rsidTr="009C3850">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01894EE0"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val="restart"/>
            <w:shd w:val="clear" w:color="auto" w:fill="auto"/>
          </w:tcPr>
          <w:p w14:paraId="0BA38EF1"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ETP species</w:t>
            </w:r>
          </w:p>
        </w:tc>
        <w:tc>
          <w:tcPr>
            <w:tcW w:w="951" w:type="dxa"/>
            <w:shd w:val="clear" w:color="auto" w:fill="auto"/>
          </w:tcPr>
          <w:p w14:paraId="1CAF636F"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2.3.1</w:t>
            </w:r>
          </w:p>
        </w:tc>
        <w:tc>
          <w:tcPr>
            <w:tcW w:w="3090" w:type="dxa"/>
            <w:shd w:val="clear" w:color="auto" w:fill="auto"/>
          </w:tcPr>
          <w:p w14:paraId="0F865AED"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Outcome</w:t>
            </w:r>
          </w:p>
        </w:tc>
        <w:tc>
          <w:tcPr>
            <w:tcW w:w="1111" w:type="dxa"/>
            <w:shd w:val="clear" w:color="auto" w:fill="auto"/>
          </w:tcPr>
          <w:p w14:paraId="305AFDC5"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1271" w:type="dxa"/>
            <w:shd w:val="clear" w:color="auto" w:fill="auto"/>
          </w:tcPr>
          <w:p w14:paraId="2DC62B39" w14:textId="2693DED0" w:rsidR="009A3D44" w:rsidRPr="009C3850" w:rsidRDefault="008615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&gt;80</w:t>
            </w:r>
          </w:p>
        </w:tc>
        <w:tc>
          <w:tcPr>
            <w:tcW w:w="5851" w:type="dxa"/>
            <w:shd w:val="clear" w:color="auto" w:fill="auto"/>
          </w:tcPr>
          <w:p w14:paraId="2674F1D4" w14:textId="46221240"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As indicated above, the fleet has observers aboard. A number of ETP species interacting with the fishery have been considered, including cetaceans (false killer whale, minke whale, </w:t>
            </w:r>
            <w:proofErr w:type="spellStart"/>
            <w:proofErr w:type="gramStart"/>
            <w:r w:rsidRPr="009C3850">
              <w:rPr>
                <w:rFonts w:ascii="Times New Roman" w:hAnsi="Times New Roman" w:cs="Times New Roman"/>
                <w:color w:val="000000"/>
              </w:rPr>
              <w:t>Brydes</w:t>
            </w:r>
            <w:proofErr w:type="spellEnd"/>
            <w:proofErr w:type="gramEnd"/>
            <w:r w:rsidRPr="009C3850">
              <w:rPr>
                <w:rFonts w:ascii="Times New Roman" w:hAnsi="Times New Roman" w:cs="Times New Roman"/>
                <w:color w:val="000000"/>
              </w:rPr>
              <w:t xml:space="preserve"> whale, pygmy sperm whale, pigmy killer whale, fin whale, sei whales, short-finned pilot whales and spinner dolphins; elasmobranchs (oceanic whitetip sharks, silky shark, South Pacific blue shark, whale sharks, </w:t>
            </w:r>
            <w:proofErr w:type="spellStart"/>
            <w:r w:rsidRPr="009C3850">
              <w:rPr>
                <w:rFonts w:ascii="Times New Roman" w:hAnsi="Times New Roman" w:cs="Times New Roman"/>
                <w:color w:val="000000"/>
              </w:rPr>
              <w:t>mobula</w:t>
            </w:r>
            <w:proofErr w:type="spellEnd"/>
            <w:r w:rsidRPr="009C3850">
              <w:rPr>
                <w:rFonts w:ascii="Times New Roman" w:hAnsi="Times New Roman" w:cs="Times New Roman"/>
                <w:color w:val="000000"/>
              </w:rPr>
              <w:t xml:space="preserve"> rays and pelagic stingray). Interactions with marine mammals, sea turtles and seabirds </w:t>
            </w:r>
            <w:r w:rsidR="00AA500E">
              <w:rPr>
                <w:rFonts w:ascii="Times New Roman" w:hAnsi="Times New Roman" w:cs="Times New Roman"/>
                <w:color w:val="000000"/>
              </w:rPr>
              <w:t>are</w:t>
            </w:r>
            <w:r w:rsidR="00F06632">
              <w:rPr>
                <w:rFonts w:ascii="Times New Roman" w:hAnsi="Times New Roman" w:cs="Times New Roman"/>
                <w:color w:val="000000"/>
              </w:rPr>
              <w:t xml:space="preserve"> </w:t>
            </w:r>
            <w:r w:rsidRPr="009C3850">
              <w:rPr>
                <w:rFonts w:ascii="Times New Roman" w:hAnsi="Times New Roman" w:cs="Times New Roman"/>
                <w:color w:val="000000"/>
              </w:rPr>
              <w:t xml:space="preserve">low. </w:t>
            </w:r>
            <w:r w:rsidR="00861547">
              <w:rPr>
                <w:rFonts w:ascii="Times New Roman" w:hAnsi="Times New Roman" w:cs="Times New Roman"/>
                <w:color w:val="000000"/>
              </w:rPr>
              <w:t>Catches of sharks have been recently reviewed (ANABA</w:t>
            </w:r>
            <w:r w:rsidR="00665212">
              <w:rPr>
                <w:rFonts w:ascii="Times New Roman" w:hAnsi="Times New Roman" w:cs="Times New Roman"/>
                <w:color w:val="000000"/>
              </w:rPr>
              <w:t>C</w:t>
            </w:r>
            <w:r w:rsidR="00861547">
              <w:rPr>
                <w:rFonts w:ascii="Times New Roman" w:hAnsi="Times New Roman" w:cs="Times New Roman"/>
                <w:color w:val="000000"/>
              </w:rPr>
              <w:t xml:space="preserve">, SAPMER) and </w:t>
            </w:r>
            <w:r w:rsidR="00F06632">
              <w:rPr>
                <w:rFonts w:ascii="Times New Roman" w:hAnsi="Times New Roman" w:cs="Times New Roman"/>
                <w:color w:val="000000"/>
              </w:rPr>
              <w:t xml:space="preserve">were found to be </w:t>
            </w:r>
            <w:r w:rsidR="00861547">
              <w:rPr>
                <w:rFonts w:ascii="Times New Roman" w:hAnsi="Times New Roman" w:cs="Times New Roman"/>
                <w:color w:val="000000"/>
              </w:rPr>
              <w:t xml:space="preserve">relatively low. The fishery uses non-entangling FAD and has a </w:t>
            </w:r>
            <w:r w:rsidR="00F06632">
              <w:rPr>
                <w:rFonts w:ascii="Times New Roman" w:hAnsi="Times New Roman" w:cs="Times New Roman"/>
                <w:color w:val="000000"/>
              </w:rPr>
              <w:t>C</w:t>
            </w:r>
            <w:r w:rsidR="00861547">
              <w:rPr>
                <w:rFonts w:ascii="Times New Roman" w:hAnsi="Times New Roman" w:cs="Times New Roman"/>
                <w:color w:val="000000"/>
              </w:rPr>
              <w:t xml:space="preserve">ode of </w:t>
            </w:r>
            <w:r w:rsidR="00F06632">
              <w:rPr>
                <w:rFonts w:ascii="Times New Roman" w:hAnsi="Times New Roman" w:cs="Times New Roman"/>
                <w:color w:val="000000"/>
              </w:rPr>
              <w:t>Good P</w:t>
            </w:r>
            <w:r w:rsidR="00861547">
              <w:rPr>
                <w:rFonts w:ascii="Times New Roman" w:hAnsi="Times New Roman" w:cs="Times New Roman"/>
                <w:color w:val="000000"/>
              </w:rPr>
              <w:t xml:space="preserve">ractice to reduce the bycatch of those species. </w:t>
            </w:r>
            <w:r w:rsidR="00861547" w:rsidRPr="00AA500E">
              <w:rPr>
                <w:rFonts w:ascii="Times New Roman" w:hAnsi="Times New Roman" w:cs="Times New Roman"/>
                <w:b/>
                <w:bCs/>
                <w:color w:val="000000"/>
              </w:rPr>
              <w:t>SG80 is met.</w:t>
            </w:r>
          </w:p>
        </w:tc>
      </w:tr>
      <w:tr w:rsidR="009A3D44" w:rsidRPr="009C3850" w14:paraId="107A5F43" w14:textId="77777777" w:rsidTr="009C3850">
        <w:trPr>
          <w:trHeight w:val="596"/>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6CB9DEA7"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319F957E" w14:textId="77777777" w:rsidR="009A3D44" w:rsidRPr="009C3850" w:rsidRDefault="009A3D44">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5236E11B"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2.3.2</w:t>
            </w:r>
          </w:p>
        </w:tc>
        <w:tc>
          <w:tcPr>
            <w:tcW w:w="3090" w:type="dxa"/>
            <w:shd w:val="clear" w:color="auto" w:fill="auto"/>
          </w:tcPr>
          <w:p w14:paraId="1E66BCF3"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Management strategy</w:t>
            </w:r>
          </w:p>
        </w:tc>
        <w:tc>
          <w:tcPr>
            <w:tcW w:w="1111" w:type="dxa"/>
            <w:shd w:val="clear" w:color="auto" w:fill="auto"/>
          </w:tcPr>
          <w:p w14:paraId="666B7E95"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60-79</w:t>
            </w:r>
          </w:p>
        </w:tc>
        <w:tc>
          <w:tcPr>
            <w:tcW w:w="1271" w:type="dxa"/>
            <w:shd w:val="clear" w:color="auto" w:fill="auto"/>
          </w:tcPr>
          <w:p w14:paraId="44E3FED5"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60-79</w:t>
            </w:r>
          </w:p>
        </w:tc>
        <w:tc>
          <w:tcPr>
            <w:tcW w:w="5851" w:type="dxa"/>
            <w:shd w:val="clear" w:color="auto" w:fill="auto"/>
          </w:tcPr>
          <w:p w14:paraId="79B41003" w14:textId="7B091B9F"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The IOTC has a series of conservation and management measures in place t</w:t>
            </w:r>
            <w:r w:rsidR="00F06632">
              <w:rPr>
                <w:rFonts w:ascii="Times New Roman" w:hAnsi="Times New Roman" w:cs="Times New Roman"/>
                <w:color w:val="000000"/>
              </w:rPr>
              <w:t>o</w:t>
            </w:r>
            <w:r w:rsidRPr="009C3850">
              <w:rPr>
                <w:rFonts w:ascii="Times New Roman" w:hAnsi="Times New Roman" w:cs="Times New Roman"/>
                <w:color w:val="000000"/>
              </w:rPr>
              <w:t xml:space="preserve"> address ETP species:</w:t>
            </w:r>
          </w:p>
          <w:p w14:paraId="66CF52CC" w14:textId="77777777" w:rsidR="00665212" w:rsidRPr="00D652E6" w:rsidRDefault="00787595" w:rsidP="006652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142D1">
              <w:rPr>
                <w:color w:val="000000"/>
              </w:rPr>
              <w:t>•</w:t>
            </w:r>
            <w:r>
              <w:rPr>
                <w:color w:val="000000"/>
              </w:rPr>
              <w:t xml:space="preserve"> </w:t>
            </w:r>
            <w:r w:rsidR="00665212" w:rsidRPr="00D652E6">
              <w:rPr>
                <w:rFonts w:ascii="Times New Roman" w:hAnsi="Times New Roman" w:cs="Times New Roman"/>
                <w:color w:val="000000"/>
              </w:rPr>
              <w:t>Resolution 23/06 On the conservation of cetaceans</w:t>
            </w:r>
          </w:p>
          <w:p w14:paraId="0BD72CBE" w14:textId="3AA844EF" w:rsidR="009A3D44" w:rsidRPr="009C3850" w:rsidRDefault="00665212" w:rsidP="006652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142D1">
              <w:rPr>
                <w:color w:val="000000"/>
              </w:rPr>
              <w:t>•</w:t>
            </w:r>
            <w:r>
              <w:rPr>
                <w:color w:val="000000"/>
              </w:rPr>
              <w:t xml:space="preserve"> </w:t>
            </w:r>
            <w:r w:rsidR="00787595" w:rsidRPr="009C3850">
              <w:rPr>
                <w:rFonts w:ascii="Times New Roman" w:hAnsi="Times New Roman" w:cs="Times New Roman"/>
                <w:color w:val="000000"/>
              </w:rPr>
              <w:t>Resolution 15/01 on the recording of catch and effort by fishing vessels in the IOTC area of competence sets out the minimum logbook requirements, including sharks.</w:t>
            </w:r>
          </w:p>
          <w:p w14:paraId="58DC2CFE" w14:textId="2AAE6B84" w:rsidR="009A3D44" w:rsidRPr="009C3850" w:rsidRDefault="007875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142D1">
              <w:rPr>
                <w:color w:val="000000"/>
              </w:rPr>
              <w:t>•</w:t>
            </w:r>
            <w:r>
              <w:rPr>
                <w:color w:val="000000"/>
              </w:rPr>
              <w:t xml:space="preserve"> </w:t>
            </w:r>
            <w:r w:rsidRPr="009C3850">
              <w:rPr>
                <w:rFonts w:ascii="Times New Roman" w:hAnsi="Times New Roman" w:cs="Times New Roman"/>
                <w:color w:val="000000"/>
              </w:rPr>
              <w:t>Resolution 15/02 Mandatory statistical requirements for IOTC Members and Cooperating Non-Contracting Parties (CPC’s) indicated that the provisions, applicable to tuna and tuna-like species, are applicable to shark species.</w:t>
            </w:r>
          </w:p>
          <w:p w14:paraId="791CAD95" w14:textId="77777777" w:rsidR="00861547" w:rsidRDefault="00787595">
            <w:pPr>
              <w:cnfStyle w:val="000000000000" w:firstRow="0" w:lastRow="0" w:firstColumn="0" w:lastColumn="0" w:oddVBand="0" w:evenVBand="0" w:oddHBand="0" w:evenHBand="0" w:firstRowFirstColumn="0" w:firstRowLastColumn="0" w:lastRowFirstColumn="0" w:lastRowLastColumn="0"/>
              <w:rPr>
                <w:color w:val="000000"/>
              </w:rPr>
            </w:pPr>
            <w:r w:rsidRPr="005142D1">
              <w:rPr>
                <w:color w:val="000000"/>
              </w:rPr>
              <w:t>•</w:t>
            </w:r>
            <w:r>
              <w:rPr>
                <w:color w:val="000000"/>
              </w:rPr>
              <w:t xml:space="preserve"> </w:t>
            </w:r>
            <w:r w:rsidR="00861547" w:rsidRPr="00861547">
              <w:rPr>
                <w:rFonts w:ascii="Times New Roman" w:hAnsi="Times New Roman" w:cs="Times New Roman"/>
                <w:color w:val="000000"/>
              </w:rPr>
              <w:t>Resolution 13/02 prohibits deliberate purse seine sets around cetaceans and requires reporting of interactions. However, “CPCs having national and state legislation for protecting these species shall be exempt from reporting to IOTC but are encouraged to provide data for the IOTC Scientific Committee consideration.”</w:t>
            </w:r>
          </w:p>
          <w:p w14:paraId="4DE321E4" w14:textId="31C5244E" w:rsidR="009A3D44" w:rsidRPr="009C3850" w:rsidRDefault="005E4C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142D1">
              <w:rPr>
                <w:color w:val="000000"/>
              </w:rPr>
              <w:lastRenderedPageBreak/>
              <w:t>•</w:t>
            </w:r>
            <w:r>
              <w:rPr>
                <w:color w:val="000000"/>
              </w:rPr>
              <w:t xml:space="preserve"> </w:t>
            </w:r>
            <w:r w:rsidR="00787595" w:rsidRPr="009C3850">
              <w:rPr>
                <w:rFonts w:ascii="Times New Roman" w:hAnsi="Times New Roman" w:cs="Times New Roman"/>
                <w:color w:val="000000"/>
              </w:rPr>
              <w:t>Resolution 13/06 on a scientific and management framework on</w:t>
            </w:r>
            <w:r w:rsidR="005D341C">
              <w:rPr>
                <w:rFonts w:ascii="Times New Roman" w:hAnsi="Times New Roman" w:cs="Times New Roman"/>
                <w:color w:val="000000"/>
              </w:rPr>
              <w:t xml:space="preserve"> </w:t>
            </w:r>
            <w:r w:rsidR="00787595" w:rsidRPr="009C3850">
              <w:rPr>
                <w:rFonts w:ascii="Times New Roman" w:hAnsi="Times New Roman" w:cs="Times New Roman"/>
                <w:color w:val="000000"/>
              </w:rPr>
              <w:t>the conservation of shark species caught in association with IOTC</w:t>
            </w:r>
            <w:r w:rsidR="005D341C">
              <w:rPr>
                <w:rFonts w:ascii="Times New Roman" w:hAnsi="Times New Roman" w:cs="Times New Roman"/>
                <w:color w:val="000000"/>
              </w:rPr>
              <w:t xml:space="preserve"> </w:t>
            </w:r>
            <w:r w:rsidR="00787595" w:rsidRPr="009C3850">
              <w:rPr>
                <w:rFonts w:ascii="Times New Roman" w:hAnsi="Times New Roman" w:cs="Times New Roman"/>
                <w:color w:val="000000"/>
              </w:rPr>
              <w:t>managed fisheries prohibits, as an interim pilot measure, the</w:t>
            </w:r>
            <w:r w:rsidR="005D341C">
              <w:rPr>
                <w:rFonts w:ascii="Times New Roman" w:hAnsi="Times New Roman" w:cs="Times New Roman"/>
                <w:color w:val="000000"/>
              </w:rPr>
              <w:t xml:space="preserve"> </w:t>
            </w:r>
            <w:r w:rsidR="00787595" w:rsidRPr="009C3850">
              <w:rPr>
                <w:rFonts w:ascii="Times New Roman" w:hAnsi="Times New Roman" w:cs="Times New Roman"/>
                <w:color w:val="000000"/>
              </w:rPr>
              <w:t>retention onboard, transshipment, landing or storing any</w:t>
            </w:r>
            <w:r w:rsidR="005D341C">
              <w:rPr>
                <w:rFonts w:ascii="Times New Roman" w:hAnsi="Times New Roman" w:cs="Times New Roman"/>
                <w:color w:val="000000"/>
              </w:rPr>
              <w:t xml:space="preserve"> </w:t>
            </w:r>
            <w:r w:rsidR="00787595" w:rsidRPr="009C3850">
              <w:rPr>
                <w:rFonts w:ascii="Times New Roman" w:hAnsi="Times New Roman" w:cs="Times New Roman"/>
                <w:color w:val="000000"/>
              </w:rPr>
              <w:t>part or whole carcass of oceanic whitetip sharks.</w:t>
            </w:r>
          </w:p>
          <w:p w14:paraId="5CF218CB" w14:textId="4C748707" w:rsidR="009A3D44" w:rsidRDefault="007875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142D1">
              <w:rPr>
                <w:color w:val="000000"/>
              </w:rPr>
              <w:t>•</w:t>
            </w:r>
            <w:r>
              <w:rPr>
                <w:color w:val="000000"/>
              </w:rPr>
              <w:t xml:space="preserve"> </w:t>
            </w:r>
            <w:r w:rsidRPr="009C3850">
              <w:rPr>
                <w:rFonts w:ascii="Times New Roman" w:hAnsi="Times New Roman" w:cs="Times New Roman"/>
                <w:color w:val="000000"/>
              </w:rPr>
              <w:t>Resolution 11/04 on a Regional Observer Scheme requires data on</w:t>
            </w:r>
            <w:r w:rsidR="005D341C">
              <w:rPr>
                <w:rFonts w:ascii="Times New Roman" w:hAnsi="Times New Roman" w:cs="Times New Roman"/>
                <w:color w:val="000000"/>
              </w:rPr>
              <w:t xml:space="preserve"> </w:t>
            </w:r>
            <w:r w:rsidRPr="009C3850">
              <w:rPr>
                <w:rFonts w:ascii="Times New Roman" w:hAnsi="Times New Roman" w:cs="Times New Roman"/>
                <w:color w:val="000000"/>
              </w:rPr>
              <w:t>shark interactions to be recorded by observers and reported to</w:t>
            </w:r>
            <w:r w:rsidR="005D341C">
              <w:rPr>
                <w:rFonts w:ascii="Times New Roman" w:hAnsi="Times New Roman" w:cs="Times New Roman"/>
                <w:color w:val="000000"/>
              </w:rPr>
              <w:t xml:space="preserve"> </w:t>
            </w:r>
            <w:r w:rsidRPr="009C3850">
              <w:rPr>
                <w:rFonts w:ascii="Times New Roman" w:hAnsi="Times New Roman" w:cs="Times New Roman"/>
                <w:color w:val="000000"/>
              </w:rPr>
              <w:t>the IOTC within 150 days.</w:t>
            </w:r>
          </w:p>
          <w:p w14:paraId="004542AA" w14:textId="30194479" w:rsidR="005E4CE0" w:rsidRPr="009C3850" w:rsidRDefault="005E4C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142D1">
              <w:rPr>
                <w:color w:val="000000"/>
              </w:rPr>
              <w:t>•</w:t>
            </w:r>
            <w:r>
              <w:rPr>
                <w:color w:val="000000"/>
              </w:rPr>
              <w:t xml:space="preserve"> </w:t>
            </w:r>
            <w:r w:rsidRPr="005E4CE0">
              <w:rPr>
                <w:rFonts w:ascii="Times New Roman" w:hAnsi="Times New Roman" w:cs="Times New Roman"/>
                <w:color w:val="000000"/>
              </w:rPr>
              <w:t>Resolution 12-04 (which supersedes various prior measures) is specific to the conservation of sea turtles, and requires a range of measures including, to the extent practicable to avoid the encirclement of turtles and to safely release all turtles, including those observed entangled in FADs and to provide data on turtle bycatch to the SC.</w:t>
            </w:r>
          </w:p>
          <w:p w14:paraId="709A1A57" w14:textId="471352AC" w:rsidR="009A3D44" w:rsidRPr="009C3850" w:rsidRDefault="007875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142D1">
              <w:rPr>
                <w:color w:val="000000"/>
              </w:rPr>
              <w:t>•</w:t>
            </w:r>
            <w:r>
              <w:rPr>
                <w:color w:val="000000"/>
              </w:rPr>
              <w:t xml:space="preserve"> </w:t>
            </w:r>
            <w:r w:rsidRPr="009C3850">
              <w:rPr>
                <w:rFonts w:ascii="Times New Roman" w:hAnsi="Times New Roman" w:cs="Times New Roman"/>
                <w:color w:val="000000"/>
              </w:rPr>
              <w:t>Resolution 17/05 Concerning the conservation of sharks caught in</w:t>
            </w:r>
            <w:r w:rsidR="005D341C">
              <w:rPr>
                <w:rFonts w:ascii="Times New Roman" w:hAnsi="Times New Roman" w:cs="Times New Roman"/>
                <w:color w:val="000000"/>
              </w:rPr>
              <w:t xml:space="preserve"> </w:t>
            </w:r>
            <w:r w:rsidRPr="009C3850">
              <w:rPr>
                <w:rFonts w:ascii="Times New Roman" w:hAnsi="Times New Roman" w:cs="Times New Roman"/>
                <w:color w:val="000000"/>
              </w:rPr>
              <w:t>association with fisheries managed by IOTC includes minimum</w:t>
            </w:r>
            <w:r w:rsidR="005D341C">
              <w:rPr>
                <w:rFonts w:ascii="Times New Roman" w:hAnsi="Times New Roman" w:cs="Times New Roman"/>
                <w:color w:val="000000"/>
              </w:rPr>
              <w:t xml:space="preserve"> </w:t>
            </w:r>
            <w:r w:rsidRPr="009C3850">
              <w:rPr>
                <w:rFonts w:ascii="Times New Roman" w:hAnsi="Times New Roman" w:cs="Times New Roman"/>
                <w:color w:val="000000"/>
              </w:rPr>
              <w:t>reporting requirements for sharks, calls for full utilization of</w:t>
            </w:r>
            <w:r w:rsidR="005D341C">
              <w:rPr>
                <w:rFonts w:ascii="Times New Roman" w:hAnsi="Times New Roman" w:cs="Times New Roman"/>
                <w:color w:val="000000"/>
              </w:rPr>
              <w:t xml:space="preserve"> </w:t>
            </w:r>
            <w:r w:rsidRPr="009C3850">
              <w:rPr>
                <w:rFonts w:ascii="Times New Roman" w:hAnsi="Times New Roman" w:cs="Times New Roman"/>
                <w:color w:val="000000"/>
              </w:rPr>
              <w:t>sharks and includes a ratio of fin-to-body weight for shark fins</w:t>
            </w:r>
            <w:r w:rsidR="005D341C">
              <w:rPr>
                <w:rFonts w:ascii="Times New Roman" w:hAnsi="Times New Roman" w:cs="Times New Roman"/>
                <w:color w:val="000000"/>
              </w:rPr>
              <w:t xml:space="preserve"> </w:t>
            </w:r>
            <w:r w:rsidRPr="009C3850">
              <w:rPr>
                <w:rFonts w:ascii="Times New Roman" w:hAnsi="Times New Roman" w:cs="Times New Roman"/>
                <w:color w:val="000000"/>
              </w:rPr>
              <w:t>retained onboard a vessel.</w:t>
            </w:r>
          </w:p>
          <w:p w14:paraId="6566F511" w14:textId="672643B6" w:rsidR="009A3D44" w:rsidRPr="009C3850" w:rsidRDefault="007875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142D1">
              <w:rPr>
                <w:color w:val="000000"/>
              </w:rPr>
              <w:t>•</w:t>
            </w:r>
            <w:r>
              <w:rPr>
                <w:color w:val="000000"/>
              </w:rPr>
              <w:t xml:space="preserve"> </w:t>
            </w:r>
            <w:r w:rsidRPr="009C3850">
              <w:rPr>
                <w:rFonts w:ascii="Times New Roman" w:hAnsi="Times New Roman" w:cs="Times New Roman"/>
                <w:color w:val="000000"/>
              </w:rPr>
              <w:t xml:space="preserve">Resolution 19/03 on the conservation of </w:t>
            </w:r>
            <w:proofErr w:type="spellStart"/>
            <w:r w:rsidRPr="009C3850">
              <w:rPr>
                <w:rFonts w:ascii="Times New Roman" w:hAnsi="Times New Roman" w:cs="Times New Roman"/>
                <w:color w:val="000000"/>
              </w:rPr>
              <w:t>mobulid</w:t>
            </w:r>
            <w:proofErr w:type="spellEnd"/>
            <w:r w:rsidRPr="009C3850">
              <w:rPr>
                <w:rFonts w:ascii="Times New Roman" w:hAnsi="Times New Roman" w:cs="Times New Roman"/>
                <w:color w:val="000000"/>
              </w:rPr>
              <w:t xml:space="preserve"> species caught</w:t>
            </w:r>
            <w:r w:rsidR="005D341C">
              <w:rPr>
                <w:rFonts w:ascii="Times New Roman" w:hAnsi="Times New Roman" w:cs="Times New Roman"/>
                <w:color w:val="000000"/>
              </w:rPr>
              <w:t xml:space="preserve"> </w:t>
            </w:r>
            <w:r w:rsidRPr="009C3850">
              <w:rPr>
                <w:rFonts w:ascii="Times New Roman" w:hAnsi="Times New Roman" w:cs="Times New Roman"/>
                <w:color w:val="000000"/>
              </w:rPr>
              <w:t>in association with fisheries in the IOTC was adopted. This</w:t>
            </w:r>
            <w:r w:rsidR="005D341C">
              <w:rPr>
                <w:rFonts w:ascii="Times New Roman" w:hAnsi="Times New Roman" w:cs="Times New Roman"/>
                <w:color w:val="000000"/>
              </w:rPr>
              <w:t xml:space="preserve"> </w:t>
            </w:r>
            <w:r w:rsidRPr="009C3850">
              <w:rPr>
                <w:rFonts w:ascii="Times New Roman" w:hAnsi="Times New Roman" w:cs="Times New Roman"/>
                <w:color w:val="000000"/>
              </w:rPr>
              <w:t>resolution prohibit</w:t>
            </w:r>
            <w:r w:rsidR="00AA500E">
              <w:rPr>
                <w:rFonts w:ascii="Times New Roman" w:hAnsi="Times New Roman" w:cs="Times New Roman"/>
                <w:color w:val="000000"/>
              </w:rPr>
              <w:t>s</w:t>
            </w:r>
            <w:r w:rsidRPr="009C3850">
              <w:rPr>
                <w:rFonts w:ascii="Times New Roman" w:hAnsi="Times New Roman" w:cs="Times New Roman"/>
                <w:color w:val="000000"/>
              </w:rPr>
              <w:t xml:space="preserve"> all vessels from</w:t>
            </w:r>
            <w:r w:rsidR="005D341C">
              <w:rPr>
                <w:rFonts w:ascii="Times New Roman" w:hAnsi="Times New Roman" w:cs="Times New Roman"/>
                <w:color w:val="000000"/>
              </w:rPr>
              <w:t xml:space="preserve"> </w:t>
            </w:r>
            <w:r w:rsidRPr="009C3850">
              <w:rPr>
                <w:rFonts w:ascii="Times New Roman" w:hAnsi="Times New Roman" w:cs="Times New Roman"/>
                <w:color w:val="000000"/>
              </w:rPr>
              <w:t xml:space="preserve">intentionally setting any gear type for targeted fishing of </w:t>
            </w:r>
            <w:proofErr w:type="spellStart"/>
            <w:r w:rsidRPr="009C3850">
              <w:rPr>
                <w:rFonts w:ascii="Times New Roman" w:hAnsi="Times New Roman" w:cs="Times New Roman"/>
                <w:color w:val="000000"/>
              </w:rPr>
              <w:t>mobulid</w:t>
            </w:r>
            <w:proofErr w:type="spellEnd"/>
            <w:r w:rsidR="005D341C">
              <w:rPr>
                <w:rFonts w:ascii="Times New Roman" w:hAnsi="Times New Roman" w:cs="Times New Roman"/>
                <w:color w:val="000000"/>
              </w:rPr>
              <w:t xml:space="preserve"> </w:t>
            </w:r>
            <w:r w:rsidRPr="009C3850">
              <w:rPr>
                <w:rFonts w:ascii="Times New Roman" w:hAnsi="Times New Roman" w:cs="Times New Roman"/>
                <w:color w:val="000000"/>
              </w:rPr>
              <w:t xml:space="preserve">rays and retaining onboard, </w:t>
            </w:r>
            <w:proofErr w:type="spellStart"/>
            <w:r w:rsidRPr="009C3850">
              <w:rPr>
                <w:rFonts w:ascii="Times New Roman" w:hAnsi="Times New Roman" w:cs="Times New Roman"/>
                <w:color w:val="000000"/>
              </w:rPr>
              <w:t>transhipping</w:t>
            </w:r>
            <w:proofErr w:type="spellEnd"/>
            <w:r w:rsidRPr="009C3850">
              <w:rPr>
                <w:rFonts w:ascii="Times New Roman" w:hAnsi="Times New Roman" w:cs="Times New Roman"/>
                <w:color w:val="000000"/>
              </w:rPr>
              <w:t>, landing, storing, any</w:t>
            </w:r>
            <w:r w:rsidR="005D341C">
              <w:rPr>
                <w:rFonts w:ascii="Times New Roman" w:hAnsi="Times New Roman" w:cs="Times New Roman"/>
                <w:color w:val="000000"/>
              </w:rPr>
              <w:t xml:space="preserve"> </w:t>
            </w:r>
            <w:r w:rsidRPr="009C3850">
              <w:rPr>
                <w:rFonts w:ascii="Times New Roman" w:hAnsi="Times New Roman" w:cs="Times New Roman"/>
                <w:color w:val="000000"/>
              </w:rPr>
              <w:t xml:space="preserve">part or whole carcass of </w:t>
            </w:r>
            <w:proofErr w:type="spellStart"/>
            <w:r w:rsidRPr="009C3850">
              <w:rPr>
                <w:rFonts w:ascii="Times New Roman" w:hAnsi="Times New Roman" w:cs="Times New Roman"/>
                <w:color w:val="000000"/>
              </w:rPr>
              <w:t>mobulid</w:t>
            </w:r>
            <w:proofErr w:type="spellEnd"/>
            <w:r w:rsidRPr="009C3850">
              <w:rPr>
                <w:rFonts w:ascii="Times New Roman" w:hAnsi="Times New Roman" w:cs="Times New Roman"/>
                <w:color w:val="000000"/>
              </w:rPr>
              <w:t xml:space="preserve"> rays caught in the IOTC Area of</w:t>
            </w:r>
            <w:r w:rsidR="005D341C">
              <w:rPr>
                <w:rFonts w:ascii="Times New Roman" w:hAnsi="Times New Roman" w:cs="Times New Roman"/>
                <w:color w:val="000000"/>
              </w:rPr>
              <w:t xml:space="preserve"> </w:t>
            </w:r>
            <w:r w:rsidRPr="009C3850">
              <w:rPr>
                <w:rFonts w:ascii="Times New Roman" w:hAnsi="Times New Roman" w:cs="Times New Roman"/>
                <w:color w:val="000000"/>
              </w:rPr>
              <w:t>Competence.</w:t>
            </w:r>
          </w:p>
          <w:p w14:paraId="46A477BA" w14:textId="57AAA58B" w:rsidR="009A3D44" w:rsidRPr="009C3850" w:rsidRDefault="005D34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The SIOTI members have signed </w:t>
            </w:r>
            <w:r w:rsidRPr="009C3850">
              <w:rPr>
                <w:rFonts w:ascii="Times New Roman" w:hAnsi="Times New Roman" w:cs="Times New Roman"/>
                <w:color w:val="000000"/>
              </w:rPr>
              <w:t>Good Practice Codes</w:t>
            </w:r>
            <w:r>
              <w:rPr>
                <w:rFonts w:ascii="Times New Roman" w:hAnsi="Times New Roman" w:cs="Times New Roman"/>
                <w:color w:val="000000"/>
              </w:rPr>
              <w:t xml:space="preserve"> </w:t>
            </w:r>
            <w:r w:rsidRPr="009C3850">
              <w:rPr>
                <w:rFonts w:ascii="Times New Roman" w:hAnsi="Times New Roman" w:cs="Times New Roman"/>
                <w:color w:val="000000"/>
              </w:rPr>
              <w:t xml:space="preserve">and have implemented NE FAD policies </w:t>
            </w:r>
            <w:r w:rsidR="00101F06">
              <w:rPr>
                <w:rFonts w:ascii="Times New Roman" w:hAnsi="Times New Roman" w:cs="Times New Roman"/>
                <w:color w:val="000000"/>
              </w:rPr>
              <w:t xml:space="preserve">that </w:t>
            </w:r>
            <w:r w:rsidR="006D3A91">
              <w:rPr>
                <w:rFonts w:ascii="Times New Roman" w:hAnsi="Times New Roman" w:cs="Times New Roman"/>
                <w:color w:val="000000"/>
              </w:rPr>
              <w:t xml:space="preserve">ensure that </w:t>
            </w:r>
            <w:r w:rsidRPr="009C3850">
              <w:rPr>
                <w:rFonts w:ascii="Times New Roman" w:hAnsi="Times New Roman" w:cs="Times New Roman"/>
                <w:color w:val="000000"/>
              </w:rPr>
              <w:t xml:space="preserve">entangling FADs </w:t>
            </w:r>
            <w:r w:rsidR="006D3A91">
              <w:rPr>
                <w:rFonts w:ascii="Times New Roman" w:hAnsi="Times New Roman" w:cs="Times New Roman"/>
                <w:color w:val="000000"/>
              </w:rPr>
              <w:t xml:space="preserve">are not used </w:t>
            </w:r>
            <w:r w:rsidRPr="009C3850">
              <w:rPr>
                <w:rFonts w:ascii="Times New Roman" w:hAnsi="Times New Roman" w:cs="Times New Roman"/>
                <w:color w:val="000000"/>
              </w:rPr>
              <w:t xml:space="preserve">and </w:t>
            </w:r>
            <w:r w:rsidR="006D3A91">
              <w:rPr>
                <w:rFonts w:ascii="Times New Roman" w:hAnsi="Times New Roman" w:cs="Times New Roman"/>
                <w:color w:val="000000"/>
              </w:rPr>
              <w:t xml:space="preserve">to </w:t>
            </w:r>
            <w:r w:rsidRPr="009C3850">
              <w:rPr>
                <w:rFonts w:ascii="Times New Roman" w:hAnsi="Times New Roman" w:cs="Times New Roman"/>
                <w:color w:val="000000"/>
              </w:rPr>
              <w:t>promote the use of biodegradable FADs</w:t>
            </w:r>
            <w:r>
              <w:rPr>
                <w:rFonts w:ascii="Times New Roman" w:hAnsi="Times New Roman" w:cs="Times New Roman"/>
                <w:color w:val="000000"/>
              </w:rPr>
              <w:t xml:space="preserve"> </w:t>
            </w:r>
            <w:r w:rsidRPr="009C3850">
              <w:rPr>
                <w:rFonts w:ascii="Times New Roman" w:hAnsi="Times New Roman" w:cs="Times New Roman"/>
                <w:color w:val="000000"/>
              </w:rPr>
              <w:t>(which have an impact on ETP species)</w:t>
            </w:r>
            <w:r w:rsidR="009326FF">
              <w:rPr>
                <w:rFonts w:ascii="Times New Roman" w:hAnsi="Times New Roman" w:cs="Times New Roman"/>
                <w:color w:val="000000"/>
              </w:rPr>
              <w:t xml:space="preserve"> </w:t>
            </w:r>
            <w:r w:rsidRPr="009C3850">
              <w:rPr>
                <w:rFonts w:ascii="Times New Roman" w:hAnsi="Times New Roman" w:cs="Times New Roman"/>
                <w:color w:val="000000"/>
              </w:rPr>
              <w:t>(ANABAC CoP, BVC 2020,</w:t>
            </w:r>
            <w:r w:rsidR="009326FF">
              <w:rPr>
                <w:rFonts w:ascii="Times New Roman" w:hAnsi="Times New Roman" w:cs="Times New Roman"/>
                <w:color w:val="000000"/>
              </w:rPr>
              <w:t xml:space="preserve"> </w:t>
            </w:r>
            <w:r w:rsidRPr="009C3850">
              <w:rPr>
                <w:rFonts w:ascii="Times New Roman" w:hAnsi="Times New Roman" w:cs="Times New Roman"/>
                <w:color w:val="000000"/>
              </w:rPr>
              <w:t>MRAG 2018, MRAG 2019). Therefore, it is understood that there is</w:t>
            </w:r>
            <w:r>
              <w:rPr>
                <w:rFonts w:ascii="Times New Roman" w:hAnsi="Times New Roman" w:cs="Times New Roman"/>
                <w:color w:val="000000"/>
              </w:rPr>
              <w:t xml:space="preserve"> </w:t>
            </w:r>
            <w:r w:rsidRPr="009C3850">
              <w:rPr>
                <w:rFonts w:ascii="Times New Roman" w:hAnsi="Times New Roman" w:cs="Times New Roman"/>
                <w:color w:val="000000"/>
              </w:rPr>
              <w:t xml:space="preserve">a strategy in place for managing the </w:t>
            </w:r>
            <w:proofErr w:type="spellStart"/>
            <w:r w:rsidRPr="009C3850">
              <w:rPr>
                <w:rFonts w:ascii="Times New Roman" w:hAnsi="Times New Roman" w:cs="Times New Roman"/>
                <w:color w:val="000000"/>
              </w:rPr>
              <w:t>UoA’s</w:t>
            </w:r>
            <w:proofErr w:type="spellEnd"/>
            <w:r w:rsidRPr="009C3850">
              <w:rPr>
                <w:rFonts w:ascii="Times New Roman" w:hAnsi="Times New Roman" w:cs="Times New Roman"/>
                <w:color w:val="000000"/>
              </w:rPr>
              <w:t xml:space="preserve"> impact on ETP species.</w:t>
            </w:r>
          </w:p>
          <w:p w14:paraId="2E91F8C2" w14:textId="4FDA33CF"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lastRenderedPageBreak/>
              <w:t xml:space="preserve">Shark finning does not take place in the SIOTI fleet </w:t>
            </w:r>
            <w:r w:rsidR="005D341C">
              <w:rPr>
                <w:rFonts w:ascii="Times New Roman" w:hAnsi="Times New Roman" w:cs="Times New Roman"/>
                <w:color w:val="000000"/>
              </w:rPr>
              <w:t>as confirmed by a report commissioned by the group</w:t>
            </w:r>
            <w:r w:rsidRPr="009C3850">
              <w:rPr>
                <w:rFonts w:ascii="Times New Roman" w:hAnsi="Times New Roman" w:cs="Times New Roman"/>
                <w:color w:val="000000"/>
              </w:rPr>
              <w:t>.</w:t>
            </w:r>
          </w:p>
          <w:p w14:paraId="64905784" w14:textId="0BF7721A" w:rsidR="009A3D44" w:rsidRPr="009C3850" w:rsidRDefault="00BB761B" w:rsidP="005D34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However, a</w:t>
            </w:r>
            <w:r w:rsidR="005E4CE0" w:rsidRPr="009C3850">
              <w:rPr>
                <w:rFonts w:ascii="Times New Roman" w:hAnsi="Times New Roman" w:cs="Times New Roman"/>
                <w:color w:val="000000"/>
              </w:rPr>
              <w:t xml:space="preserve"> management strategy for silky shark, which together</w:t>
            </w:r>
            <w:r w:rsidR="005D341C">
              <w:rPr>
                <w:rFonts w:ascii="Times New Roman" w:hAnsi="Times New Roman" w:cs="Times New Roman"/>
                <w:color w:val="000000"/>
              </w:rPr>
              <w:t xml:space="preserve"> </w:t>
            </w:r>
            <w:r w:rsidR="005E4CE0" w:rsidRPr="009C3850">
              <w:rPr>
                <w:rFonts w:ascii="Times New Roman" w:hAnsi="Times New Roman" w:cs="Times New Roman"/>
                <w:color w:val="000000"/>
              </w:rPr>
              <w:t>with ocean white tip shark, are the main ETP species affected by</w:t>
            </w:r>
            <w:r w:rsidR="005D341C">
              <w:rPr>
                <w:rFonts w:ascii="Times New Roman" w:hAnsi="Times New Roman" w:cs="Times New Roman"/>
                <w:color w:val="000000"/>
              </w:rPr>
              <w:t xml:space="preserve"> </w:t>
            </w:r>
            <w:r w:rsidR="005E4CE0" w:rsidRPr="009C3850">
              <w:rPr>
                <w:rFonts w:ascii="Times New Roman" w:hAnsi="Times New Roman" w:cs="Times New Roman"/>
                <w:color w:val="000000"/>
              </w:rPr>
              <w:t xml:space="preserve">the fishery in the Indian Ocean </w:t>
            </w:r>
            <w:r w:rsidR="006D3A91">
              <w:rPr>
                <w:rFonts w:ascii="Times New Roman" w:hAnsi="Times New Roman" w:cs="Times New Roman"/>
                <w:color w:val="000000"/>
              </w:rPr>
              <w:t>is</w:t>
            </w:r>
            <w:r w:rsidR="005E4CE0" w:rsidRPr="009C3850">
              <w:rPr>
                <w:rFonts w:ascii="Times New Roman" w:hAnsi="Times New Roman" w:cs="Times New Roman"/>
                <w:color w:val="000000"/>
              </w:rPr>
              <w:t xml:space="preserve"> </w:t>
            </w:r>
            <w:r w:rsidR="00C653D5">
              <w:rPr>
                <w:rFonts w:ascii="Times New Roman" w:hAnsi="Times New Roman" w:cs="Times New Roman"/>
                <w:color w:val="000000"/>
              </w:rPr>
              <w:t xml:space="preserve">not </w:t>
            </w:r>
            <w:r w:rsidR="00331C7A">
              <w:rPr>
                <w:rFonts w:ascii="Times New Roman" w:hAnsi="Times New Roman" w:cs="Times New Roman"/>
                <w:color w:val="000000"/>
              </w:rPr>
              <w:t xml:space="preserve">in place. </w:t>
            </w:r>
            <w:r w:rsidR="003C6908">
              <w:rPr>
                <w:rFonts w:ascii="Times New Roman" w:hAnsi="Times New Roman" w:cs="Times New Roman"/>
                <w:color w:val="000000"/>
              </w:rPr>
              <w:t>Therefore, it</w:t>
            </w:r>
            <w:r w:rsidR="005E4CE0">
              <w:rPr>
                <w:rFonts w:ascii="Times New Roman" w:hAnsi="Times New Roman" w:cs="Times New Roman"/>
                <w:color w:val="000000"/>
              </w:rPr>
              <w:t xml:space="preserve"> is considered that </w:t>
            </w:r>
            <w:r w:rsidR="005E4CE0" w:rsidRPr="005E4CE0">
              <w:rPr>
                <w:rFonts w:ascii="Times New Roman" w:hAnsi="Times New Roman" w:cs="Times New Roman"/>
                <w:b/>
                <w:bCs/>
                <w:color w:val="000000"/>
              </w:rPr>
              <w:t xml:space="preserve">SG80 is </w:t>
            </w:r>
            <w:r w:rsidR="003C6908">
              <w:rPr>
                <w:rFonts w:ascii="Times New Roman" w:hAnsi="Times New Roman" w:cs="Times New Roman"/>
                <w:b/>
                <w:bCs/>
                <w:color w:val="000000"/>
              </w:rPr>
              <w:t xml:space="preserve">not </w:t>
            </w:r>
            <w:r w:rsidR="005E4CE0" w:rsidRPr="005E4CE0">
              <w:rPr>
                <w:rFonts w:ascii="Times New Roman" w:hAnsi="Times New Roman" w:cs="Times New Roman"/>
                <w:b/>
                <w:bCs/>
                <w:color w:val="000000"/>
              </w:rPr>
              <w:t>met.</w:t>
            </w:r>
          </w:p>
        </w:tc>
      </w:tr>
      <w:tr w:rsidR="009A3D44" w:rsidRPr="009C3850" w14:paraId="4C46DA13" w14:textId="77777777" w:rsidTr="009C3850">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41A54DEE"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7DAB6CF6" w14:textId="77777777" w:rsidR="009A3D44" w:rsidRPr="009C3850" w:rsidRDefault="009A3D44">
            <w:pPr>
              <w:widowControl w:val="0"/>
              <w:pBdr>
                <w:top w:val="nil"/>
                <w:left w:val="nil"/>
                <w:bottom w:val="nil"/>
                <w:right w:val="nil"/>
                <w:between w:val="nil"/>
              </w:pBdr>
              <w:spacing w:before="0"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348020D7"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2.3.3</w:t>
            </w:r>
          </w:p>
        </w:tc>
        <w:tc>
          <w:tcPr>
            <w:tcW w:w="3090" w:type="dxa"/>
            <w:shd w:val="clear" w:color="auto" w:fill="auto"/>
          </w:tcPr>
          <w:p w14:paraId="32789B2B"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Information</w:t>
            </w:r>
          </w:p>
        </w:tc>
        <w:tc>
          <w:tcPr>
            <w:tcW w:w="1111" w:type="dxa"/>
            <w:shd w:val="clear" w:color="auto" w:fill="auto"/>
          </w:tcPr>
          <w:p w14:paraId="57E589E6"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60-79</w:t>
            </w:r>
          </w:p>
        </w:tc>
        <w:tc>
          <w:tcPr>
            <w:tcW w:w="1271" w:type="dxa"/>
            <w:shd w:val="clear" w:color="auto" w:fill="auto"/>
          </w:tcPr>
          <w:p w14:paraId="1BE82F1F"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60-79</w:t>
            </w:r>
          </w:p>
        </w:tc>
        <w:tc>
          <w:tcPr>
            <w:tcW w:w="5851" w:type="dxa"/>
            <w:shd w:val="clear" w:color="auto" w:fill="auto"/>
          </w:tcPr>
          <w:p w14:paraId="356487B0" w14:textId="2CAE4639"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An overview of data requirements for bycatch species is given in IOTC-2022-WPEB18-07_Rev1 (see figure </w:t>
            </w:r>
            <w:r w:rsidR="005E4CE0">
              <w:rPr>
                <w:rFonts w:ascii="Times New Roman" w:hAnsi="Times New Roman" w:cs="Times New Roman"/>
                <w:color w:val="000000"/>
              </w:rPr>
              <w:t>5</w:t>
            </w:r>
            <w:r w:rsidRPr="009C3850">
              <w:rPr>
                <w:rFonts w:ascii="Times New Roman" w:hAnsi="Times New Roman" w:cs="Times New Roman"/>
                <w:color w:val="000000"/>
              </w:rPr>
              <w:t xml:space="preserve"> in annex 1).</w:t>
            </w:r>
          </w:p>
          <w:p w14:paraId="24D2F67D" w14:textId="3680C0D9"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Resolution 11/04 on a Regional Observer Scheme requires 5% observer coverage for vessels operating in the IOTC convention area, as calculated by the number of operations/sets for each gear type by the fleet of each CPC.</w:t>
            </w:r>
            <w:r w:rsidR="00665212">
              <w:rPr>
                <w:rFonts w:ascii="Times New Roman" w:hAnsi="Times New Roman" w:cs="Times New Roman"/>
                <w:color w:val="000000"/>
              </w:rPr>
              <w:t xml:space="preserve"> All SIOTI vessels have 100% observer coverage. However, when translating this coverage to data availability, </w:t>
            </w:r>
            <w:r w:rsidRPr="009C3850">
              <w:rPr>
                <w:rFonts w:ascii="Times New Roman" w:hAnsi="Times New Roman" w:cs="Times New Roman"/>
                <w:color w:val="000000"/>
              </w:rPr>
              <w:t xml:space="preserve">CFTO </w:t>
            </w:r>
            <w:r w:rsidR="00ED2B04">
              <w:rPr>
                <w:rFonts w:ascii="Times New Roman" w:hAnsi="Times New Roman" w:cs="Times New Roman"/>
                <w:color w:val="000000"/>
              </w:rPr>
              <w:t>AC</w:t>
            </w:r>
            <w:r w:rsidRPr="009C3850">
              <w:rPr>
                <w:rFonts w:ascii="Times New Roman" w:hAnsi="Times New Roman" w:cs="Times New Roman"/>
                <w:color w:val="000000"/>
              </w:rPr>
              <w:t>DR and Echebastar reports indicate observer coverages of 77% and 90% respectively</w:t>
            </w:r>
            <w:r w:rsidR="005D341C">
              <w:rPr>
                <w:rFonts w:ascii="Times New Roman" w:hAnsi="Times New Roman" w:cs="Times New Roman"/>
                <w:color w:val="000000"/>
              </w:rPr>
              <w:t xml:space="preserve"> </w:t>
            </w:r>
            <w:r w:rsidRPr="009C3850">
              <w:rPr>
                <w:rFonts w:ascii="Times New Roman" w:hAnsi="Times New Roman" w:cs="Times New Roman"/>
                <w:color w:val="000000"/>
              </w:rPr>
              <w:t>(CUP 2019)</w:t>
            </w:r>
            <w:r w:rsidR="00861226">
              <w:rPr>
                <w:rFonts w:ascii="Times New Roman" w:hAnsi="Times New Roman" w:cs="Times New Roman"/>
                <w:color w:val="000000"/>
              </w:rPr>
              <w:t xml:space="preserve"> </w:t>
            </w:r>
            <w:r w:rsidRPr="009C3850">
              <w:rPr>
                <w:rFonts w:ascii="Times New Roman" w:hAnsi="Times New Roman" w:cs="Times New Roman"/>
                <w:color w:val="000000"/>
              </w:rPr>
              <w:t>(BV 2020). Observer coverage in the ANABAC fishery seems to be lower, of around 53%</w:t>
            </w:r>
            <w:r w:rsidR="00665212">
              <w:rPr>
                <w:rFonts w:ascii="Times New Roman" w:hAnsi="Times New Roman" w:cs="Times New Roman"/>
                <w:color w:val="000000"/>
              </w:rPr>
              <w:t xml:space="preserve"> on average for the years 2016-2020</w:t>
            </w:r>
            <w:r w:rsidRPr="009C3850">
              <w:rPr>
                <w:rFonts w:ascii="Times New Roman" w:hAnsi="Times New Roman" w:cs="Times New Roman"/>
                <w:color w:val="000000"/>
              </w:rPr>
              <w:t xml:space="preserve">. IOTC-2022-WPEB18-07_Rev1 summarizes the statistical data available for IOTC bycatch species. The ROS regional database includes a total of 84,100 interactions with bycatch species for the purse seine, 98% affecting sharks. SIOTI has worked with the IOTC Secretariat to review the improvement in primary, secondary and ETP species information available in the Regional Observer Scheme database. However, according to the IOTC secretariat only limited data on bycatch is reported by the both the Spanish and French PS fleet due to several reasons and issues have been highlighted about the quality of that data which has resulted in conditions being set for this P.I. for </w:t>
            </w:r>
            <w:r w:rsidR="00A22EF0">
              <w:rPr>
                <w:rFonts w:ascii="Times New Roman" w:hAnsi="Times New Roman" w:cs="Times New Roman"/>
                <w:color w:val="000000"/>
              </w:rPr>
              <w:t xml:space="preserve">two out of the three </w:t>
            </w:r>
            <w:r w:rsidRPr="009C3850">
              <w:rPr>
                <w:rFonts w:ascii="Times New Roman" w:hAnsi="Times New Roman" w:cs="Times New Roman"/>
                <w:color w:val="000000"/>
              </w:rPr>
              <w:t>certified fisheries within the SIOTI (CFTO and ANABAC</w:t>
            </w:r>
            <w:r w:rsidR="000C01DE">
              <w:rPr>
                <w:rFonts w:ascii="Times New Roman" w:hAnsi="Times New Roman" w:cs="Times New Roman"/>
                <w:color w:val="000000"/>
              </w:rPr>
              <w:t>, this condition was closed for Echebastar at the 3</w:t>
            </w:r>
            <w:r w:rsidR="000C01DE" w:rsidRPr="00784E3B">
              <w:rPr>
                <w:rFonts w:ascii="Times New Roman" w:hAnsi="Times New Roman" w:cs="Times New Roman"/>
                <w:color w:val="000000"/>
                <w:vertAlign w:val="superscript"/>
              </w:rPr>
              <w:t>rd</w:t>
            </w:r>
            <w:r w:rsidR="000C01DE">
              <w:rPr>
                <w:rFonts w:ascii="Times New Roman" w:hAnsi="Times New Roman" w:cs="Times New Roman"/>
                <w:color w:val="000000"/>
              </w:rPr>
              <w:t xml:space="preserve"> surveillance visit (</w:t>
            </w:r>
            <w:r w:rsidR="004A3DD8">
              <w:rPr>
                <w:rFonts w:ascii="Times New Roman" w:hAnsi="Times New Roman" w:cs="Times New Roman"/>
                <w:color w:val="000000"/>
              </w:rPr>
              <w:t>Scarcella &amp; Rios 2022</w:t>
            </w:r>
            <w:r w:rsidRPr="009C3850">
              <w:rPr>
                <w:rFonts w:ascii="Times New Roman" w:hAnsi="Times New Roman" w:cs="Times New Roman"/>
                <w:color w:val="000000"/>
              </w:rPr>
              <w:t xml:space="preserve">). Therefore, it is considered that </w:t>
            </w:r>
            <w:r w:rsidRPr="009C3850">
              <w:rPr>
                <w:rFonts w:ascii="Times New Roman" w:hAnsi="Times New Roman" w:cs="Times New Roman"/>
                <w:b/>
                <w:color w:val="000000"/>
              </w:rPr>
              <w:t>SG80 is not met.</w:t>
            </w:r>
          </w:p>
        </w:tc>
      </w:tr>
      <w:tr w:rsidR="009A3D44" w:rsidRPr="009C3850" w14:paraId="1E8673CF" w14:textId="77777777" w:rsidTr="009C3850">
        <w:trPr>
          <w:trHeight w:val="596"/>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5528DB60"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val="restart"/>
            <w:shd w:val="clear" w:color="auto" w:fill="auto"/>
          </w:tcPr>
          <w:p w14:paraId="1B74CEDD"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Habitats</w:t>
            </w:r>
          </w:p>
        </w:tc>
        <w:tc>
          <w:tcPr>
            <w:tcW w:w="951" w:type="dxa"/>
            <w:shd w:val="clear" w:color="auto" w:fill="auto"/>
          </w:tcPr>
          <w:p w14:paraId="6B30B7B8"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2.4.1</w:t>
            </w:r>
          </w:p>
        </w:tc>
        <w:tc>
          <w:tcPr>
            <w:tcW w:w="3090" w:type="dxa"/>
            <w:shd w:val="clear" w:color="auto" w:fill="auto"/>
          </w:tcPr>
          <w:p w14:paraId="4704F9F7"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Outcome</w:t>
            </w:r>
          </w:p>
        </w:tc>
        <w:tc>
          <w:tcPr>
            <w:tcW w:w="1111" w:type="dxa"/>
            <w:shd w:val="clear" w:color="auto" w:fill="auto"/>
          </w:tcPr>
          <w:p w14:paraId="24F656C4"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60-79</w:t>
            </w:r>
          </w:p>
        </w:tc>
        <w:tc>
          <w:tcPr>
            <w:tcW w:w="1271" w:type="dxa"/>
            <w:shd w:val="clear" w:color="auto" w:fill="auto"/>
          </w:tcPr>
          <w:p w14:paraId="196B7579" w14:textId="0DBE667B" w:rsidR="009A3D44" w:rsidRPr="009C3850" w:rsidRDefault="007875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&gt;80</w:t>
            </w:r>
          </w:p>
        </w:tc>
        <w:tc>
          <w:tcPr>
            <w:tcW w:w="5851" w:type="dxa"/>
            <w:shd w:val="clear" w:color="auto" w:fill="auto"/>
          </w:tcPr>
          <w:p w14:paraId="4A865562" w14:textId="12FB09D1" w:rsidR="009A3D44" w:rsidRPr="009C3850" w:rsidRDefault="00A96FF9" w:rsidP="00A96F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96FF9">
              <w:rPr>
                <w:rFonts w:ascii="Times New Roman" w:hAnsi="Times New Roman" w:cs="Times New Roman"/>
                <w:color w:val="000000"/>
              </w:rPr>
              <w:t>The purse seine gear in this fishery is pelagic, and therefore the fishing operation itself does not impact on benthic habitats</w:t>
            </w:r>
            <w:r>
              <w:rPr>
                <w:rFonts w:ascii="Times New Roman" w:hAnsi="Times New Roman" w:cs="Times New Roman"/>
                <w:color w:val="000000"/>
              </w:rPr>
              <w:t>. The only impact to be considered here is that of the</w:t>
            </w:r>
            <w:r w:rsidRPr="00A96FF9">
              <w:rPr>
                <w:rFonts w:ascii="Times New Roman" w:hAnsi="Times New Roman" w:cs="Times New Roman"/>
                <w:color w:val="000000"/>
              </w:rPr>
              <w:t xml:space="preserve"> risk of lost or </w:t>
            </w:r>
            <w:r w:rsidRPr="00A96FF9">
              <w:rPr>
                <w:rFonts w:ascii="Times New Roman" w:hAnsi="Times New Roman" w:cs="Times New Roman"/>
                <w:color w:val="000000"/>
              </w:rPr>
              <w:lastRenderedPageBreak/>
              <w:t>abandoned drifting FADs beaching onto coastlines and causing damage to coral reefs VMEs</w:t>
            </w:r>
            <w:r>
              <w:rPr>
                <w:rFonts w:ascii="Times New Roman" w:hAnsi="Times New Roman" w:cs="Times New Roman"/>
                <w:color w:val="000000"/>
              </w:rPr>
              <w:t xml:space="preserve">. </w:t>
            </w:r>
            <w:r w:rsidRPr="00A96FF9">
              <w:rPr>
                <w:rFonts w:ascii="Times New Roman" w:hAnsi="Times New Roman" w:cs="Times New Roman"/>
                <w:color w:val="000000"/>
              </w:rPr>
              <w:t xml:space="preserve">The likelihood of beaching events has been calculated by Davies et al. (2017), </w:t>
            </w:r>
            <w:proofErr w:type="spellStart"/>
            <w:r w:rsidRPr="00A96FF9">
              <w:rPr>
                <w:rFonts w:ascii="Times New Roman" w:hAnsi="Times New Roman" w:cs="Times New Roman"/>
                <w:color w:val="000000"/>
              </w:rPr>
              <w:t>Maufroy</w:t>
            </w:r>
            <w:proofErr w:type="spellEnd"/>
            <w:r w:rsidRPr="00A96FF9">
              <w:rPr>
                <w:rFonts w:ascii="Times New Roman" w:hAnsi="Times New Roman" w:cs="Times New Roman"/>
                <w:color w:val="000000"/>
              </w:rPr>
              <w:t xml:space="preserve"> et al. (2015) and </w:t>
            </w:r>
            <w:proofErr w:type="spellStart"/>
            <w:r w:rsidRPr="00A96FF9">
              <w:rPr>
                <w:rFonts w:ascii="Times New Roman" w:hAnsi="Times New Roman" w:cs="Times New Roman"/>
                <w:color w:val="000000"/>
              </w:rPr>
              <w:t>Zudaire</w:t>
            </w:r>
            <w:proofErr w:type="spellEnd"/>
            <w:r w:rsidRPr="00A96FF9">
              <w:rPr>
                <w:rFonts w:ascii="Times New Roman" w:hAnsi="Times New Roman" w:cs="Times New Roman"/>
                <w:color w:val="000000"/>
              </w:rPr>
              <w:t xml:space="preserve"> et al. (2018) with estimates ranging</w:t>
            </w:r>
            <w:r>
              <w:rPr>
                <w:rFonts w:ascii="Times New Roman" w:hAnsi="Times New Roman" w:cs="Times New Roman"/>
                <w:color w:val="000000"/>
              </w:rPr>
              <w:t xml:space="preserve"> </w:t>
            </w:r>
            <w:r w:rsidRPr="00A96FF9">
              <w:rPr>
                <w:rFonts w:ascii="Times New Roman" w:hAnsi="Times New Roman" w:cs="Times New Roman"/>
                <w:color w:val="000000"/>
              </w:rPr>
              <w:t xml:space="preserve">from 32.3% to 0.5%. </w:t>
            </w:r>
            <w:r w:rsidR="005D341C">
              <w:rPr>
                <w:rFonts w:ascii="Times New Roman" w:hAnsi="Times New Roman" w:cs="Times New Roman"/>
                <w:color w:val="000000"/>
              </w:rPr>
              <w:t>The use of n</w:t>
            </w:r>
            <w:r w:rsidRPr="009C3850">
              <w:rPr>
                <w:rFonts w:ascii="Times New Roman" w:hAnsi="Times New Roman" w:cs="Times New Roman"/>
                <w:color w:val="000000"/>
              </w:rPr>
              <w:t xml:space="preserve">on-entangling </w:t>
            </w:r>
            <w:r w:rsidR="00DF6BC8">
              <w:rPr>
                <w:rFonts w:ascii="Times New Roman" w:hAnsi="Times New Roman" w:cs="Times New Roman"/>
                <w:color w:val="000000"/>
              </w:rPr>
              <w:t xml:space="preserve">FADs is </w:t>
            </w:r>
            <w:r w:rsidR="00D96029">
              <w:rPr>
                <w:rFonts w:ascii="Times New Roman" w:hAnsi="Times New Roman" w:cs="Times New Roman"/>
                <w:color w:val="000000"/>
              </w:rPr>
              <w:t>already implem</w:t>
            </w:r>
            <w:r w:rsidR="00D013A1">
              <w:rPr>
                <w:rFonts w:ascii="Times New Roman" w:hAnsi="Times New Roman" w:cs="Times New Roman"/>
                <w:color w:val="000000"/>
              </w:rPr>
              <w:t>en</w:t>
            </w:r>
            <w:r w:rsidR="00D96029">
              <w:rPr>
                <w:rFonts w:ascii="Times New Roman" w:hAnsi="Times New Roman" w:cs="Times New Roman"/>
                <w:color w:val="000000"/>
              </w:rPr>
              <w:t xml:space="preserve">ted, while </w:t>
            </w:r>
            <w:r w:rsidR="00D013A1">
              <w:rPr>
                <w:rFonts w:ascii="Times New Roman" w:hAnsi="Times New Roman" w:cs="Times New Roman"/>
                <w:color w:val="000000"/>
              </w:rPr>
              <w:t xml:space="preserve">the use of </w:t>
            </w:r>
            <w:r w:rsidRPr="009C3850">
              <w:rPr>
                <w:rFonts w:ascii="Times New Roman" w:hAnsi="Times New Roman" w:cs="Times New Roman"/>
                <w:color w:val="000000"/>
              </w:rPr>
              <w:t xml:space="preserve">BioFADs </w:t>
            </w:r>
            <w:r w:rsidR="005D341C">
              <w:rPr>
                <w:rFonts w:ascii="Times New Roman" w:hAnsi="Times New Roman" w:cs="Times New Roman"/>
                <w:color w:val="000000"/>
              </w:rPr>
              <w:t xml:space="preserve">is being implemented </w:t>
            </w:r>
            <w:r w:rsidRPr="009C3850">
              <w:rPr>
                <w:rFonts w:ascii="Times New Roman" w:hAnsi="Times New Roman" w:cs="Times New Roman"/>
                <w:color w:val="000000"/>
              </w:rPr>
              <w:t xml:space="preserve">by the </w:t>
            </w:r>
            <w:r w:rsidR="005D341C">
              <w:rPr>
                <w:rFonts w:ascii="Times New Roman" w:hAnsi="Times New Roman" w:cs="Times New Roman"/>
                <w:color w:val="000000"/>
              </w:rPr>
              <w:t xml:space="preserve">SIOTI </w:t>
            </w:r>
            <w:r w:rsidRPr="009C3850">
              <w:rPr>
                <w:rFonts w:ascii="Times New Roman" w:hAnsi="Times New Roman" w:cs="Times New Roman"/>
                <w:color w:val="000000"/>
              </w:rPr>
              <w:t>f</w:t>
            </w:r>
            <w:r w:rsidR="005D341C">
              <w:rPr>
                <w:rFonts w:ascii="Times New Roman" w:hAnsi="Times New Roman" w:cs="Times New Roman"/>
                <w:color w:val="000000"/>
              </w:rPr>
              <w:t>leet</w:t>
            </w:r>
            <w:r w:rsidRPr="009C3850">
              <w:rPr>
                <w:rFonts w:ascii="Times New Roman" w:hAnsi="Times New Roman" w:cs="Times New Roman"/>
                <w:color w:val="000000"/>
              </w:rPr>
              <w:t xml:space="preserve"> which </w:t>
            </w:r>
            <w:r w:rsidR="00ED2B04" w:rsidRPr="009C3850">
              <w:rPr>
                <w:rFonts w:ascii="Times New Roman" w:hAnsi="Times New Roman" w:cs="Times New Roman"/>
                <w:color w:val="000000"/>
              </w:rPr>
              <w:t>reduces</w:t>
            </w:r>
            <w:r w:rsidRPr="009C3850">
              <w:rPr>
                <w:rFonts w:ascii="Times New Roman" w:hAnsi="Times New Roman" w:cs="Times New Roman"/>
                <w:color w:val="000000"/>
              </w:rPr>
              <w:t xml:space="preserve"> the possibility of ghost fishing interacting with coastal areas. </w:t>
            </w:r>
            <w:r w:rsidR="005D341C">
              <w:rPr>
                <w:rFonts w:ascii="Times New Roman" w:hAnsi="Times New Roman" w:cs="Times New Roman"/>
                <w:color w:val="000000"/>
              </w:rPr>
              <w:t xml:space="preserve">A FAD watch </w:t>
            </w:r>
            <w:r>
              <w:rPr>
                <w:rFonts w:ascii="Times New Roman" w:hAnsi="Times New Roman" w:cs="Times New Roman"/>
                <w:color w:val="000000"/>
              </w:rPr>
              <w:t xml:space="preserve">project </w:t>
            </w:r>
            <w:r w:rsidR="007D32BA">
              <w:rPr>
                <w:rFonts w:ascii="Times New Roman" w:hAnsi="Times New Roman" w:cs="Times New Roman"/>
                <w:color w:val="000000"/>
              </w:rPr>
              <w:t xml:space="preserve">operating in Seychelles waters </w:t>
            </w:r>
            <w:r w:rsidR="005D341C">
              <w:rPr>
                <w:rFonts w:ascii="Times New Roman" w:hAnsi="Times New Roman" w:cs="Times New Roman"/>
                <w:color w:val="000000"/>
              </w:rPr>
              <w:t xml:space="preserve">was launched by the fleet </w:t>
            </w:r>
            <w:r w:rsidR="001E166E">
              <w:rPr>
                <w:rFonts w:ascii="Times New Roman" w:hAnsi="Times New Roman" w:cs="Times New Roman"/>
                <w:color w:val="000000"/>
              </w:rPr>
              <w:t>to respond to this issue and FADWATCH 2</w:t>
            </w:r>
            <w:r w:rsidR="007D32BA">
              <w:rPr>
                <w:rFonts w:ascii="Times New Roman" w:hAnsi="Times New Roman" w:cs="Times New Roman"/>
                <w:color w:val="000000"/>
              </w:rPr>
              <w:t xml:space="preserve"> </w:t>
            </w:r>
            <w:r w:rsidR="00786966">
              <w:rPr>
                <w:rFonts w:ascii="Times New Roman" w:hAnsi="Times New Roman" w:cs="Times New Roman"/>
                <w:color w:val="000000"/>
              </w:rPr>
              <w:t xml:space="preserve">will shortly start to develop the approach. </w:t>
            </w:r>
            <w:r w:rsidR="001E166E">
              <w:rPr>
                <w:rFonts w:ascii="Times New Roman" w:hAnsi="Times New Roman" w:cs="Times New Roman"/>
                <w:color w:val="000000"/>
              </w:rPr>
              <w:t xml:space="preserve">  </w:t>
            </w:r>
            <w:r>
              <w:rPr>
                <w:rFonts w:ascii="Times New Roman" w:hAnsi="Times New Roman" w:cs="Times New Roman"/>
                <w:color w:val="000000"/>
              </w:rPr>
              <w:t xml:space="preserve"> </w:t>
            </w:r>
            <w:r w:rsidR="005D341C">
              <w:rPr>
                <w:rFonts w:ascii="Times New Roman" w:hAnsi="Times New Roman" w:cs="Times New Roman"/>
                <w:color w:val="000000"/>
              </w:rPr>
              <w:t xml:space="preserve"> </w:t>
            </w:r>
            <w:r w:rsidR="00786966">
              <w:rPr>
                <w:rFonts w:ascii="Times New Roman" w:hAnsi="Times New Roman" w:cs="Times New Roman"/>
                <w:color w:val="000000"/>
              </w:rPr>
              <w:t xml:space="preserve">A pilot </w:t>
            </w:r>
            <w:r w:rsidR="005D341C">
              <w:rPr>
                <w:rFonts w:ascii="Times New Roman" w:hAnsi="Times New Roman" w:cs="Times New Roman"/>
                <w:color w:val="000000"/>
              </w:rPr>
              <w:t xml:space="preserve">study to assess the impact of lost FADs on coral reefs </w:t>
            </w:r>
            <w:r>
              <w:rPr>
                <w:rFonts w:ascii="Times New Roman" w:hAnsi="Times New Roman" w:cs="Times New Roman"/>
                <w:color w:val="000000"/>
              </w:rPr>
              <w:t xml:space="preserve">has been recently finished. </w:t>
            </w:r>
            <w:r w:rsidR="00787595" w:rsidRPr="00787595">
              <w:rPr>
                <w:rFonts w:ascii="Times New Roman" w:hAnsi="Times New Roman" w:cs="Times New Roman"/>
                <w:color w:val="000000"/>
              </w:rPr>
              <w:t xml:space="preserve">The </w:t>
            </w:r>
            <w:proofErr w:type="spellStart"/>
            <w:r w:rsidR="00787595" w:rsidRPr="00787595">
              <w:rPr>
                <w:rFonts w:ascii="Times New Roman" w:hAnsi="Times New Roman" w:cs="Times New Roman"/>
                <w:color w:val="000000"/>
              </w:rPr>
              <w:t>UoA</w:t>
            </w:r>
            <w:proofErr w:type="spellEnd"/>
            <w:r w:rsidR="00787595" w:rsidRPr="00787595">
              <w:rPr>
                <w:rFonts w:ascii="Times New Roman" w:hAnsi="Times New Roman" w:cs="Times New Roman"/>
                <w:color w:val="000000"/>
              </w:rPr>
              <w:t xml:space="preserve"> has made efforts to reduce the impact of drifting F</w:t>
            </w:r>
            <w:r w:rsidR="00787595">
              <w:rPr>
                <w:rFonts w:ascii="Times New Roman" w:hAnsi="Times New Roman" w:cs="Times New Roman"/>
                <w:color w:val="000000"/>
              </w:rPr>
              <w:t xml:space="preserve">ADs and the impact of lost FADs seems to be relatively small and localized. </w:t>
            </w:r>
            <w:r w:rsidR="005D341C" w:rsidRPr="005D341C">
              <w:rPr>
                <w:rFonts w:ascii="Times New Roman" w:hAnsi="Times New Roman" w:cs="Times New Roman"/>
                <w:b/>
                <w:bCs/>
                <w:color w:val="000000"/>
              </w:rPr>
              <w:t>SG80 is met.</w:t>
            </w:r>
            <w:r w:rsidR="005D341C">
              <w:rPr>
                <w:rFonts w:ascii="Times New Roman" w:hAnsi="Times New Roman" w:cs="Times New Roman"/>
                <w:color w:val="000000"/>
              </w:rPr>
              <w:t xml:space="preserve"> </w:t>
            </w:r>
            <w:r w:rsidR="00787595">
              <w:rPr>
                <w:rFonts w:ascii="Times New Roman" w:hAnsi="Times New Roman" w:cs="Times New Roman"/>
                <w:color w:val="000000"/>
              </w:rPr>
              <w:t>Harmonized with the ANABAC assessment.</w:t>
            </w:r>
          </w:p>
        </w:tc>
      </w:tr>
      <w:tr w:rsidR="009A3D44" w:rsidRPr="009C3850" w14:paraId="7FB3F82D" w14:textId="77777777" w:rsidTr="009C3850">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2715928F"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01A440EF" w14:textId="77777777" w:rsidR="009A3D44" w:rsidRPr="009C3850" w:rsidRDefault="009A3D44">
            <w:pPr>
              <w:widowControl w:val="0"/>
              <w:pBdr>
                <w:top w:val="nil"/>
                <w:left w:val="nil"/>
                <w:bottom w:val="nil"/>
                <w:right w:val="nil"/>
                <w:between w:val="nil"/>
              </w:pBdr>
              <w:spacing w:before="0"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155BC128"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2.4.2</w:t>
            </w:r>
          </w:p>
        </w:tc>
        <w:tc>
          <w:tcPr>
            <w:tcW w:w="3090" w:type="dxa"/>
            <w:shd w:val="clear" w:color="auto" w:fill="auto"/>
          </w:tcPr>
          <w:p w14:paraId="7C0DD513"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Management strategy</w:t>
            </w:r>
          </w:p>
        </w:tc>
        <w:tc>
          <w:tcPr>
            <w:tcW w:w="1111" w:type="dxa"/>
            <w:shd w:val="clear" w:color="auto" w:fill="auto"/>
          </w:tcPr>
          <w:p w14:paraId="39B4326D"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60-79</w:t>
            </w:r>
          </w:p>
        </w:tc>
        <w:tc>
          <w:tcPr>
            <w:tcW w:w="1271" w:type="dxa"/>
            <w:shd w:val="clear" w:color="auto" w:fill="auto"/>
          </w:tcPr>
          <w:p w14:paraId="50FF4CD9" w14:textId="256A6BC8" w:rsidR="009A3D44" w:rsidRPr="009C3850" w:rsidRDefault="007875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&gt;80</w:t>
            </w:r>
          </w:p>
        </w:tc>
        <w:tc>
          <w:tcPr>
            <w:tcW w:w="5851" w:type="dxa"/>
            <w:shd w:val="clear" w:color="auto" w:fill="auto"/>
          </w:tcPr>
          <w:p w14:paraId="3F596972" w14:textId="316BC77A" w:rsidR="00787595" w:rsidRPr="0057289A" w:rsidRDefault="00787595" w:rsidP="007875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7289A">
              <w:rPr>
                <w:rFonts w:ascii="Times New Roman" w:hAnsi="Times New Roman" w:cs="Times New Roman"/>
                <w:color w:val="000000"/>
              </w:rPr>
              <w:t>At the IOTC level a number of resolutions have been approved in order to reduce the impact of FADs, including:</w:t>
            </w:r>
          </w:p>
          <w:p w14:paraId="260C390A" w14:textId="13E9EFE0" w:rsidR="00787595" w:rsidRPr="0057289A" w:rsidRDefault="00787595" w:rsidP="007875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87595">
              <w:rPr>
                <w:color w:val="000000"/>
              </w:rPr>
              <w:t xml:space="preserve">• </w:t>
            </w:r>
            <w:r w:rsidRPr="0057289A">
              <w:rPr>
                <w:rFonts w:ascii="Times New Roman" w:hAnsi="Times New Roman" w:cs="Times New Roman"/>
                <w:color w:val="000000"/>
              </w:rPr>
              <w:t>Resolution 19/02</w:t>
            </w:r>
            <w:r w:rsidR="0057289A" w:rsidRPr="0057289A">
              <w:rPr>
                <w:rFonts w:ascii="Times New Roman" w:hAnsi="Times New Roman" w:cs="Times New Roman"/>
                <w:color w:val="000000"/>
              </w:rPr>
              <w:t xml:space="preserve"> established procedures on a FADs management plan, including a limit of 300 operational buoys at sea at any one time per vessel; and a limit of 500 instrumented buoys in stock at any time and 500 instrumented buoys to be acquired annually by each fishing vessel. Moreover, this resolution requests CPC vessels to use non-entangling FADs constructed without netting material and encourage to use biodegradable FADs and remove from the water, retain onboard and only dispose of in port, all traditional FADs encountered (</w:t>
            </w:r>
            <w:proofErr w:type="gramStart"/>
            <w:r w:rsidR="0057289A" w:rsidRPr="0057289A">
              <w:rPr>
                <w:rFonts w:ascii="Times New Roman" w:hAnsi="Times New Roman" w:cs="Times New Roman"/>
                <w:color w:val="000000"/>
              </w:rPr>
              <w:t>e.g.</w:t>
            </w:r>
            <w:proofErr w:type="gramEnd"/>
            <w:r w:rsidR="0057289A" w:rsidRPr="0057289A">
              <w:rPr>
                <w:rFonts w:ascii="Times New Roman" w:hAnsi="Times New Roman" w:cs="Times New Roman"/>
                <w:color w:val="000000"/>
              </w:rPr>
              <w:t xml:space="preserve"> those made of entangling materials or designs) from 1 January 2022.</w:t>
            </w:r>
          </w:p>
          <w:p w14:paraId="79C97133" w14:textId="423EC04E" w:rsidR="00787595" w:rsidRPr="0057289A" w:rsidRDefault="00787595" w:rsidP="007875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7289A">
              <w:rPr>
                <w:rFonts w:ascii="Times New Roman" w:hAnsi="Times New Roman" w:cs="Times New Roman"/>
                <w:color w:val="000000"/>
              </w:rPr>
              <w:t>• Resolution 11/04: Resolution on a regional observer scheme requiring observer coverage of at least 5% of the number of operations/sets for each gear type by the fleet of each CPC. Through this observer scheme, compliance with the types of FADs deployed is monitored.</w:t>
            </w:r>
          </w:p>
          <w:p w14:paraId="0494B68D" w14:textId="494F6FED" w:rsidR="005E2431" w:rsidRDefault="00787595" w:rsidP="007875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142D1">
              <w:rPr>
                <w:color w:val="000000"/>
              </w:rPr>
              <w:t>•</w:t>
            </w:r>
            <w:r w:rsidRPr="00787595">
              <w:rPr>
                <w:rFonts w:ascii="Times New Roman" w:hAnsi="Times New Roman" w:cs="Times New Roman"/>
                <w:color w:val="000000"/>
              </w:rPr>
              <w:t xml:space="preserve"> Resolution 03/01: Resolution on the limitation of fishing capacity of contracting parties and cooperating non-contracting parties for CPCs which have more than 50 vessels on the 2003</w:t>
            </w:r>
            <w:r w:rsidR="005E2431">
              <w:rPr>
                <w:rFonts w:ascii="Times New Roman" w:hAnsi="Times New Roman" w:cs="Times New Roman"/>
                <w:color w:val="000000"/>
              </w:rPr>
              <w:t xml:space="preserve"> </w:t>
            </w:r>
          </w:p>
          <w:p w14:paraId="6D340515" w14:textId="65AE263E"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lastRenderedPageBreak/>
              <w:t xml:space="preserve">As </w:t>
            </w:r>
            <w:r w:rsidR="00787595">
              <w:rPr>
                <w:rFonts w:ascii="Times New Roman" w:hAnsi="Times New Roman" w:cs="Times New Roman"/>
                <w:color w:val="000000"/>
              </w:rPr>
              <w:t>indicated above the SIOTI fleet has also implemented a number of measure</w:t>
            </w:r>
            <w:r w:rsidR="007E224F">
              <w:rPr>
                <w:rFonts w:ascii="Times New Roman" w:hAnsi="Times New Roman" w:cs="Times New Roman"/>
                <w:color w:val="000000"/>
              </w:rPr>
              <w:t>s</w:t>
            </w:r>
            <w:r w:rsidR="00787595">
              <w:rPr>
                <w:rFonts w:ascii="Times New Roman" w:hAnsi="Times New Roman" w:cs="Times New Roman"/>
                <w:color w:val="000000"/>
              </w:rPr>
              <w:t xml:space="preserve"> to reduce the risk of </w:t>
            </w:r>
            <w:r w:rsidR="007E224F">
              <w:rPr>
                <w:rFonts w:ascii="Times New Roman" w:hAnsi="Times New Roman" w:cs="Times New Roman"/>
                <w:color w:val="000000"/>
              </w:rPr>
              <w:t>d</w:t>
            </w:r>
            <w:r w:rsidR="00787595">
              <w:rPr>
                <w:rFonts w:ascii="Times New Roman" w:hAnsi="Times New Roman" w:cs="Times New Roman"/>
                <w:color w:val="000000"/>
              </w:rPr>
              <w:t>FADs beach</w:t>
            </w:r>
            <w:r w:rsidR="007E224F">
              <w:rPr>
                <w:rFonts w:ascii="Times New Roman" w:hAnsi="Times New Roman" w:cs="Times New Roman"/>
                <w:color w:val="000000"/>
              </w:rPr>
              <w:t>ing</w:t>
            </w:r>
            <w:r w:rsidR="00787595">
              <w:rPr>
                <w:rFonts w:ascii="Times New Roman" w:hAnsi="Times New Roman" w:cs="Times New Roman"/>
                <w:color w:val="000000"/>
              </w:rPr>
              <w:t xml:space="preserve">. Therefore, it is considered that </w:t>
            </w:r>
            <w:r w:rsidRPr="009C3850">
              <w:rPr>
                <w:rFonts w:ascii="Times New Roman" w:hAnsi="Times New Roman" w:cs="Times New Roman"/>
                <w:b/>
                <w:color w:val="000000"/>
              </w:rPr>
              <w:t>SG80 is met.</w:t>
            </w:r>
            <w:r w:rsidR="00717FB3">
              <w:rPr>
                <w:rFonts w:ascii="Times New Roman" w:hAnsi="Times New Roman" w:cs="Times New Roman"/>
                <w:b/>
                <w:color w:val="000000"/>
              </w:rPr>
              <w:t xml:space="preserve"> </w:t>
            </w:r>
            <w:r w:rsidR="00717FB3" w:rsidRPr="00717FB3">
              <w:rPr>
                <w:rFonts w:ascii="Times New Roman" w:hAnsi="Times New Roman" w:cs="Times New Roman"/>
                <w:bCs/>
                <w:color w:val="000000"/>
              </w:rPr>
              <w:t>Harmonized with ANABAC.</w:t>
            </w:r>
          </w:p>
        </w:tc>
      </w:tr>
      <w:tr w:rsidR="009A3D44" w:rsidRPr="009C3850" w14:paraId="0AC3219B" w14:textId="77777777" w:rsidTr="009C3850">
        <w:trPr>
          <w:trHeight w:val="596"/>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3644D8CC"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0A3DED18" w14:textId="77777777" w:rsidR="009A3D44" w:rsidRPr="009C3850" w:rsidRDefault="009A3D44">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04BD632D"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2.4.3</w:t>
            </w:r>
          </w:p>
        </w:tc>
        <w:tc>
          <w:tcPr>
            <w:tcW w:w="3090" w:type="dxa"/>
            <w:shd w:val="clear" w:color="auto" w:fill="auto"/>
          </w:tcPr>
          <w:p w14:paraId="70926453"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Information</w:t>
            </w:r>
          </w:p>
        </w:tc>
        <w:tc>
          <w:tcPr>
            <w:tcW w:w="1111" w:type="dxa"/>
            <w:shd w:val="clear" w:color="auto" w:fill="auto"/>
          </w:tcPr>
          <w:p w14:paraId="3B1FC016"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60-79</w:t>
            </w:r>
          </w:p>
        </w:tc>
        <w:tc>
          <w:tcPr>
            <w:tcW w:w="1271" w:type="dxa"/>
            <w:shd w:val="clear" w:color="auto" w:fill="auto"/>
          </w:tcPr>
          <w:p w14:paraId="4C18D040" w14:textId="4F79C009" w:rsidR="009A3D44" w:rsidRPr="009C3850" w:rsidRDefault="00717F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60-79</w:t>
            </w:r>
          </w:p>
        </w:tc>
        <w:tc>
          <w:tcPr>
            <w:tcW w:w="5851" w:type="dxa"/>
            <w:shd w:val="clear" w:color="auto" w:fill="auto"/>
          </w:tcPr>
          <w:p w14:paraId="6EFA134B" w14:textId="7B94E47F" w:rsidR="009A3D44" w:rsidRPr="009C3850" w:rsidRDefault="003A0B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Pr>
                <w:rFonts w:ascii="Times New Roman" w:hAnsi="Times New Roman" w:cs="Times New Roman"/>
                <w:color w:val="000000"/>
              </w:rPr>
              <w:t>Despite the studies conducted in recent years, f</w:t>
            </w:r>
            <w:r w:rsidR="00717FB3">
              <w:rPr>
                <w:rFonts w:ascii="Times New Roman" w:hAnsi="Times New Roman" w:cs="Times New Roman"/>
                <w:color w:val="000000"/>
              </w:rPr>
              <w:t xml:space="preserve">or VMEs the scale of the problem of the </w:t>
            </w:r>
            <w:r>
              <w:rPr>
                <w:rFonts w:ascii="Times New Roman" w:hAnsi="Times New Roman" w:cs="Times New Roman"/>
                <w:color w:val="000000"/>
              </w:rPr>
              <w:t xml:space="preserve">lost </w:t>
            </w:r>
            <w:r w:rsidR="00717FB3">
              <w:rPr>
                <w:rFonts w:ascii="Times New Roman" w:hAnsi="Times New Roman" w:cs="Times New Roman"/>
                <w:color w:val="000000"/>
              </w:rPr>
              <w:t>FAD</w:t>
            </w:r>
            <w:r>
              <w:rPr>
                <w:rFonts w:ascii="Times New Roman" w:hAnsi="Times New Roman" w:cs="Times New Roman"/>
                <w:color w:val="000000"/>
              </w:rPr>
              <w:t>s and their</w:t>
            </w:r>
            <w:r w:rsidR="00717FB3">
              <w:rPr>
                <w:rFonts w:ascii="Times New Roman" w:hAnsi="Times New Roman" w:cs="Times New Roman"/>
                <w:color w:val="000000"/>
              </w:rPr>
              <w:t xml:space="preserve"> impact</w:t>
            </w:r>
            <w:r>
              <w:rPr>
                <w:rFonts w:ascii="Times New Roman" w:hAnsi="Times New Roman" w:cs="Times New Roman"/>
                <w:color w:val="000000"/>
              </w:rPr>
              <w:t>s</w:t>
            </w:r>
            <w:r w:rsidR="00717FB3">
              <w:rPr>
                <w:rFonts w:ascii="Times New Roman" w:hAnsi="Times New Roman" w:cs="Times New Roman"/>
                <w:color w:val="000000"/>
              </w:rPr>
              <w:t xml:space="preserve"> is not completely understood. More data is necessary about the </w:t>
            </w:r>
            <w:r w:rsidR="007E224F">
              <w:rPr>
                <w:rFonts w:ascii="Times New Roman" w:hAnsi="Times New Roman" w:cs="Times New Roman"/>
                <w:color w:val="000000"/>
              </w:rPr>
              <w:t>number</w:t>
            </w:r>
            <w:r w:rsidR="00717FB3">
              <w:rPr>
                <w:rFonts w:ascii="Times New Roman" w:hAnsi="Times New Roman" w:cs="Times New Roman"/>
                <w:color w:val="000000"/>
              </w:rPr>
              <w:t xml:space="preserve"> of FADs lost, impacts, etc. </w:t>
            </w:r>
            <w:r w:rsidR="00717FB3" w:rsidRPr="009C3850">
              <w:rPr>
                <w:rFonts w:ascii="Times New Roman" w:hAnsi="Times New Roman" w:cs="Times New Roman"/>
                <w:b/>
                <w:color w:val="000000"/>
              </w:rPr>
              <w:t xml:space="preserve">SG80 is </w:t>
            </w:r>
            <w:r w:rsidR="00717FB3">
              <w:rPr>
                <w:rFonts w:ascii="Times New Roman" w:hAnsi="Times New Roman" w:cs="Times New Roman"/>
                <w:b/>
                <w:color w:val="000000"/>
              </w:rPr>
              <w:t xml:space="preserve">not </w:t>
            </w:r>
            <w:r w:rsidR="00717FB3" w:rsidRPr="009C3850">
              <w:rPr>
                <w:rFonts w:ascii="Times New Roman" w:hAnsi="Times New Roman" w:cs="Times New Roman"/>
                <w:b/>
                <w:color w:val="000000"/>
              </w:rPr>
              <w:t>met.</w:t>
            </w:r>
          </w:p>
        </w:tc>
      </w:tr>
      <w:tr w:rsidR="009A3D44" w:rsidRPr="009C3850" w14:paraId="6E1AB593" w14:textId="77777777" w:rsidTr="009C3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7AECE66F"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b w:val="0"/>
                <w:color w:val="000000"/>
              </w:rPr>
            </w:pPr>
          </w:p>
        </w:tc>
        <w:tc>
          <w:tcPr>
            <w:tcW w:w="1880" w:type="dxa"/>
            <w:vMerge w:val="restart"/>
            <w:shd w:val="clear" w:color="auto" w:fill="auto"/>
          </w:tcPr>
          <w:p w14:paraId="6D513A31"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Ecosystem</w:t>
            </w:r>
          </w:p>
        </w:tc>
        <w:tc>
          <w:tcPr>
            <w:tcW w:w="951" w:type="dxa"/>
            <w:shd w:val="clear" w:color="auto" w:fill="auto"/>
          </w:tcPr>
          <w:p w14:paraId="60324C08"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2.5.1</w:t>
            </w:r>
          </w:p>
        </w:tc>
        <w:tc>
          <w:tcPr>
            <w:tcW w:w="3090" w:type="dxa"/>
            <w:shd w:val="clear" w:color="auto" w:fill="auto"/>
          </w:tcPr>
          <w:p w14:paraId="049BADD8"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Outcome</w:t>
            </w:r>
          </w:p>
        </w:tc>
        <w:tc>
          <w:tcPr>
            <w:tcW w:w="1111" w:type="dxa"/>
            <w:shd w:val="clear" w:color="auto" w:fill="auto"/>
          </w:tcPr>
          <w:p w14:paraId="6368F043"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1271" w:type="dxa"/>
            <w:shd w:val="clear" w:color="auto" w:fill="auto"/>
          </w:tcPr>
          <w:p w14:paraId="4BD62E67" w14:textId="56D3C910" w:rsidR="009A3D44" w:rsidRPr="009C3850" w:rsidRDefault="007D3B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&gt;80</w:t>
            </w:r>
          </w:p>
        </w:tc>
        <w:tc>
          <w:tcPr>
            <w:tcW w:w="5851" w:type="dxa"/>
            <w:shd w:val="clear" w:color="auto" w:fill="auto"/>
          </w:tcPr>
          <w:p w14:paraId="72BF0D1E" w14:textId="20BDCEE8"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1" w:name="_gjdgxs" w:colFirst="0" w:colLast="0"/>
            <w:bookmarkEnd w:id="1"/>
            <w:r w:rsidRPr="009C3850">
              <w:rPr>
                <w:rFonts w:ascii="Times New Roman" w:hAnsi="Times New Roman" w:cs="Times New Roman"/>
                <w:color w:val="000000"/>
              </w:rPr>
              <w:t xml:space="preserve">The impacts of tuna fishing on the ecosystem are complex and not fully understood. Tuna are high trophic level predators so there is some concern their removal could lead to trophic cascades, negatively impacting the ecosystem.  </w:t>
            </w:r>
            <w:r w:rsidR="007E224F">
              <w:rPr>
                <w:rFonts w:ascii="Times New Roman" w:hAnsi="Times New Roman" w:cs="Times New Roman"/>
                <w:color w:val="000000"/>
              </w:rPr>
              <w:t>A</w:t>
            </w:r>
            <w:r w:rsidRPr="009C3850">
              <w:rPr>
                <w:rFonts w:ascii="Times New Roman" w:hAnsi="Times New Roman" w:cs="Times New Roman"/>
                <w:color w:val="000000"/>
              </w:rPr>
              <w:t xml:space="preserve"> range of models of the structure and functioning of the pelagic ecosystems </w:t>
            </w:r>
            <w:r w:rsidR="00581694">
              <w:rPr>
                <w:rFonts w:ascii="Times New Roman" w:hAnsi="Times New Roman" w:cs="Times New Roman"/>
                <w:color w:val="000000"/>
              </w:rPr>
              <w:t xml:space="preserve">have been </w:t>
            </w:r>
            <w:r w:rsidRPr="009C3850">
              <w:rPr>
                <w:rFonts w:ascii="Times New Roman" w:hAnsi="Times New Roman" w:cs="Times New Roman"/>
                <w:color w:val="000000"/>
              </w:rPr>
              <w:t>developed that support the main tuna fisheries and their responses to fishing and climate change (</w:t>
            </w:r>
            <w:proofErr w:type="gramStart"/>
            <w:r w:rsidRPr="009C3850">
              <w:rPr>
                <w:rFonts w:ascii="Times New Roman" w:hAnsi="Times New Roman" w:cs="Times New Roman"/>
                <w:color w:val="000000"/>
              </w:rPr>
              <w:t>e.g.</w:t>
            </w:r>
            <w:proofErr w:type="gramEnd"/>
            <w:r w:rsidRPr="009C3850">
              <w:rPr>
                <w:rFonts w:ascii="Times New Roman" w:hAnsi="Times New Roman" w:cs="Times New Roman"/>
                <w:color w:val="000000"/>
              </w:rPr>
              <w:t xml:space="preserve"> Allain et al. 2007, Allain et al. 2015, Kitchell et al. 1999, </w:t>
            </w:r>
            <w:proofErr w:type="spellStart"/>
            <w:r w:rsidRPr="009C3850">
              <w:rPr>
                <w:rFonts w:ascii="Times New Roman" w:hAnsi="Times New Roman" w:cs="Times New Roman"/>
                <w:color w:val="000000"/>
              </w:rPr>
              <w:t>Lehodey</w:t>
            </w:r>
            <w:proofErr w:type="spellEnd"/>
            <w:r w:rsidRPr="009C3850">
              <w:rPr>
                <w:rFonts w:ascii="Times New Roman" w:hAnsi="Times New Roman" w:cs="Times New Roman"/>
                <w:color w:val="000000"/>
              </w:rPr>
              <w:t xml:space="preserve"> et al. 2013, Leroy et al. 2013, Sibert et al. 2006, </w:t>
            </w:r>
            <w:proofErr w:type="spellStart"/>
            <w:r w:rsidRPr="009C3850">
              <w:rPr>
                <w:rFonts w:ascii="Times New Roman" w:hAnsi="Times New Roman" w:cs="Times New Roman"/>
                <w:color w:val="000000"/>
              </w:rPr>
              <w:t>ee</w:t>
            </w:r>
            <w:proofErr w:type="spellEnd"/>
            <w:r w:rsidRPr="009C3850">
              <w:rPr>
                <w:rFonts w:ascii="Times New Roman" w:hAnsi="Times New Roman" w:cs="Times New Roman"/>
                <w:color w:val="000000"/>
              </w:rPr>
              <w:t xml:space="preserve"> references in Anhalzer et al., 2022).</w:t>
            </w:r>
            <w:r w:rsidRPr="009C3850">
              <w:rPr>
                <w:rFonts w:ascii="Times New Roman" w:hAnsi="Times New Roman" w:cs="Times New Roman"/>
              </w:rPr>
              <w:t xml:space="preserve"> </w:t>
            </w:r>
          </w:p>
          <w:p w14:paraId="0E5D91B6" w14:textId="6CFE91A8" w:rsidR="003A0BDC"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color w:val="000000"/>
              </w:rPr>
              <w:t xml:space="preserve">Two issues are considered under this PI:  </w:t>
            </w:r>
            <w:r w:rsidR="00581694">
              <w:rPr>
                <w:rFonts w:ascii="Times New Roman" w:hAnsi="Times New Roman" w:cs="Times New Roman"/>
                <w:color w:val="000000"/>
              </w:rPr>
              <w:t>d</w:t>
            </w:r>
            <w:r w:rsidRPr="009C3850">
              <w:rPr>
                <w:rFonts w:ascii="Times New Roman" w:hAnsi="Times New Roman" w:cs="Times New Roman"/>
                <w:color w:val="000000"/>
              </w:rPr>
              <w:t xml:space="preserve">FADs acting as ecological traps and t the ecosystem effect of fishery removals. In the first case, networks of thousands of artificial drifting and anchored FADs possibly act as ‘ecological traps’ of pelagic species by altering their natural spatial and temporal distributions, habitat associations, migration patterns, and residence times (Marsac et al. 2000, Hallier &amp; Gartner 2008, </w:t>
            </w:r>
            <w:proofErr w:type="spellStart"/>
            <w:r w:rsidRPr="009C3850">
              <w:rPr>
                <w:rFonts w:ascii="Times New Roman" w:hAnsi="Times New Roman" w:cs="Times New Roman"/>
                <w:color w:val="000000"/>
              </w:rPr>
              <w:t>Dagorn</w:t>
            </w:r>
            <w:proofErr w:type="spellEnd"/>
            <w:r w:rsidRPr="009C3850">
              <w:rPr>
                <w:rFonts w:ascii="Times New Roman" w:hAnsi="Times New Roman" w:cs="Times New Roman"/>
                <w:color w:val="000000"/>
              </w:rPr>
              <w:t xml:space="preserve"> et al. 2013). </w:t>
            </w:r>
            <w:r w:rsidR="00A31917">
              <w:rPr>
                <w:rFonts w:ascii="Times New Roman" w:hAnsi="Times New Roman" w:cs="Times New Roman"/>
                <w:color w:val="000000"/>
              </w:rPr>
              <w:t>d</w:t>
            </w:r>
            <w:r w:rsidRPr="009C3850">
              <w:rPr>
                <w:rFonts w:ascii="Times New Roman" w:hAnsi="Times New Roman" w:cs="Times New Roman"/>
                <w:color w:val="000000"/>
              </w:rPr>
              <w:t>FADs may transport tunas away from their traditional forage areas to areas of low productivity, thus resulting in reduced growth and condition, lower fitness, and increased natural mortality. Indeed, the rate of empty stomachs is very high for the tunas caught under drifting FADs (74% vs. 13% for</w:t>
            </w:r>
            <w:r w:rsidR="003A0BDC">
              <w:rPr>
                <w:rFonts w:ascii="Times New Roman" w:hAnsi="Times New Roman" w:cs="Times New Roman"/>
                <w:color w:val="000000"/>
              </w:rPr>
              <w:t xml:space="preserve"> </w:t>
            </w:r>
            <w:r w:rsidRPr="009C3850">
              <w:rPr>
                <w:rFonts w:ascii="Times New Roman" w:hAnsi="Times New Roman" w:cs="Times New Roman"/>
                <w:color w:val="000000"/>
              </w:rPr>
              <w:t>unassociated schools for skipjack tuna, and 49% vs. 7% for YFT) (Hallier &amp; Gaertner 2008). However, the Ecological trap hypothesis is seen</w:t>
            </w:r>
            <w:r w:rsidR="00A31917">
              <w:rPr>
                <w:rFonts w:ascii="Times New Roman" w:hAnsi="Times New Roman" w:cs="Times New Roman"/>
                <w:color w:val="000000"/>
              </w:rPr>
              <w:t xml:space="preserve"> as</w:t>
            </w:r>
            <w:r w:rsidRPr="009C3850">
              <w:rPr>
                <w:rFonts w:ascii="Times New Roman" w:hAnsi="Times New Roman" w:cs="Times New Roman"/>
                <w:color w:val="000000"/>
              </w:rPr>
              <w:t xml:space="preserve"> controversial among scientists (for a review, see </w:t>
            </w:r>
            <w:proofErr w:type="spellStart"/>
            <w:r w:rsidRPr="009C3850">
              <w:rPr>
                <w:rFonts w:ascii="Times New Roman" w:hAnsi="Times New Roman" w:cs="Times New Roman"/>
                <w:color w:val="000000"/>
              </w:rPr>
              <w:t>Dagorn</w:t>
            </w:r>
            <w:proofErr w:type="spellEnd"/>
            <w:r w:rsidRPr="009C3850">
              <w:rPr>
                <w:rFonts w:ascii="Times New Roman" w:hAnsi="Times New Roman" w:cs="Times New Roman"/>
                <w:color w:val="000000"/>
              </w:rPr>
              <w:t xml:space="preserve"> et al 2013). Although this subject has received considerable research attention, it is difficult to evaluate the impacts of FADs on the ecology of tunas, largely due to uncertainty </w:t>
            </w:r>
            <w:r w:rsidR="00A31917">
              <w:rPr>
                <w:rFonts w:ascii="Times New Roman" w:hAnsi="Times New Roman" w:cs="Times New Roman"/>
                <w:color w:val="000000"/>
              </w:rPr>
              <w:t>on</w:t>
            </w:r>
            <w:r w:rsidRPr="009C3850">
              <w:rPr>
                <w:rFonts w:ascii="Times New Roman" w:hAnsi="Times New Roman" w:cs="Times New Roman"/>
                <w:color w:val="000000"/>
              </w:rPr>
              <w:t xml:space="preserve"> how tunas interact with </w:t>
            </w:r>
            <w:r w:rsidRPr="009C3850">
              <w:rPr>
                <w:rFonts w:ascii="Times New Roman" w:hAnsi="Times New Roman" w:cs="Times New Roman"/>
                <w:color w:val="000000"/>
              </w:rPr>
              <w:lastRenderedPageBreak/>
              <w:t>floating objects (</w:t>
            </w:r>
            <w:proofErr w:type="gramStart"/>
            <w:r w:rsidRPr="009C3850">
              <w:rPr>
                <w:rFonts w:ascii="Times New Roman" w:hAnsi="Times New Roman" w:cs="Times New Roman"/>
                <w:color w:val="000000"/>
              </w:rPr>
              <w:t>e.g.</w:t>
            </w:r>
            <w:proofErr w:type="gramEnd"/>
            <w:r w:rsidRPr="009C3850">
              <w:rPr>
                <w:rFonts w:ascii="Times New Roman" w:hAnsi="Times New Roman" w:cs="Times New Roman"/>
                <w:color w:val="000000"/>
              </w:rPr>
              <w:t xml:space="preserve"> length of association, reasons for joining/leaving an object). Consequently, the ecological trap hypothesis remains open to discussion (Leroy et al. 2013, Davies et al. 2014).</w:t>
            </w:r>
            <w:r w:rsidRPr="009C3850">
              <w:rPr>
                <w:rFonts w:ascii="Times New Roman" w:hAnsi="Times New Roman" w:cs="Times New Roman"/>
              </w:rPr>
              <w:t xml:space="preserve"> </w:t>
            </w:r>
          </w:p>
          <w:p w14:paraId="5D5F378A" w14:textId="2412B535" w:rsidR="009A3D44" w:rsidRPr="009C3850" w:rsidRDefault="003A0B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rPr>
              <w:t xml:space="preserve">In recent years, </w:t>
            </w:r>
            <w:r w:rsidRPr="009C3850">
              <w:rPr>
                <w:rFonts w:ascii="Times New Roman" w:hAnsi="Times New Roman" w:cs="Times New Roman"/>
              </w:rPr>
              <w:t xml:space="preserve">SIOTI commissioned a consultant to better understand this issue. </w:t>
            </w:r>
            <w:r w:rsidRPr="009C3850">
              <w:rPr>
                <w:rFonts w:ascii="Times New Roman" w:hAnsi="Times New Roman" w:cs="Times New Roman"/>
                <w:color w:val="000000"/>
              </w:rPr>
              <w:t>Juan- Jorda (202</w:t>
            </w:r>
            <w:r w:rsidR="00994A8A">
              <w:rPr>
                <w:rFonts w:ascii="Times New Roman" w:hAnsi="Times New Roman" w:cs="Times New Roman"/>
                <w:color w:val="000000"/>
              </w:rPr>
              <w:t>2</w:t>
            </w:r>
            <w:r w:rsidRPr="009C3850">
              <w:rPr>
                <w:rFonts w:ascii="Times New Roman" w:hAnsi="Times New Roman" w:cs="Times New Roman"/>
                <w:color w:val="000000"/>
              </w:rPr>
              <w:t xml:space="preserve">) took into consideration </w:t>
            </w:r>
            <w:r>
              <w:rPr>
                <w:rFonts w:ascii="Times New Roman" w:hAnsi="Times New Roman" w:cs="Times New Roman"/>
                <w:color w:val="000000"/>
              </w:rPr>
              <w:t xml:space="preserve">several </w:t>
            </w:r>
            <w:r w:rsidRPr="009C3850">
              <w:rPr>
                <w:rFonts w:ascii="Times New Roman" w:hAnsi="Times New Roman" w:cs="Times New Roman"/>
                <w:color w:val="000000"/>
              </w:rPr>
              <w:t>issues (not all of them c</w:t>
            </w:r>
            <w:r>
              <w:rPr>
                <w:rFonts w:ascii="Times New Roman" w:hAnsi="Times New Roman" w:cs="Times New Roman"/>
                <w:color w:val="000000"/>
              </w:rPr>
              <w:t>o</w:t>
            </w:r>
            <w:r w:rsidRPr="009C3850">
              <w:rPr>
                <w:rFonts w:ascii="Times New Roman" w:hAnsi="Times New Roman" w:cs="Times New Roman"/>
                <w:color w:val="000000"/>
              </w:rPr>
              <w:t>ver</w:t>
            </w:r>
            <w:r>
              <w:rPr>
                <w:rFonts w:ascii="Times New Roman" w:hAnsi="Times New Roman" w:cs="Times New Roman"/>
                <w:color w:val="000000"/>
              </w:rPr>
              <w:t xml:space="preserve">ed by the different certification reports) and reviewed the scores </w:t>
            </w:r>
            <w:r w:rsidR="00994A8A">
              <w:rPr>
                <w:rFonts w:ascii="Times New Roman" w:hAnsi="Times New Roman" w:cs="Times New Roman"/>
                <w:color w:val="000000"/>
              </w:rPr>
              <w:t>given for this issue by the different MSC certifications</w:t>
            </w:r>
            <w:r>
              <w:rPr>
                <w:rFonts w:ascii="Times New Roman" w:hAnsi="Times New Roman" w:cs="Times New Roman"/>
                <w:color w:val="000000"/>
              </w:rPr>
              <w:t>. A number of issues remain poorly understood (</w:t>
            </w:r>
            <w:r w:rsidRPr="009C3850">
              <w:rPr>
                <w:rFonts w:ascii="Times New Roman" w:hAnsi="Times New Roman" w:cs="Times New Roman"/>
                <w:color w:val="000000"/>
              </w:rPr>
              <w:t xml:space="preserve">the effects of the increasing number of dFADs and FAD densities on the </w:t>
            </w:r>
            <w:proofErr w:type="spellStart"/>
            <w:r w:rsidRPr="009C3850">
              <w:rPr>
                <w:rFonts w:ascii="Times New Roman" w:hAnsi="Times New Roman" w:cs="Times New Roman"/>
                <w:color w:val="000000"/>
              </w:rPr>
              <w:t>behaviour</w:t>
            </w:r>
            <w:proofErr w:type="spellEnd"/>
            <w:r w:rsidRPr="009C3850">
              <w:rPr>
                <w:rFonts w:ascii="Times New Roman" w:hAnsi="Times New Roman" w:cs="Times New Roman"/>
                <w:color w:val="000000"/>
              </w:rPr>
              <w:t xml:space="preserve"> and movement patterns of tunas</w:t>
            </w:r>
            <w:r>
              <w:rPr>
                <w:rFonts w:ascii="Times New Roman" w:hAnsi="Times New Roman" w:cs="Times New Roman"/>
                <w:color w:val="000000"/>
              </w:rPr>
              <w:t xml:space="preserve">, </w:t>
            </w:r>
            <w:r w:rsidRPr="009C3850">
              <w:rPr>
                <w:rFonts w:ascii="Times New Roman" w:hAnsi="Times New Roman" w:cs="Times New Roman"/>
                <w:color w:val="000000"/>
              </w:rPr>
              <w:t>the ecological impact that FAD may have on the genetic, biology and ecology of the non-targeted tunas (e.g., sharks)</w:t>
            </w:r>
            <w:r>
              <w:rPr>
                <w:rFonts w:ascii="Times New Roman" w:hAnsi="Times New Roman" w:cs="Times New Roman"/>
                <w:color w:val="000000"/>
              </w:rPr>
              <w:t xml:space="preserve">, </w:t>
            </w:r>
            <w:proofErr w:type="spellStart"/>
            <w:r>
              <w:rPr>
                <w:rFonts w:ascii="Times New Roman" w:hAnsi="Times New Roman" w:cs="Times New Roman"/>
                <w:color w:val="000000"/>
              </w:rPr>
              <w:t>etc</w:t>
            </w:r>
            <w:proofErr w:type="spellEnd"/>
            <w:r>
              <w:rPr>
                <w:rFonts w:ascii="Times New Roman" w:hAnsi="Times New Roman" w:cs="Times New Roman"/>
                <w:color w:val="000000"/>
              </w:rPr>
              <w:t>).</w:t>
            </w:r>
          </w:p>
          <w:p w14:paraId="71B166FF" w14:textId="40D6BE31" w:rsidR="009A3D44" w:rsidRPr="009C3850" w:rsidRDefault="00C52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A </w:t>
            </w:r>
            <w:r w:rsidRPr="009C3850">
              <w:rPr>
                <w:rFonts w:ascii="Times New Roman" w:hAnsi="Times New Roman" w:cs="Times New Roman"/>
                <w:color w:val="000000"/>
              </w:rPr>
              <w:t xml:space="preserve">Code of </w:t>
            </w:r>
            <w:r w:rsidR="00D12655">
              <w:rPr>
                <w:rFonts w:ascii="Times New Roman" w:hAnsi="Times New Roman" w:cs="Times New Roman"/>
                <w:color w:val="000000"/>
              </w:rPr>
              <w:t>Go</w:t>
            </w:r>
            <w:r w:rsidRPr="009C3850">
              <w:rPr>
                <w:rFonts w:ascii="Times New Roman" w:hAnsi="Times New Roman" w:cs="Times New Roman"/>
                <w:color w:val="000000"/>
              </w:rPr>
              <w:t xml:space="preserve">od </w:t>
            </w:r>
            <w:r>
              <w:rPr>
                <w:rFonts w:ascii="Times New Roman" w:hAnsi="Times New Roman" w:cs="Times New Roman"/>
                <w:color w:val="000000"/>
              </w:rPr>
              <w:t>P</w:t>
            </w:r>
            <w:r w:rsidRPr="009C3850">
              <w:rPr>
                <w:rFonts w:ascii="Times New Roman" w:hAnsi="Times New Roman" w:cs="Times New Roman"/>
                <w:color w:val="000000"/>
              </w:rPr>
              <w:t>ractices and FADs reduction plans have been implemented by the SIOTI fleet.</w:t>
            </w:r>
          </w:p>
          <w:p w14:paraId="3DC949A3" w14:textId="2CE60708"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Several recent certifications in the area have considered that the impact of those fisheries </w:t>
            </w:r>
            <w:r w:rsidR="00994A8A">
              <w:rPr>
                <w:rFonts w:ascii="Times New Roman" w:hAnsi="Times New Roman" w:cs="Times New Roman"/>
                <w:color w:val="000000"/>
              </w:rPr>
              <w:t xml:space="preserve">on the ecosystem (assessed at the </w:t>
            </w:r>
            <w:proofErr w:type="spellStart"/>
            <w:r w:rsidR="00994A8A">
              <w:rPr>
                <w:rFonts w:ascii="Times New Roman" w:hAnsi="Times New Roman" w:cs="Times New Roman"/>
                <w:color w:val="000000"/>
              </w:rPr>
              <w:t>UoA</w:t>
            </w:r>
            <w:proofErr w:type="spellEnd"/>
            <w:r w:rsidR="00994A8A">
              <w:rPr>
                <w:rFonts w:ascii="Times New Roman" w:hAnsi="Times New Roman" w:cs="Times New Roman"/>
                <w:color w:val="000000"/>
              </w:rPr>
              <w:t xml:space="preserve"> level)</w:t>
            </w:r>
            <w:r w:rsidRPr="009C3850">
              <w:rPr>
                <w:rFonts w:ascii="Times New Roman" w:hAnsi="Times New Roman" w:cs="Times New Roman"/>
                <w:color w:val="000000"/>
              </w:rPr>
              <w:t xml:space="preserve"> is highly unlikely to disrupt the key elements underlying ecosystem structure and function to a point where there would be a serious or irreversible harm</w:t>
            </w:r>
            <w:r w:rsidR="00994A8A">
              <w:rPr>
                <w:rFonts w:ascii="Times New Roman" w:hAnsi="Times New Roman" w:cs="Times New Roman"/>
                <w:color w:val="000000"/>
              </w:rPr>
              <w:t xml:space="preserve"> and have received </w:t>
            </w:r>
            <w:proofErr w:type="gramStart"/>
            <w:r w:rsidR="00994A8A">
              <w:rPr>
                <w:rFonts w:ascii="Times New Roman" w:hAnsi="Times New Roman" w:cs="Times New Roman"/>
                <w:color w:val="000000"/>
              </w:rPr>
              <w:t>a</w:t>
            </w:r>
            <w:proofErr w:type="gramEnd"/>
            <w:r w:rsidR="00994A8A">
              <w:rPr>
                <w:rFonts w:ascii="Times New Roman" w:hAnsi="Times New Roman" w:cs="Times New Roman"/>
                <w:color w:val="000000"/>
              </w:rPr>
              <w:t xml:space="preserve"> 80 score for this issue</w:t>
            </w:r>
            <w:r w:rsidRPr="009C3850">
              <w:rPr>
                <w:rFonts w:ascii="Times New Roman" w:hAnsi="Times New Roman" w:cs="Times New Roman"/>
                <w:color w:val="000000"/>
              </w:rPr>
              <w:t xml:space="preserve">. </w:t>
            </w:r>
            <w:r w:rsidR="007D3BBF">
              <w:rPr>
                <w:rFonts w:ascii="Times New Roman" w:hAnsi="Times New Roman" w:cs="Times New Roman"/>
                <w:color w:val="000000"/>
              </w:rPr>
              <w:t>M</w:t>
            </w:r>
            <w:r w:rsidR="007D3BBF" w:rsidRPr="007D3BBF">
              <w:rPr>
                <w:rFonts w:ascii="Times New Roman" w:hAnsi="Times New Roman" w:cs="Times New Roman"/>
                <w:color w:val="000000"/>
              </w:rPr>
              <w:t xml:space="preserve">easures on FADs continue to be adopted to strengthen the management and reduce the activity on dFADs (over 45% reduction in the maximum number of active buoys and 55% reduction in the permissible number acquired </w:t>
            </w:r>
            <w:proofErr w:type="spellStart"/>
            <w:r w:rsidR="007D3BBF" w:rsidRPr="007D3BBF">
              <w:rPr>
                <w:rFonts w:ascii="Times New Roman" w:hAnsi="Times New Roman" w:cs="Times New Roman"/>
                <w:color w:val="000000"/>
              </w:rPr>
              <w:t>anually</w:t>
            </w:r>
            <w:proofErr w:type="spellEnd"/>
            <w:r w:rsidR="007D3BBF" w:rsidRPr="007D3BBF">
              <w:rPr>
                <w:rFonts w:ascii="Times New Roman" w:hAnsi="Times New Roman" w:cs="Times New Roman"/>
                <w:color w:val="000000"/>
              </w:rPr>
              <w:t xml:space="preserve"> since Resolution 15/08).</w:t>
            </w:r>
            <w:r w:rsidR="00994A8A">
              <w:rPr>
                <w:rFonts w:ascii="Times New Roman" w:hAnsi="Times New Roman" w:cs="Times New Roman"/>
                <w:color w:val="000000"/>
              </w:rPr>
              <w:t xml:space="preserve"> </w:t>
            </w:r>
            <w:r w:rsidRPr="009C3850">
              <w:rPr>
                <w:rFonts w:ascii="Times New Roman" w:hAnsi="Times New Roman" w:cs="Times New Roman"/>
                <w:color w:val="000000"/>
              </w:rPr>
              <w:t xml:space="preserve">Therefore, </w:t>
            </w:r>
            <w:r w:rsidR="007D3BBF">
              <w:rPr>
                <w:rFonts w:ascii="Times New Roman" w:hAnsi="Times New Roman" w:cs="Times New Roman"/>
                <w:color w:val="000000"/>
              </w:rPr>
              <w:t xml:space="preserve">a </w:t>
            </w:r>
            <w:r w:rsidR="007D3BBF" w:rsidRPr="007D3BBF">
              <w:rPr>
                <w:rFonts w:ascii="Times New Roman" w:hAnsi="Times New Roman" w:cs="Times New Roman"/>
                <w:b/>
                <w:bCs/>
                <w:color w:val="000000"/>
              </w:rPr>
              <w:t>&gt;80</w:t>
            </w:r>
            <w:r w:rsidR="007D3BBF">
              <w:rPr>
                <w:rFonts w:ascii="Times New Roman" w:hAnsi="Times New Roman" w:cs="Times New Roman"/>
                <w:color w:val="000000"/>
              </w:rPr>
              <w:t xml:space="preserve"> score is given in line with those assessments.</w:t>
            </w:r>
          </w:p>
        </w:tc>
      </w:tr>
      <w:tr w:rsidR="009A3D44" w:rsidRPr="009C3850" w14:paraId="553B1E30" w14:textId="77777777" w:rsidTr="009C3850">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11B4AD8F"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5B7302D1" w14:textId="77777777" w:rsidR="009A3D44" w:rsidRPr="009C3850" w:rsidRDefault="009A3D44">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663FEAC8"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2.5.2</w:t>
            </w:r>
          </w:p>
        </w:tc>
        <w:tc>
          <w:tcPr>
            <w:tcW w:w="3090" w:type="dxa"/>
            <w:shd w:val="clear" w:color="auto" w:fill="auto"/>
          </w:tcPr>
          <w:p w14:paraId="3D1EF936"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Management strategy</w:t>
            </w:r>
          </w:p>
        </w:tc>
        <w:tc>
          <w:tcPr>
            <w:tcW w:w="1111" w:type="dxa"/>
            <w:shd w:val="clear" w:color="auto" w:fill="auto"/>
          </w:tcPr>
          <w:p w14:paraId="684B5E70"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1271" w:type="dxa"/>
            <w:shd w:val="clear" w:color="auto" w:fill="auto"/>
          </w:tcPr>
          <w:p w14:paraId="2E72D604"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5851" w:type="dxa"/>
            <w:shd w:val="clear" w:color="auto" w:fill="auto"/>
          </w:tcPr>
          <w:p w14:paraId="4ACB2F19" w14:textId="0B5B90ED" w:rsidR="001D73FB" w:rsidRPr="00686C96" w:rsidRDefault="001D73FB" w:rsidP="00686C96">
            <w:pPr>
              <w:spacing w:before="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86C96">
              <w:rPr>
                <w:rFonts w:ascii="Times New Roman" w:hAnsi="Times New Roman" w:cs="Times New Roman"/>
                <w:color w:val="000000"/>
              </w:rPr>
              <w:t xml:space="preserve">A number of resolutions have been implemented in the Indian Ocean </w:t>
            </w:r>
            <w:r w:rsidR="00E73F3D" w:rsidRPr="00686C96">
              <w:rPr>
                <w:rFonts w:ascii="Times New Roman" w:hAnsi="Times New Roman" w:cs="Times New Roman"/>
                <w:color w:val="000000"/>
              </w:rPr>
              <w:t xml:space="preserve"> </w:t>
            </w:r>
            <w:r w:rsidRPr="00686C96">
              <w:rPr>
                <w:rFonts w:ascii="Times New Roman" w:hAnsi="Times New Roman" w:cs="Times New Roman"/>
                <w:color w:val="000000"/>
              </w:rPr>
              <w:t xml:space="preserve"> to improve knowledge and reduce the impact of the fishery on the ecosystem</w:t>
            </w:r>
            <w:r w:rsidR="00E73F3D" w:rsidRPr="00686C96">
              <w:rPr>
                <w:rFonts w:ascii="Times New Roman" w:hAnsi="Times New Roman" w:cs="Times New Roman"/>
                <w:color w:val="000000"/>
              </w:rPr>
              <w:t>.</w:t>
            </w:r>
            <w:r w:rsidRPr="00686C96">
              <w:rPr>
                <w:rFonts w:ascii="Times New Roman" w:hAnsi="Times New Roman" w:cs="Times New Roman"/>
                <w:color w:val="000000"/>
              </w:rPr>
              <w:t xml:space="preserve"> Resolution 18/08 requir</w:t>
            </w:r>
            <w:r w:rsidR="00E73F3D" w:rsidRPr="00686C96">
              <w:rPr>
                <w:rFonts w:ascii="Times New Roman" w:hAnsi="Times New Roman" w:cs="Times New Roman"/>
                <w:color w:val="000000"/>
              </w:rPr>
              <w:t>es</w:t>
            </w:r>
            <w:r w:rsidRPr="00686C96">
              <w:rPr>
                <w:rFonts w:ascii="Times New Roman" w:hAnsi="Times New Roman" w:cs="Times New Roman"/>
                <w:color w:val="000000"/>
              </w:rPr>
              <w:t xml:space="preserve"> a limitation on the number of FADs; Resolution 19/02 requir</w:t>
            </w:r>
            <w:r w:rsidR="00E73F3D" w:rsidRPr="00686C96">
              <w:rPr>
                <w:rFonts w:ascii="Times New Roman" w:hAnsi="Times New Roman" w:cs="Times New Roman"/>
                <w:color w:val="000000"/>
              </w:rPr>
              <w:t>es</w:t>
            </w:r>
            <w:r w:rsidRPr="00686C96">
              <w:rPr>
                <w:rFonts w:ascii="Times New Roman" w:hAnsi="Times New Roman" w:cs="Times New Roman"/>
                <w:color w:val="000000"/>
              </w:rPr>
              <w:t xml:space="preserve"> that all CPCs prepare annual management plans for FADs, and requir</w:t>
            </w:r>
            <w:r w:rsidR="00E73F3D" w:rsidRPr="00686C96">
              <w:rPr>
                <w:rFonts w:ascii="Times New Roman" w:hAnsi="Times New Roman" w:cs="Times New Roman"/>
                <w:color w:val="000000"/>
              </w:rPr>
              <w:t>es</w:t>
            </w:r>
            <w:r w:rsidRPr="00686C96">
              <w:rPr>
                <w:rFonts w:ascii="Times New Roman" w:hAnsi="Times New Roman" w:cs="Times New Roman"/>
                <w:color w:val="000000"/>
              </w:rPr>
              <w:t xml:space="preserve"> the use of non-entangling FADs and biodegradable FADs; Resolution 17/04 bann</w:t>
            </w:r>
            <w:r w:rsidR="00AA744D" w:rsidRPr="00686C96">
              <w:rPr>
                <w:rFonts w:ascii="Times New Roman" w:hAnsi="Times New Roman" w:cs="Times New Roman"/>
                <w:color w:val="000000"/>
              </w:rPr>
              <w:t>ed</w:t>
            </w:r>
            <w:r w:rsidRPr="00686C96">
              <w:rPr>
                <w:rFonts w:ascii="Times New Roman" w:hAnsi="Times New Roman" w:cs="Times New Roman"/>
                <w:color w:val="000000"/>
              </w:rPr>
              <w:t xml:space="preserve"> discards of tuna and non-targeted species caught by PS vessels in the IOTC area of </w:t>
            </w:r>
            <w:r w:rsidRPr="00686C96">
              <w:rPr>
                <w:rFonts w:ascii="Times New Roman" w:hAnsi="Times New Roman" w:cs="Times New Roman"/>
                <w:color w:val="000000"/>
              </w:rPr>
              <w:lastRenderedPageBreak/>
              <w:t xml:space="preserve">competence; </w:t>
            </w:r>
            <w:r w:rsidR="00AA744D" w:rsidRPr="00686C96">
              <w:rPr>
                <w:rFonts w:ascii="Times New Roman" w:hAnsi="Times New Roman" w:cs="Times New Roman"/>
                <w:color w:val="000000"/>
              </w:rPr>
              <w:t xml:space="preserve">and </w:t>
            </w:r>
            <w:r w:rsidRPr="00686C96">
              <w:rPr>
                <w:rFonts w:ascii="Times New Roman" w:hAnsi="Times New Roman" w:cs="Times New Roman"/>
                <w:color w:val="000000"/>
              </w:rPr>
              <w:t xml:space="preserve">Resolution 11/04 </w:t>
            </w:r>
            <w:r w:rsidR="00AA744D" w:rsidRPr="00686C96">
              <w:rPr>
                <w:rFonts w:ascii="Times New Roman" w:hAnsi="Times New Roman" w:cs="Times New Roman"/>
                <w:color w:val="000000"/>
              </w:rPr>
              <w:t xml:space="preserve">defined </w:t>
            </w:r>
            <w:r w:rsidRPr="00686C96">
              <w:rPr>
                <w:rFonts w:ascii="Times New Roman" w:hAnsi="Times New Roman" w:cs="Times New Roman"/>
                <w:color w:val="000000"/>
              </w:rPr>
              <w:t>a regional observer scheme</w:t>
            </w:r>
            <w:r w:rsidR="00AA744D" w:rsidRPr="00686C96">
              <w:rPr>
                <w:rFonts w:ascii="Times New Roman" w:hAnsi="Times New Roman" w:cs="Times New Roman"/>
                <w:color w:val="000000"/>
              </w:rPr>
              <w:t>.</w:t>
            </w:r>
          </w:p>
          <w:p w14:paraId="06891D71" w14:textId="770B5E0A" w:rsidR="009A3D44" w:rsidRPr="009C3850" w:rsidRDefault="001D73FB" w:rsidP="001D73FB">
            <w:pPr>
              <w:spacing w:before="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D73FB">
              <w:rPr>
                <w:rFonts w:ascii="Times New Roman" w:hAnsi="Times New Roman" w:cs="Times New Roman"/>
                <w:color w:val="000000"/>
              </w:rPr>
              <w:t xml:space="preserve">Code of good practices and FADs reduction plans have been or are being implemented by this fleet. Therefore, there is a partial strategy in place which is expected to restrain impacts of the </w:t>
            </w:r>
            <w:proofErr w:type="spellStart"/>
            <w:r w:rsidRPr="001D73FB">
              <w:rPr>
                <w:rFonts w:ascii="Times New Roman" w:hAnsi="Times New Roman" w:cs="Times New Roman"/>
                <w:color w:val="000000"/>
              </w:rPr>
              <w:t>UoA</w:t>
            </w:r>
            <w:proofErr w:type="spellEnd"/>
            <w:r w:rsidRPr="001D73FB">
              <w:rPr>
                <w:rFonts w:ascii="Times New Roman" w:hAnsi="Times New Roman" w:cs="Times New Roman"/>
                <w:color w:val="000000"/>
              </w:rPr>
              <w:t xml:space="preserve"> on the ecosystem. Harmonized with Echebastar, CFTO and ANABAC.</w:t>
            </w:r>
            <w:r>
              <w:rPr>
                <w:rFonts w:ascii="Times New Roman" w:hAnsi="Times New Roman" w:cs="Times New Roman"/>
                <w:color w:val="000000"/>
              </w:rPr>
              <w:t xml:space="preserve"> </w:t>
            </w:r>
            <w:r w:rsidRPr="009C3850">
              <w:rPr>
                <w:rFonts w:ascii="Times New Roman" w:hAnsi="Times New Roman" w:cs="Times New Roman"/>
                <w:b/>
                <w:color w:val="000000"/>
              </w:rPr>
              <w:t>SG80 is met.</w:t>
            </w:r>
          </w:p>
        </w:tc>
      </w:tr>
      <w:tr w:rsidR="009A3D44" w:rsidRPr="009C3850" w14:paraId="1329E268" w14:textId="77777777" w:rsidTr="009C3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580202BC"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b w:val="0"/>
                <w:color w:val="000000"/>
              </w:rPr>
            </w:pPr>
          </w:p>
        </w:tc>
        <w:tc>
          <w:tcPr>
            <w:tcW w:w="1880" w:type="dxa"/>
            <w:vMerge/>
            <w:shd w:val="clear" w:color="auto" w:fill="auto"/>
          </w:tcPr>
          <w:p w14:paraId="602FC455" w14:textId="77777777" w:rsidR="009A3D44" w:rsidRPr="009C3850" w:rsidRDefault="009A3D44">
            <w:pPr>
              <w:widowControl w:val="0"/>
              <w:pBdr>
                <w:top w:val="nil"/>
                <w:left w:val="nil"/>
                <w:bottom w:val="nil"/>
                <w:right w:val="nil"/>
                <w:between w:val="nil"/>
              </w:pBdr>
              <w:spacing w:before="0"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p>
        </w:tc>
        <w:tc>
          <w:tcPr>
            <w:tcW w:w="951" w:type="dxa"/>
            <w:shd w:val="clear" w:color="auto" w:fill="auto"/>
          </w:tcPr>
          <w:p w14:paraId="238BC926"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2.5.3</w:t>
            </w:r>
          </w:p>
        </w:tc>
        <w:tc>
          <w:tcPr>
            <w:tcW w:w="3090" w:type="dxa"/>
            <w:shd w:val="clear" w:color="auto" w:fill="auto"/>
          </w:tcPr>
          <w:p w14:paraId="44B0693B"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Information</w:t>
            </w:r>
          </w:p>
        </w:tc>
        <w:tc>
          <w:tcPr>
            <w:tcW w:w="1111" w:type="dxa"/>
            <w:shd w:val="clear" w:color="auto" w:fill="auto"/>
          </w:tcPr>
          <w:p w14:paraId="3EC1DFA4"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 – 79</w:t>
            </w:r>
          </w:p>
        </w:tc>
        <w:tc>
          <w:tcPr>
            <w:tcW w:w="1271" w:type="dxa"/>
            <w:shd w:val="clear" w:color="auto" w:fill="auto"/>
          </w:tcPr>
          <w:p w14:paraId="2EAD5CF0"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 – 79</w:t>
            </w:r>
          </w:p>
        </w:tc>
        <w:tc>
          <w:tcPr>
            <w:tcW w:w="5851" w:type="dxa"/>
            <w:shd w:val="clear" w:color="auto" w:fill="auto"/>
          </w:tcPr>
          <w:p w14:paraId="6BD53C26" w14:textId="2A3E7C6C"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9C3850">
              <w:rPr>
                <w:rFonts w:ascii="Times New Roman" w:hAnsi="Times New Roman" w:cs="Times New Roman"/>
                <w:color w:val="000000"/>
              </w:rPr>
              <w:t>In 2018, the WPEB develop</w:t>
            </w:r>
            <w:r w:rsidR="00AA744D">
              <w:rPr>
                <w:rFonts w:ascii="Times New Roman" w:hAnsi="Times New Roman" w:cs="Times New Roman"/>
                <w:color w:val="000000"/>
              </w:rPr>
              <w:t>ed</w:t>
            </w:r>
            <w:r w:rsidRPr="009C3850">
              <w:rPr>
                <w:rFonts w:ascii="Times New Roman" w:hAnsi="Times New Roman" w:cs="Times New Roman"/>
                <w:color w:val="000000"/>
              </w:rPr>
              <w:t xml:space="preserve"> and refine</w:t>
            </w:r>
            <w:r w:rsidR="00AA744D">
              <w:rPr>
                <w:rFonts w:ascii="Times New Roman" w:hAnsi="Times New Roman" w:cs="Times New Roman"/>
                <w:color w:val="000000"/>
              </w:rPr>
              <w:t>d</w:t>
            </w:r>
            <w:r w:rsidRPr="009C3850">
              <w:rPr>
                <w:rFonts w:ascii="Times New Roman" w:hAnsi="Times New Roman" w:cs="Times New Roman"/>
                <w:color w:val="000000"/>
              </w:rPr>
              <w:t xml:space="preserve"> its Program of Work for 2020–2024 to align with the requests and directives from the Commission and Scientific Committee (IOTC–2018–WPEB14–10).</w:t>
            </w:r>
            <w:r w:rsidR="001D73FB">
              <w:rPr>
                <w:rFonts w:ascii="Times New Roman" w:hAnsi="Times New Roman" w:cs="Times New Roman"/>
                <w:color w:val="000000"/>
              </w:rPr>
              <w:t xml:space="preserve"> </w:t>
            </w:r>
            <w:r w:rsidRPr="009C3850">
              <w:rPr>
                <w:rFonts w:ascii="Times New Roman" w:hAnsi="Times New Roman" w:cs="Times New Roman"/>
                <w:color w:val="000000"/>
              </w:rPr>
              <w:t>It includes priority topics for obtaining the information necessary to develop stock status indicators for bycatch in the Indian Ocean,</w:t>
            </w:r>
            <w:r w:rsidR="001D73FB">
              <w:rPr>
                <w:rFonts w:ascii="Times New Roman" w:hAnsi="Times New Roman" w:cs="Times New Roman"/>
                <w:color w:val="000000"/>
              </w:rPr>
              <w:t xml:space="preserve"> </w:t>
            </w:r>
            <w:r w:rsidRPr="009C3850">
              <w:rPr>
                <w:rFonts w:ascii="Times New Roman" w:hAnsi="Times New Roman" w:cs="Times New Roman"/>
                <w:color w:val="000000"/>
              </w:rPr>
              <w:t>such as a reporting framework to monitor the full range of interactions between IOTC fisheries, review bycatch monitoring measures for sharks, seabirds, marine turtles and marine mammals, etc. It also includes the development of a plan for</w:t>
            </w:r>
            <w:r w:rsidR="001D73FB">
              <w:rPr>
                <w:rFonts w:ascii="Times New Roman" w:hAnsi="Times New Roman" w:cs="Times New Roman"/>
                <w:color w:val="000000"/>
              </w:rPr>
              <w:t xml:space="preserve"> </w:t>
            </w:r>
            <w:r w:rsidRPr="009C3850">
              <w:rPr>
                <w:rFonts w:ascii="Times New Roman" w:hAnsi="Times New Roman" w:cs="Times New Roman"/>
                <w:color w:val="000000"/>
              </w:rPr>
              <w:t>Ecosystem Based Fisheries Management (EBFM) approaches in</w:t>
            </w:r>
            <w:r w:rsidR="001D73FB">
              <w:rPr>
                <w:rFonts w:ascii="Times New Roman" w:hAnsi="Times New Roman" w:cs="Times New Roman"/>
                <w:color w:val="000000"/>
              </w:rPr>
              <w:t xml:space="preserve"> </w:t>
            </w:r>
            <w:r w:rsidRPr="009C3850">
              <w:rPr>
                <w:rFonts w:ascii="Times New Roman" w:hAnsi="Times New Roman" w:cs="Times New Roman"/>
                <w:color w:val="000000"/>
              </w:rPr>
              <w:t>the IOTC, in conjunction with the Common Oceans Tuna Project</w:t>
            </w:r>
            <w:r w:rsidR="001D73FB">
              <w:rPr>
                <w:rFonts w:ascii="Times New Roman" w:hAnsi="Times New Roman" w:cs="Times New Roman"/>
                <w:color w:val="000000"/>
              </w:rPr>
              <w:t xml:space="preserve"> </w:t>
            </w:r>
            <w:r w:rsidRPr="009C3850">
              <w:rPr>
                <w:rFonts w:ascii="Times New Roman" w:hAnsi="Times New Roman" w:cs="Times New Roman"/>
                <w:color w:val="000000"/>
              </w:rPr>
              <w:t>and the development and testing of ecosystem report cards</w:t>
            </w:r>
            <w:r w:rsidR="001D73FB">
              <w:rPr>
                <w:rFonts w:ascii="Times New Roman" w:hAnsi="Times New Roman" w:cs="Times New Roman"/>
                <w:color w:val="000000"/>
              </w:rPr>
              <w:t xml:space="preserve"> </w:t>
            </w:r>
            <w:r w:rsidRPr="009C3850">
              <w:rPr>
                <w:rFonts w:ascii="Times New Roman" w:hAnsi="Times New Roman" w:cs="Times New Roman"/>
                <w:color w:val="000000"/>
              </w:rPr>
              <w:t xml:space="preserve">aimed to provide stronger links between ecosystem science and fisheries management to support the implementation of the EBFM. To support the IOTC ecosystem report card, </w:t>
            </w:r>
            <w:proofErr w:type="spellStart"/>
            <w:r w:rsidRPr="009C3850">
              <w:rPr>
                <w:rFonts w:ascii="Times New Roman" w:hAnsi="Times New Roman" w:cs="Times New Roman"/>
                <w:color w:val="000000"/>
              </w:rPr>
              <w:t>Andonegi</w:t>
            </w:r>
            <w:proofErr w:type="spellEnd"/>
            <w:r w:rsidRPr="009C3850">
              <w:rPr>
                <w:rFonts w:ascii="Times New Roman" w:hAnsi="Times New Roman" w:cs="Times New Roman"/>
                <w:color w:val="000000"/>
              </w:rPr>
              <w:t xml:space="preserve"> et al., 2019 estimated several indicators which could be used to measure progress towards monitoring the impacts of IOTC</w:t>
            </w:r>
            <w:r w:rsidR="001D73FB">
              <w:rPr>
                <w:rFonts w:ascii="Times New Roman" w:hAnsi="Times New Roman" w:cs="Times New Roman"/>
                <w:color w:val="000000"/>
              </w:rPr>
              <w:t xml:space="preserve"> </w:t>
            </w:r>
            <w:r w:rsidRPr="009C3850">
              <w:rPr>
                <w:rFonts w:ascii="Times New Roman" w:hAnsi="Times New Roman" w:cs="Times New Roman"/>
                <w:color w:val="000000"/>
              </w:rPr>
              <w:t xml:space="preserve">fisheries on and the state of the “Food web/Trophic relationships” ecosystem component. They examined the potential ecological effects of this fishery on the food web structure and functioning of this ecosystem. </w:t>
            </w:r>
          </w:p>
          <w:p w14:paraId="6E717F34" w14:textId="1B770CC3" w:rsidR="009A3D44" w:rsidRPr="00697A44" w:rsidRDefault="00BE1A09" w:rsidP="00D625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rPr>
            </w:pPr>
            <w:r w:rsidRPr="009C3850">
              <w:rPr>
                <w:rFonts w:ascii="Times New Roman" w:hAnsi="Times New Roman" w:cs="Times New Roman"/>
                <w:color w:val="000000"/>
              </w:rPr>
              <w:t xml:space="preserve">The SIOTI commissioned a consultant to conduct a review of the ecosystem impact and the scores </w:t>
            </w:r>
            <w:r w:rsidR="0097607C">
              <w:rPr>
                <w:rFonts w:ascii="Times New Roman" w:hAnsi="Times New Roman" w:cs="Times New Roman"/>
                <w:color w:val="000000"/>
              </w:rPr>
              <w:t xml:space="preserve">given for this P.I. in the different certification reports </w:t>
            </w:r>
            <w:r w:rsidRPr="009C3850">
              <w:rPr>
                <w:rFonts w:ascii="Times New Roman" w:hAnsi="Times New Roman" w:cs="Times New Roman"/>
                <w:color w:val="000000"/>
              </w:rPr>
              <w:t>(Juan-</w:t>
            </w:r>
            <w:proofErr w:type="spellStart"/>
            <w:r w:rsidRPr="009C3850">
              <w:rPr>
                <w:rFonts w:ascii="Times New Roman" w:hAnsi="Times New Roman" w:cs="Times New Roman"/>
                <w:color w:val="000000"/>
              </w:rPr>
              <w:t>Jordá</w:t>
            </w:r>
            <w:proofErr w:type="spellEnd"/>
            <w:r w:rsidRPr="009C3850">
              <w:rPr>
                <w:rFonts w:ascii="Times New Roman" w:hAnsi="Times New Roman" w:cs="Times New Roman"/>
                <w:color w:val="000000"/>
              </w:rPr>
              <w:t>, M-J, 202</w:t>
            </w:r>
            <w:r w:rsidR="001D73FB">
              <w:rPr>
                <w:rFonts w:ascii="Times New Roman" w:hAnsi="Times New Roman" w:cs="Times New Roman"/>
                <w:color w:val="000000"/>
              </w:rPr>
              <w:t>2</w:t>
            </w:r>
            <w:r w:rsidRPr="009C3850">
              <w:rPr>
                <w:rFonts w:ascii="Times New Roman" w:hAnsi="Times New Roman" w:cs="Times New Roman"/>
                <w:color w:val="000000"/>
              </w:rPr>
              <w:t>).</w:t>
            </w:r>
            <w:r w:rsidRPr="009C3850">
              <w:rPr>
                <w:rFonts w:ascii="Times New Roman" w:hAnsi="Times New Roman" w:cs="Times New Roman"/>
                <w:b/>
                <w:color w:val="000000"/>
              </w:rPr>
              <w:t xml:space="preserve"> </w:t>
            </w:r>
            <w:r w:rsidRPr="009C3850">
              <w:rPr>
                <w:rFonts w:ascii="Times New Roman" w:hAnsi="Times New Roman" w:cs="Times New Roman"/>
                <w:color w:val="000000"/>
              </w:rPr>
              <w:t xml:space="preserve">This paper considers several impacts of the fishery at the ecosystem level. According to this study, the available information is enough to identify and describe what are the main ecological impacts of the fishery and what ecosystem elements and attributes need to be monitored to assess those impacts, although more efforts need to be done to integrate all the available information. </w:t>
            </w:r>
            <w:r w:rsidR="001D73FB">
              <w:rPr>
                <w:rFonts w:ascii="Times New Roman" w:hAnsi="Times New Roman" w:cs="Times New Roman"/>
                <w:color w:val="000000"/>
              </w:rPr>
              <w:t xml:space="preserve">However, it is considered that more information is necessary to completely understand some of the </w:t>
            </w:r>
            <w:r w:rsidR="001D73FB">
              <w:rPr>
                <w:rFonts w:ascii="Times New Roman" w:hAnsi="Times New Roman" w:cs="Times New Roman"/>
                <w:color w:val="000000"/>
              </w:rPr>
              <w:lastRenderedPageBreak/>
              <w:t>ecosystem impacts created by the wide use of FADs in the IO. Ecosystem models in the IO have not been developed yet either (the development of these models i</w:t>
            </w:r>
            <w:r w:rsidR="00E52328">
              <w:rPr>
                <w:rFonts w:ascii="Times New Roman" w:hAnsi="Times New Roman" w:cs="Times New Roman"/>
                <w:color w:val="000000"/>
              </w:rPr>
              <w:t>n the IO i</w:t>
            </w:r>
            <w:r w:rsidR="001D73FB">
              <w:rPr>
                <w:rFonts w:ascii="Times New Roman" w:hAnsi="Times New Roman" w:cs="Times New Roman"/>
                <w:color w:val="000000"/>
              </w:rPr>
              <w:t xml:space="preserve">s behind </w:t>
            </w:r>
            <w:r w:rsidR="00E52328">
              <w:rPr>
                <w:rFonts w:ascii="Times New Roman" w:hAnsi="Times New Roman" w:cs="Times New Roman"/>
                <w:color w:val="000000"/>
              </w:rPr>
              <w:t xml:space="preserve">than in </w:t>
            </w:r>
            <w:r w:rsidR="001D73FB">
              <w:rPr>
                <w:rFonts w:ascii="Times New Roman" w:hAnsi="Times New Roman" w:cs="Times New Roman"/>
                <w:color w:val="000000"/>
              </w:rPr>
              <w:t xml:space="preserve">other </w:t>
            </w:r>
            <w:r w:rsidR="00E52328">
              <w:rPr>
                <w:rFonts w:ascii="Times New Roman" w:hAnsi="Times New Roman" w:cs="Times New Roman"/>
                <w:color w:val="000000"/>
              </w:rPr>
              <w:t>areas, s</w:t>
            </w:r>
            <w:r w:rsidR="001D73FB">
              <w:rPr>
                <w:rFonts w:ascii="Times New Roman" w:hAnsi="Times New Roman" w:cs="Times New Roman"/>
                <w:color w:val="000000"/>
              </w:rPr>
              <w:t xml:space="preserve">uch as the </w:t>
            </w:r>
            <w:r w:rsidR="00E52328">
              <w:rPr>
                <w:rFonts w:ascii="Times New Roman" w:hAnsi="Times New Roman" w:cs="Times New Roman"/>
                <w:color w:val="000000"/>
              </w:rPr>
              <w:t>Atlantic/</w:t>
            </w:r>
            <w:r w:rsidR="001D73FB">
              <w:rPr>
                <w:rFonts w:ascii="Times New Roman" w:hAnsi="Times New Roman" w:cs="Times New Roman"/>
                <w:color w:val="000000"/>
              </w:rPr>
              <w:t xml:space="preserve">ICCAT or the </w:t>
            </w:r>
            <w:r w:rsidR="00E52328">
              <w:rPr>
                <w:rFonts w:ascii="Times New Roman" w:hAnsi="Times New Roman" w:cs="Times New Roman"/>
                <w:color w:val="000000"/>
              </w:rPr>
              <w:t>Pacific/</w:t>
            </w:r>
            <w:r w:rsidR="001D73FB">
              <w:rPr>
                <w:rFonts w:ascii="Times New Roman" w:hAnsi="Times New Roman" w:cs="Times New Roman"/>
                <w:color w:val="000000"/>
              </w:rPr>
              <w:t xml:space="preserve">WCPFC). Therefore, it is considered that </w:t>
            </w:r>
            <w:r w:rsidR="001D73FB">
              <w:rPr>
                <w:rFonts w:ascii="Times New Roman" w:hAnsi="Times New Roman" w:cs="Times New Roman"/>
                <w:b/>
                <w:color w:val="000000"/>
              </w:rPr>
              <w:t>SG</w:t>
            </w:r>
            <w:r w:rsidRPr="009C3850">
              <w:rPr>
                <w:rFonts w:ascii="Times New Roman" w:hAnsi="Times New Roman" w:cs="Times New Roman"/>
                <w:b/>
                <w:color w:val="000000"/>
              </w:rPr>
              <w:t xml:space="preserve">80 is </w:t>
            </w:r>
            <w:r w:rsidR="001D73FB">
              <w:rPr>
                <w:rFonts w:ascii="Times New Roman" w:hAnsi="Times New Roman" w:cs="Times New Roman"/>
                <w:b/>
                <w:color w:val="000000"/>
              </w:rPr>
              <w:t xml:space="preserve">not </w:t>
            </w:r>
            <w:r w:rsidRPr="009C3850">
              <w:rPr>
                <w:rFonts w:ascii="Times New Roman" w:hAnsi="Times New Roman" w:cs="Times New Roman"/>
                <w:b/>
                <w:color w:val="000000"/>
              </w:rPr>
              <w:t>met.</w:t>
            </w:r>
            <w:r w:rsidRPr="009C3850">
              <w:rPr>
                <w:rFonts w:ascii="Times New Roman" w:hAnsi="Times New Roman" w:cs="Times New Roman"/>
                <w:color w:val="000000"/>
              </w:rPr>
              <w:t xml:space="preserve"> </w:t>
            </w:r>
            <w:r w:rsidR="00856AF8" w:rsidRPr="001D73FB">
              <w:rPr>
                <w:rFonts w:ascii="Times New Roman" w:hAnsi="Times New Roman" w:cs="Times New Roman"/>
                <w:bCs/>
                <w:iCs/>
                <w:color w:val="000000"/>
              </w:rPr>
              <w:t>Harmonized</w:t>
            </w:r>
            <w:r w:rsidRPr="001D73FB">
              <w:rPr>
                <w:rFonts w:ascii="Times New Roman" w:hAnsi="Times New Roman" w:cs="Times New Roman"/>
                <w:bCs/>
                <w:iCs/>
                <w:color w:val="000000"/>
              </w:rPr>
              <w:t xml:space="preserve"> with ANABAC, Echebastar and the CFTO certification reports</w:t>
            </w:r>
            <w:r w:rsidR="00D625C3">
              <w:rPr>
                <w:rFonts w:ascii="Times New Roman" w:hAnsi="Times New Roman" w:cs="Times New Roman"/>
                <w:bCs/>
                <w:iCs/>
                <w:color w:val="000000"/>
              </w:rPr>
              <w:t xml:space="preserve"> (note: </w:t>
            </w:r>
            <w:r w:rsidR="006F29AE" w:rsidRPr="00697A44">
              <w:rPr>
                <w:rFonts w:ascii="Times New Roman" w:hAnsi="Times New Roman" w:cs="Times New Roman"/>
                <w:bCs/>
                <w:iCs/>
                <w:color w:val="000000"/>
              </w:rPr>
              <w:t xml:space="preserve">in the first SA of the </w:t>
            </w:r>
            <w:r w:rsidR="00D625C3" w:rsidRPr="00697A44">
              <w:rPr>
                <w:rFonts w:ascii="Times New Roman" w:hAnsi="Times New Roman" w:cs="Times New Roman"/>
                <w:bCs/>
                <w:iCs/>
                <w:color w:val="000000"/>
              </w:rPr>
              <w:t xml:space="preserve">CFTO </w:t>
            </w:r>
            <w:r w:rsidR="006F29AE" w:rsidRPr="00697A44">
              <w:rPr>
                <w:rFonts w:ascii="Times New Roman" w:hAnsi="Times New Roman" w:cs="Times New Roman"/>
                <w:bCs/>
                <w:iCs/>
                <w:color w:val="000000"/>
              </w:rPr>
              <w:t xml:space="preserve">certification conducted in 2022 this </w:t>
            </w:r>
            <w:r w:rsidR="00D625C3" w:rsidRPr="00697A44">
              <w:rPr>
                <w:rFonts w:ascii="Times New Roman" w:hAnsi="Times New Roman" w:cs="Times New Roman"/>
                <w:bCs/>
                <w:iCs/>
                <w:color w:val="000000"/>
              </w:rPr>
              <w:t xml:space="preserve">condition was scored ahead of target with the following rational: </w:t>
            </w:r>
            <w:r w:rsidR="006F29AE" w:rsidRPr="00697A44">
              <w:rPr>
                <w:rFonts w:ascii="Times New Roman" w:hAnsi="Times New Roman" w:cs="Times New Roman"/>
                <w:bCs/>
                <w:iCs/>
                <w:color w:val="000000"/>
              </w:rPr>
              <w:t>“</w:t>
            </w:r>
            <w:r w:rsidR="00D625C3" w:rsidRPr="00697A44">
              <w:rPr>
                <w:rFonts w:ascii="Times New Roman" w:hAnsi="Times New Roman" w:cs="Times New Roman"/>
                <w:bCs/>
                <w:i/>
                <w:color w:val="000000"/>
              </w:rPr>
              <w:t>The assessment team believes that the Dupaix et al. (2022) findings are a significant step towards closing out this condition. However, at this stage the paper has not been peer reviewed, which would provide additional confidence in the robustness of this study</w:t>
            </w:r>
            <w:r w:rsidR="006F29AE" w:rsidRPr="00697A44">
              <w:rPr>
                <w:rFonts w:ascii="Times New Roman" w:hAnsi="Times New Roman" w:cs="Times New Roman"/>
                <w:bCs/>
                <w:iCs/>
                <w:color w:val="000000"/>
              </w:rPr>
              <w:t>”</w:t>
            </w:r>
            <w:r w:rsidR="00D625C3" w:rsidRPr="00697A44">
              <w:rPr>
                <w:rFonts w:ascii="Times New Roman" w:hAnsi="Times New Roman" w:cs="Times New Roman"/>
                <w:bCs/>
                <w:iCs/>
                <w:color w:val="000000"/>
              </w:rPr>
              <w:t xml:space="preserve">. </w:t>
            </w:r>
            <w:r w:rsidR="006F29AE" w:rsidRPr="00697A44">
              <w:rPr>
                <w:rFonts w:ascii="Times New Roman" w:hAnsi="Times New Roman" w:cs="Times New Roman"/>
                <w:bCs/>
                <w:iCs/>
                <w:color w:val="000000"/>
              </w:rPr>
              <w:t>It is understood th</w:t>
            </w:r>
            <w:r w:rsidR="00697A44" w:rsidRPr="00697A44">
              <w:rPr>
                <w:rFonts w:ascii="Times New Roman" w:hAnsi="Times New Roman" w:cs="Times New Roman"/>
                <w:bCs/>
                <w:iCs/>
                <w:color w:val="000000"/>
              </w:rPr>
              <w:t>at article was peer reviewed in 2023)</w:t>
            </w:r>
          </w:p>
        </w:tc>
      </w:tr>
      <w:tr w:rsidR="009A3D44" w:rsidRPr="009C3850" w14:paraId="4CA84A46" w14:textId="77777777" w:rsidTr="009C3850">
        <w:tc>
          <w:tcPr>
            <w:cnfStyle w:val="001000000000" w:firstRow="0" w:lastRow="0" w:firstColumn="1" w:lastColumn="0" w:oddVBand="0" w:evenVBand="0" w:oddHBand="0" w:evenHBand="0" w:firstRowFirstColumn="0" w:firstRowLastColumn="0" w:lastRowFirstColumn="0" w:lastRowLastColumn="0"/>
            <w:tcW w:w="1234" w:type="dxa"/>
            <w:vMerge w:val="restart"/>
            <w:shd w:val="clear" w:color="auto" w:fill="auto"/>
          </w:tcPr>
          <w:p w14:paraId="48DF74A4" w14:textId="77777777" w:rsidR="009A3D44" w:rsidRPr="009C3850" w:rsidRDefault="00BE1A09">
            <w:pPr>
              <w:jc w:val="center"/>
              <w:rPr>
                <w:rFonts w:ascii="Times New Roman" w:hAnsi="Times New Roman" w:cs="Times New Roman"/>
              </w:rPr>
            </w:pPr>
            <w:r w:rsidRPr="009C3850">
              <w:rPr>
                <w:rFonts w:ascii="Times New Roman" w:hAnsi="Times New Roman" w:cs="Times New Roman"/>
              </w:rPr>
              <w:lastRenderedPageBreak/>
              <w:t>3</w:t>
            </w:r>
          </w:p>
        </w:tc>
        <w:tc>
          <w:tcPr>
            <w:tcW w:w="1880" w:type="dxa"/>
            <w:vMerge w:val="restart"/>
            <w:shd w:val="clear" w:color="auto" w:fill="auto"/>
          </w:tcPr>
          <w:p w14:paraId="3F8A8EA5"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Governance and Policy</w:t>
            </w:r>
          </w:p>
        </w:tc>
        <w:tc>
          <w:tcPr>
            <w:tcW w:w="951" w:type="dxa"/>
            <w:shd w:val="clear" w:color="auto" w:fill="auto"/>
          </w:tcPr>
          <w:p w14:paraId="418F2C54"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3.1.1</w:t>
            </w:r>
          </w:p>
        </w:tc>
        <w:tc>
          <w:tcPr>
            <w:tcW w:w="3090" w:type="dxa"/>
            <w:shd w:val="clear" w:color="auto" w:fill="auto"/>
          </w:tcPr>
          <w:p w14:paraId="2CA46AEF"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Legal and customary framework</w:t>
            </w:r>
          </w:p>
        </w:tc>
        <w:tc>
          <w:tcPr>
            <w:tcW w:w="1111" w:type="dxa"/>
            <w:shd w:val="clear" w:color="auto" w:fill="auto"/>
          </w:tcPr>
          <w:p w14:paraId="3AA71330"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highlight w:val="yellow"/>
              </w:rPr>
            </w:pPr>
            <w:r w:rsidRPr="009C3850">
              <w:rPr>
                <w:rFonts w:ascii="Times New Roman" w:hAnsi="Times New Roman" w:cs="Times New Roman"/>
                <w:color w:val="000000"/>
              </w:rPr>
              <w:t>&gt;80</w:t>
            </w:r>
          </w:p>
        </w:tc>
        <w:tc>
          <w:tcPr>
            <w:tcW w:w="1271" w:type="dxa"/>
            <w:shd w:val="clear" w:color="auto" w:fill="auto"/>
          </w:tcPr>
          <w:p w14:paraId="3697F367"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rPr>
            </w:pPr>
            <w:r w:rsidRPr="009C3850">
              <w:rPr>
                <w:rFonts w:ascii="Times New Roman" w:hAnsi="Times New Roman" w:cs="Times New Roman"/>
                <w:color w:val="000000"/>
              </w:rPr>
              <w:t>60-79</w:t>
            </w:r>
          </w:p>
        </w:tc>
        <w:tc>
          <w:tcPr>
            <w:tcW w:w="5851" w:type="dxa"/>
            <w:shd w:val="clear" w:color="auto" w:fill="auto"/>
          </w:tcPr>
          <w:p w14:paraId="7FC0C442" w14:textId="223BC326" w:rsidR="008C4FEC" w:rsidRPr="009A3A69" w:rsidRDefault="00BE1A09" w:rsidP="008906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Fishing for tuna and tuna like species in the area of the assessment, both on the high seas and in zones of national jurisdiction, is governed by the Indian Ocean Tuna Commission (IOTC). IOTC provides an </w:t>
            </w:r>
            <w:r w:rsidR="00856AF8" w:rsidRPr="009C3850">
              <w:rPr>
                <w:rFonts w:ascii="Times New Roman" w:hAnsi="Times New Roman" w:cs="Times New Roman"/>
                <w:color w:val="000000"/>
              </w:rPr>
              <w:t>organized</w:t>
            </w:r>
            <w:r w:rsidRPr="009C3850">
              <w:rPr>
                <w:rFonts w:ascii="Times New Roman" w:hAnsi="Times New Roman" w:cs="Times New Roman"/>
                <w:color w:val="000000"/>
              </w:rPr>
              <w:t xml:space="preserve"> and effective international cooperation framework regarding scientific data collection and sharing, stock assessment and the development of scientific advice and well as monitoring and control. IOTC conservation measures are adopted as resolutions to deliver management outcomes consistent with Principles 1 and 2. Those CMM are binding at national levels on all CPCs that do not object to them. Recently, </w:t>
            </w:r>
            <w:r w:rsidR="00002AE6">
              <w:rPr>
                <w:rFonts w:ascii="Times New Roman" w:hAnsi="Times New Roman" w:cs="Times New Roman"/>
                <w:color w:val="000000"/>
              </w:rPr>
              <w:t xml:space="preserve">the implementation of </w:t>
            </w:r>
            <w:r w:rsidRPr="009C3850">
              <w:rPr>
                <w:rFonts w:ascii="Times New Roman" w:hAnsi="Times New Roman" w:cs="Times New Roman"/>
                <w:color w:val="000000"/>
              </w:rPr>
              <w:t>IOTC Resolution 23/02 which include</w:t>
            </w:r>
            <w:r w:rsidR="009F462A">
              <w:rPr>
                <w:rFonts w:ascii="Times New Roman" w:hAnsi="Times New Roman" w:cs="Times New Roman"/>
                <w:color w:val="000000"/>
              </w:rPr>
              <w:t>d</w:t>
            </w:r>
            <w:r w:rsidRPr="009C3850">
              <w:rPr>
                <w:rFonts w:ascii="Times New Roman" w:hAnsi="Times New Roman" w:cs="Times New Roman"/>
                <w:color w:val="000000"/>
              </w:rPr>
              <w:t xml:space="preserve"> a phased reduction in the number of drifting FADs permitted per vessel, from 300 to 250 in the first year and to 200 in 2025; and </w:t>
            </w:r>
            <w:r w:rsidR="006B4089">
              <w:rPr>
                <w:rFonts w:ascii="Times New Roman" w:hAnsi="Times New Roman" w:cs="Times New Roman"/>
                <w:color w:val="000000"/>
              </w:rPr>
              <w:t xml:space="preserve">would </w:t>
            </w:r>
            <w:r w:rsidRPr="009C3850">
              <w:rPr>
                <w:rFonts w:ascii="Times New Roman" w:hAnsi="Times New Roman" w:cs="Times New Roman"/>
                <w:color w:val="000000"/>
              </w:rPr>
              <w:t xml:space="preserve">put in place a 72-day closure period for drifting FADs in the Indian Ocean </w:t>
            </w:r>
            <w:r w:rsidR="0077662F">
              <w:rPr>
                <w:rFonts w:ascii="Times New Roman" w:hAnsi="Times New Roman" w:cs="Times New Roman"/>
                <w:color w:val="000000"/>
              </w:rPr>
              <w:t xml:space="preserve">was </w:t>
            </w:r>
            <w:r w:rsidR="0078187A" w:rsidRPr="009A3A69">
              <w:rPr>
                <w:rFonts w:ascii="Times New Roman" w:hAnsi="Times New Roman" w:cs="Times New Roman"/>
                <w:color w:val="000000"/>
              </w:rPr>
              <w:t>adopted by the Commission at its 6th Special Session</w:t>
            </w:r>
            <w:r w:rsidR="00B0464C" w:rsidRPr="009A3A69">
              <w:rPr>
                <w:rFonts w:ascii="Times New Roman" w:hAnsi="Times New Roman" w:cs="Times New Roman"/>
                <w:color w:val="000000"/>
              </w:rPr>
              <w:t xml:space="preserve"> (</w:t>
            </w:r>
            <w:r w:rsidR="0078187A" w:rsidRPr="009A3A69">
              <w:rPr>
                <w:rFonts w:ascii="Times New Roman" w:hAnsi="Times New Roman" w:cs="Times New Roman"/>
                <w:color w:val="000000"/>
              </w:rPr>
              <w:t>held in Kenya from 3 to 5 February 2023</w:t>
            </w:r>
            <w:r w:rsidR="00B0464C" w:rsidRPr="009A3A69">
              <w:rPr>
                <w:rFonts w:ascii="Times New Roman" w:hAnsi="Times New Roman" w:cs="Times New Roman"/>
                <w:color w:val="000000"/>
              </w:rPr>
              <w:t>)</w:t>
            </w:r>
            <w:r w:rsidR="0077662F">
              <w:rPr>
                <w:rFonts w:ascii="Times New Roman" w:hAnsi="Times New Roman" w:cs="Times New Roman"/>
                <w:color w:val="000000"/>
              </w:rPr>
              <w:t>. However, several CPCs</w:t>
            </w:r>
            <w:r w:rsidR="006C07FB">
              <w:rPr>
                <w:rFonts w:ascii="Times New Roman" w:hAnsi="Times New Roman" w:cs="Times New Roman"/>
                <w:color w:val="000000"/>
              </w:rPr>
              <w:t xml:space="preserve"> (including </w:t>
            </w:r>
            <w:r w:rsidR="0077662F" w:rsidRPr="0077662F">
              <w:rPr>
                <w:rFonts w:ascii="Times New Roman" w:hAnsi="Times New Roman" w:cs="Times New Roman"/>
                <w:color w:val="000000"/>
              </w:rPr>
              <w:t xml:space="preserve">the EU) objected to the </w:t>
            </w:r>
            <w:r w:rsidR="006C07FB">
              <w:rPr>
                <w:rFonts w:ascii="Times New Roman" w:hAnsi="Times New Roman" w:cs="Times New Roman"/>
                <w:color w:val="000000"/>
              </w:rPr>
              <w:t>resolution</w:t>
            </w:r>
            <w:r w:rsidR="00397233">
              <w:rPr>
                <w:rFonts w:ascii="Times New Roman" w:hAnsi="Times New Roman" w:cs="Times New Roman"/>
                <w:color w:val="000000"/>
              </w:rPr>
              <w:t>,</w:t>
            </w:r>
            <w:r w:rsidR="006C07FB">
              <w:rPr>
                <w:rFonts w:ascii="Times New Roman" w:hAnsi="Times New Roman" w:cs="Times New Roman"/>
                <w:color w:val="000000"/>
              </w:rPr>
              <w:t xml:space="preserve"> and as th</w:t>
            </w:r>
            <w:r w:rsidR="00397233">
              <w:rPr>
                <w:rFonts w:ascii="Times New Roman" w:hAnsi="Times New Roman" w:cs="Times New Roman"/>
                <w:color w:val="000000"/>
              </w:rPr>
              <w:t>is</w:t>
            </w:r>
            <w:r w:rsidR="006C07FB">
              <w:rPr>
                <w:rFonts w:ascii="Times New Roman" w:hAnsi="Times New Roman" w:cs="Times New Roman"/>
                <w:color w:val="000000"/>
              </w:rPr>
              <w:t xml:space="preserve"> number reached </w:t>
            </w:r>
            <w:r w:rsidR="00397233" w:rsidRPr="00397233">
              <w:rPr>
                <w:rFonts w:ascii="Times New Roman" w:hAnsi="Times New Roman" w:cs="Times New Roman"/>
                <w:color w:val="000000"/>
              </w:rPr>
              <w:t>more than one third of members</w:t>
            </w:r>
            <w:r w:rsidR="009A2F4B" w:rsidRPr="009A3A69">
              <w:rPr>
                <w:rFonts w:ascii="Times New Roman" w:hAnsi="Times New Roman" w:cs="Times New Roman"/>
                <w:color w:val="000000"/>
              </w:rPr>
              <w:t xml:space="preserve"> (11 objections out of 30)</w:t>
            </w:r>
            <w:r w:rsidR="00397233">
              <w:rPr>
                <w:rFonts w:ascii="Times New Roman" w:hAnsi="Times New Roman" w:cs="Times New Roman"/>
                <w:color w:val="000000"/>
              </w:rPr>
              <w:t>,</w:t>
            </w:r>
            <w:r w:rsidR="006C07FB">
              <w:rPr>
                <w:rFonts w:ascii="Times New Roman" w:hAnsi="Times New Roman" w:cs="Times New Roman"/>
                <w:color w:val="000000"/>
              </w:rPr>
              <w:t xml:space="preserve"> it has not been </w:t>
            </w:r>
            <w:r w:rsidR="00397233">
              <w:rPr>
                <w:rFonts w:ascii="Times New Roman" w:hAnsi="Times New Roman" w:cs="Times New Roman"/>
                <w:color w:val="000000"/>
              </w:rPr>
              <w:t xml:space="preserve">finally </w:t>
            </w:r>
            <w:r w:rsidR="00B82985">
              <w:rPr>
                <w:rFonts w:ascii="Times New Roman" w:hAnsi="Times New Roman" w:cs="Times New Roman"/>
                <w:color w:val="000000"/>
              </w:rPr>
              <w:t>adopted</w:t>
            </w:r>
            <w:r w:rsidR="00890668">
              <w:rPr>
                <w:rFonts w:ascii="Times New Roman" w:hAnsi="Times New Roman" w:cs="Times New Roman"/>
                <w:color w:val="000000"/>
              </w:rPr>
              <w:t xml:space="preserve"> (</w:t>
            </w:r>
            <w:r w:rsidR="00890668" w:rsidRPr="009A3A69">
              <w:rPr>
                <w:rFonts w:ascii="Times New Roman" w:hAnsi="Times New Roman" w:cs="Times New Roman"/>
                <w:color w:val="000000"/>
              </w:rPr>
              <w:t>IOTC CIRCULAR</w:t>
            </w:r>
            <w:r w:rsidR="009A3A69" w:rsidRPr="009A3A69">
              <w:rPr>
                <w:rFonts w:ascii="Times New Roman" w:hAnsi="Times New Roman" w:cs="Times New Roman"/>
                <w:color w:val="000000"/>
              </w:rPr>
              <w:t xml:space="preserve"> </w:t>
            </w:r>
            <w:r w:rsidR="00890668" w:rsidRPr="009A3A69">
              <w:rPr>
                <w:rFonts w:ascii="Times New Roman" w:hAnsi="Times New Roman" w:cs="Times New Roman"/>
                <w:color w:val="000000"/>
              </w:rPr>
              <w:t>2023–51)</w:t>
            </w:r>
            <w:r w:rsidR="00002AE6" w:rsidRPr="009A3A69">
              <w:rPr>
                <w:rFonts w:ascii="Times New Roman" w:hAnsi="Times New Roman" w:cs="Times New Roman"/>
                <w:color w:val="000000"/>
              </w:rPr>
              <w:t xml:space="preserve">. </w:t>
            </w:r>
          </w:p>
          <w:p w14:paraId="526A2207" w14:textId="6C05289D" w:rsidR="009A3D44" w:rsidRPr="00856AF8" w:rsidRDefault="00BE1A09" w:rsidP="00A177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rPr>
            </w:pPr>
            <w:r w:rsidRPr="009C3850">
              <w:rPr>
                <w:rFonts w:ascii="Times New Roman" w:hAnsi="Times New Roman" w:cs="Times New Roman"/>
                <w:color w:val="000000"/>
              </w:rPr>
              <w:t xml:space="preserve">Cooperation of all parties within the IOTC is not mandatory. </w:t>
            </w:r>
            <w:r w:rsidR="00856AF8">
              <w:rPr>
                <w:rFonts w:ascii="Times New Roman" w:hAnsi="Times New Roman" w:cs="Times New Roman"/>
                <w:color w:val="000000"/>
              </w:rPr>
              <w:t>However, t</w:t>
            </w:r>
            <w:r w:rsidRPr="009C3850">
              <w:rPr>
                <w:rFonts w:ascii="Times New Roman" w:hAnsi="Times New Roman" w:cs="Times New Roman"/>
                <w:color w:val="000000"/>
              </w:rPr>
              <w:t>he guidepost in 3.3.1a indicates: “</w:t>
            </w:r>
            <w:r w:rsidRPr="009C3850">
              <w:rPr>
                <w:rFonts w:ascii="Times New Roman" w:hAnsi="Times New Roman" w:cs="Times New Roman"/>
                <w:i/>
                <w:color w:val="000000"/>
              </w:rPr>
              <w:t xml:space="preserve">There is an effective national legal system and </w:t>
            </w:r>
            <w:r w:rsidR="00856AF8" w:rsidRPr="009C3850">
              <w:rPr>
                <w:rFonts w:ascii="Times New Roman" w:hAnsi="Times New Roman" w:cs="Times New Roman"/>
                <w:b/>
                <w:i/>
                <w:color w:val="000000"/>
              </w:rPr>
              <w:t>organized</w:t>
            </w:r>
            <w:r w:rsidRPr="009C3850">
              <w:rPr>
                <w:rFonts w:ascii="Times New Roman" w:hAnsi="Times New Roman" w:cs="Times New Roman"/>
                <w:b/>
                <w:i/>
                <w:color w:val="000000"/>
              </w:rPr>
              <w:t xml:space="preserve"> and effective cooperation with other parties</w:t>
            </w:r>
            <w:r w:rsidRPr="009C3850">
              <w:rPr>
                <w:rFonts w:ascii="Times New Roman" w:hAnsi="Times New Roman" w:cs="Times New Roman"/>
                <w:i/>
                <w:color w:val="000000"/>
              </w:rPr>
              <w:t>, where necessary, to deliver</w:t>
            </w:r>
            <w:r w:rsidR="00856AF8">
              <w:rPr>
                <w:rFonts w:ascii="Times New Roman" w:hAnsi="Times New Roman" w:cs="Times New Roman"/>
                <w:i/>
                <w:color w:val="000000"/>
              </w:rPr>
              <w:t xml:space="preserve"> </w:t>
            </w:r>
            <w:r w:rsidRPr="009C3850">
              <w:rPr>
                <w:rFonts w:ascii="Times New Roman" w:hAnsi="Times New Roman" w:cs="Times New Roman"/>
                <w:i/>
                <w:color w:val="000000"/>
              </w:rPr>
              <w:lastRenderedPageBreak/>
              <w:t>management outcomes consistent with MSC</w:t>
            </w:r>
            <w:r w:rsidR="00856AF8">
              <w:rPr>
                <w:rFonts w:ascii="Times New Roman" w:hAnsi="Times New Roman" w:cs="Times New Roman"/>
                <w:i/>
                <w:color w:val="000000"/>
              </w:rPr>
              <w:t xml:space="preserve"> </w:t>
            </w:r>
            <w:r w:rsidRPr="009C3850">
              <w:rPr>
                <w:rFonts w:ascii="Times New Roman" w:hAnsi="Times New Roman" w:cs="Times New Roman"/>
                <w:i/>
                <w:color w:val="000000"/>
              </w:rPr>
              <w:t>Principles 1 and 2.</w:t>
            </w:r>
            <w:r w:rsidRPr="009C3850">
              <w:rPr>
                <w:rFonts w:ascii="Times New Roman" w:hAnsi="Times New Roman" w:cs="Times New Roman"/>
                <w:color w:val="000000"/>
              </w:rPr>
              <w:t>” As indicated</w:t>
            </w:r>
            <w:r w:rsidR="00856AF8">
              <w:rPr>
                <w:rFonts w:ascii="Times New Roman" w:hAnsi="Times New Roman" w:cs="Times New Roman"/>
                <w:color w:val="000000"/>
              </w:rPr>
              <w:t xml:space="preserve"> above</w:t>
            </w:r>
            <w:r w:rsidRPr="009C3850">
              <w:rPr>
                <w:rFonts w:ascii="Times New Roman" w:hAnsi="Times New Roman" w:cs="Times New Roman"/>
                <w:color w:val="000000"/>
              </w:rPr>
              <w:t xml:space="preserve">, it is possible </w:t>
            </w:r>
            <w:r w:rsidR="00856AF8">
              <w:rPr>
                <w:rFonts w:ascii="Times New Roman" w:hAnsi="Times New Roman" w:cs="Times New Roman"/>
                <w:color w:val="000000"/>
              </w:rPr>
              <w:t xml:space="preserve">within the IOTC framework </w:t>
            </w:r>
            <w:r w:rsidRPr="009C3850">
              <w:rPr>
                <w:rFonts w:ascii="Times New Roman" w:hAnsi="Times New Roman" w:cs="Times New Roman"/>
                <w:color w:val="000000"/>
              </w:rPr>
              <w:t xml:space="preserve">for an individual IOTC CPC to object to an otherwise binding IOTC resolution that is key to the fishery’s management. </w:t>
            </w:r>
            <w:r w:rsidR="00750315">
              <w:rPr>
                <w:rFonts w:ascii="Times New Roman" w:hAnsi="Times New Roman" w:cs="Times New Roman"/>
                <w:color w:val="000000"/>
              </w:rPr>
              <w:t xml:space="preserve">However, the increasing number of CPCs objecting to the different resolutions (1 to Res. 19/01. </w:t>
            </w:r>
            <w:r w:rsidR="00CA3E71">
              <w:rPr>
                <w:rFonts w:ascii="Times New Roman" w:hAnsi="Times New Roman" w:cs="Times New Roman"/>
                <w:color w:val="000000"/>
              </w:rPr>
              <w:t>6</w:t>
            </w:r>
            <w:r w:rsidR="00750315">
              <w:rPr>
                <w:rFonts w:ascii="Times New Roman" w:hAnsi="Times New Roman" w:cs="Times New Roman"/>
                <w:color w:val="000000"/>
              </w:rPr>
              <w:t xml:space="preserve"> to Res. 21/01, </w:t>
            </w:r>
            <w:r w:rsidR="00847200">
              <w:rPr>
                <w:rFonts w:ascii="Times New Roman" w:hAnsi="Times New Roman" w:cs="Times New Roman"/>
                <w:color w:val="000000"/>
              </w:rPr>
              <w:t>11</w:t>
            </w:r>
            <w:r w:rsidR="00750315">
              <w:rPr>
                <w:rFonts w:ascii="Times New Roman" w:hAnsi="Times New Roman" w:cs="Times New Roman"/>
                <w:color w:val="000000"/>
              </w:rPr>
              <w:t xml:space="preserve"> to </w:t>
            </w:r>
            <w:r w:rsidR="00847200">
              <w:rPr>
                <w:rFonts w:ascii="Times New Roman" w:hAnsi="Times New Roman" w:cs="Times New Roman"/>
                <w:color w:val="000000"/>
              </w:rPr>
              <w:t xml:space="preserve">Res. </w:t>
            </w:r>
            <w:r w:rsidR="00750315">
              <w:rPr>
                <w:rFonts w:ascii="Times New Roman" w:hAnsi="Times New Roman" w:cs="Times New Roman"/>
                <w:color w:val="000000"/>
              </w:rPr>
              <w:t>23/02, including the EU) seems to indicate</w:t>
            </w:r>
            <w:r w:rsidRPr="009C3850">
              <w:rPr>
                <w:rFonts w:ascii="Times New Roman" w:hAnsi="Times New Roman" w:cs="Times New Roman"/>
                <w:color w:val="000000"/>
              </w:rPr>
              <w:t xml:space="preserve"> that cooperation between the parties </w:t>
            </w:r>
            <w:r w:rsidR="00750315">
              <w:rPr>
                <w:rFonts w:ascii="Times New Roman" w:hAnsi="Times New Roman" w:cs="Times New Roman"/>
                <w:color w:val="000000"/>
              </w:rPr>
              <w:t xml:space="preserve">in the IOTC is not being effective. </w:t>
            </w:r>
            <w:r w:rsidRPr="009C3850">
              <w:rPr>
                <w:rFonts w:ascii="Times New Roman" w:hAnsi="Times New Roman" w:cs="Times New Roman"/>
                <w:color w:val="000000"/>
              </w:rPr>
              <w:t xml:space="preserve">Therefore, </w:t>
            </w:r>
            <w:r w:rsidR="00501AA5">
              <w:rPr>
                <w:rFonts w:ascii="Times New Roman" w:hAnsi="Times New Roman" w:cs="Times New Roman"/>
                <w:color w:val="000000"/>
              </w:rPr>
              <w:t xml:space="preserve">the auditor </w:t>
            </w:r>
            <w:proofErr w:type="gramStart"/>
            <w:r w:rsidR="00501AA5">
              <w:rPr>
                <w:rFonts w:ascii="Times New Roman" w:hAnsi="Times New Roman" w:cs="Times New Roman"/>
                <w:color w:val="000000"/>
              </w:rPr>
              <w:t>consider</w:t>
            </w:r>
            <w:proofErr w:type="gramEnd"/>
            <w:r w:rsidR="00501AA5">
              <w:rPr>
                <w:rFonts w:ascii="Times New Roman" w:hAnsi="Times New Roman" w:cs="Times New Roman"/>
                <w:color w:val="000000"/>
              </w:rPr>
              <w:t xml:space="preserve"> that </w:t>
            </w:r>
            <w:r w:rsidRPr="009C3850">
              <w:rPr>
                <w:rFonts w:ascii="Times New Roman" w:hAnsi="Times New Roman" w:cs="Times New Roman"/>
                <w:b/>
                <w:color w:val="000000"/>
              </w:rPr>
              <w:t>SG80 is not met.</w:t>
            </w:r>
            <w:r w:rsidR="00750315">
              <w:rPr>
                <w:rFonts w:ascii="Times New Roman" w:hAnsi="Times New Roman" w:cs="Times New Roman"/>
                <w:b/>
                <w:color w:val="000000"/>
              </w:rPr>
              <w:t xml:space="preserve"> </w:t>
            </w:r>
            <w:r w:rsidR="00750315" w:rsidRPr="00750315">
              <w:rPr>
                <w:rFonts w:ascii="Times New Roman" w:hAnsi="Times New Roman" w:cs="Times New Roman"/>
                <w:bCs/>
                <w:color w:val="000000"/>
              </w:rPr>
              <w:t>Downgraded from the previous score.</w:t>
            </w:r>
          </w:p>
        </w:tc>
      </w:tr>
      <w:tr w:rsidR="009A3D44" w:rsidRPr="009C3850" w14:paraId="44190669" w14:textId="77777777" w:rsidTr="009C3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6F363033"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highlight w:val="yellow"/>
              </w:rPr>
            </w:pPr>
          </w:p>
        </w:tc>
        <w:tc>
          <w:tcPr>
            <w:tcW w:w="1880" w:type="dxa"/>
            <w:vMerge/>
            <w:shd w:val="clear" w:color="auto" w:fill="auto"/>
          </w:tcPr>
          <w:p w14:paraId="0CE40D64" w14:textId="77777777" w:rsidR="009A3D44" w:rsidRPr="009C3850" w:rsidRDefault="009A3D44">
            <w:pPr>
              <w:widowControl w:val="0"/>
              <w:pBdr>
                <w:top w:val="nil"/>
                <w:left w:val="nil"/>
                <w:bottom w:val="nil"/>
                <w:right w:val="nil"/>
                <w:between w:val="nil"/>
              </w:pBdr>
              <w:spacing w:before="0"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highlight w:val="yellow"/>
              </w:rPr>
            </w:pPr>
          </w:p>
        </w:tc>
        <w:tc>
          <w:tcPr>
            <w:tcW w:w="951" w:type="dxa"/>
            <w:shd w:val="clear" w:color="auto" w:fill="auto"/>
          </w:tcPr>
          <w:p w14:paraId="23E2685B"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3.1.2</w:t>
            </w:r>
          </w:p>
        </w:tc>
        <w:tc>
          <w:tcPr>
            <w:tcW w:w="3090" w:type="dxa"/>
            <w:shd w:val="clear" w:color="auto" w:fill="auto"/>
          </w:tcPr>
          <w:p w14:paraId="3FCA3949"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Consultation, roles and responsibilities</w:t>
            </w:r>
          </w:p>
        </w:tc>
        <w:tc>
          <w:tcPr>
            <w:tcW w:w="1111" w:type="dxa"/>
            <w:shd w:val="clear" w:color="auto" w:fill="auto"/>
          </w:tcPr>
          <w:p w14:paraId="4C047146"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60-79</w:t>
            </w:r>
          </w:p>
        </w:tc>
        <w:tc>
          <w:tcPr>
            <w:tcW w:w="1271" w:type="dxa"/>
            <w:shd w:val="clear" w:color="auto" w:fill="auto"/>
          </w:tcPr>
          <w:p w14:paraId="617A5668" w14:textId="7ED0BD73" w:rsidR="009A3D44" w:rsidRPr="009C3850" w:rsidRDefault="00B119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&gt;80</w:t>
            </w:r>
          </w:p>
        </w:tc>
        <w:tc>
          <w:tcPr>
            <w:tcW w:w="5851" w:type="dxa"/>
            <w:shd w:val="clear" w:color="auto" w:fill="auto"/>
          </w:tcPr>
          <w:p w14:paraId="2D51B4AA" w14:textId="74D3D584"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At the regional level, </w:t>
            </w:r>
            <w:r w:rsidR="00750315" w:rsidRPr="009C3850">
              <w:rPr>
                <w:rFonts w:ascii="Times New Roman" w:hAnsi="Times New Roman" w:cs="Times New Roman"/>
                <w:color w:val="000000"/>
              </w:rPr>
              <w:t>organizations</w:t>
            </w:r>
            <w:r w:rsidRPr="009C3850">
              <w:rPr>
                <w:rFonts w:ascii="Times New Roman" w:hAnsi="Times New Roman" w:cs="Times New Roman"/>
                <w:color w:val="000000"/>
              </w:rPr>
              <w:t xml:space="preserve"> and individuals involved in the management process have been identified. IOTC Rules of Procedure specify consultation processes and roles and responsibilities. </w:t>
            </w:r>
            <w:r w:rsidR="002A3D23">
              <w:rPr>
                <w:rFonts w:ascii="Times New Roman" w:hAnsi="Times New Roman" w:cs="Times New Roman"/>
                <w:color w:val="000000"/>
              </w:rPr>
              <w:t>A</w:t>
            </w:r>
            <w:r w:rsidRPr="009C3850">
              <w:rPr>
                <w:rFonts w:ascii="Times New Roman" w:hAnsi="Times New Roman" w:cs="Times New Roman"/>
                <w:color w:val="000000"/>
              </w:rPr>
              <w:t>ccording to the Echebastar assessment report evidence indicated the limited input of local stakeholders in the Seychelles decision making process (</w:t>
            </w:r>
            <w:proofErr w:type="spellStart"/>
            <w:r w:rsidRPr="009C3850">
              <w:rPr>
                <w:rFonts w:ascii="Times New Roman" w:hAnsi="Times New Roman" w:cs="Times New Roman"/>
                <w:color w:val="000000"/>
              </w:rPr>
              <w:t>DeAlteris</w:t>
            </w:r>
            <w:proofErr w:type="spellEnd"/>
            <w:r w:rsidRPr="009C3850">
              <w:rPr>
                <w:rFonts w:ascii="Times New Roman" w:hAnsi="Times New Roman" w:cs="Times New Roman"/>
                <w:color w:val="000000"/>
              </w:rPr>
              <w:t xml:space="preserve"> et al., 2018) </w:t>
            </w:r>
            <w:r w:rsidR="00302DBA">
              <w:rPr>
                <w:rFonts w:ascii="Times New Roman" w:hAnsi="Times New Roman" w:cs="Times New Roman"/>
                <w:color w:val="000000"/>
              </w:rPr>
              <w:t xml:space="preserve">but the </w:t>
            </w:r>
            <w:r w:rsidRPr="009C3850">
              <w:rPr>
                <w:rFonts w:ascii="Times New Roman" w:hAnsi="Times New Roman" w:cs="Times New Roman"/>
                <w:color w:val="000000"/>
              </w:rPr>
              <w:t xml:space="preserve">condition set for this assessment </w:t>
            </w:r>
            <w:r w:rsidR="00302DBA">
              <w:rPr>
                <w:rFonts w:ascii="Times New Roman" w:hAnsi="Times New Roman" w:cs="Times New Roman"/>
                <w:color w:val="000000"/>
              </w:rPr>
              <w:t xml:space="preserve">was </w:t>
            </w:r>
            <w:r w:rsidR="0023265B">
              <w:rPr>
                <w:rFonts w:ascii="Times New Roman" w:hAnsi="Times New Roman" w:cs="Times New Roman"/>
                <w:color w:val="000000"/>
              </w:rPr>
              <w:t xml:space="preserve">closed at the </w:t>
            </w:r>
            <w:r w:rsidR="00360993">
              <w:rPr>
                <w:rFonts w:ascii="Times New Roman" w:hAnsi="Times New Roman" w:cs="Times New Roman"/>
                <w:color w:val="000000"/>
              </w:rPr>
              <w:t>third annual audit (Scarcella &amp; Rios 2022).</w:t>
            </w:r>
          </w:p>
          <w:p w14:paraId="4C7C4AC4" w14:textId="044A951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The Government of Seychelles has recently published the</w:t>
            </w:r>
            <w:r w:rsidR="00B1199B">
              <w:rPr>
                <w:rFonts w:ascii="Times New Roman" w:hAnsi="Times New Roman" w:cs="Times New Roman"/>
                <w:color w:val="000000"/>
              </w:rPr>
              <w:t xml:space="preserve"> </w:t>
            </w:r>
            <w:r w:rsidRPr="009C3850">
              <w:rPr>
                <w:rFonts w:ascii="Times New Roman" w:hAnsi="Times New Roman" w:cs="Times New Roman"/>
                <w:color w:val="000000"/>
              </w:rPr>
              <w:t xml:space="preserve">‘Seychelles Fisheries Sector Policy </w:t>
            </w:r>
            <w:r w:rsidR="00A94616" w:rsidRPr="009C3850">
              <w:rPr>
                <w:rFonts w:ascii="Times New Roman" w:hAnsi="Times New Roman" w:cs="Times New Roman"/>
                <w:color w:val="000000"/>
              </w:rPr>
              <w:t>and</w:t>
            </w:r>
            <w:r w:rsidRPr="009C3850">
              <w:rPr>
                <w:rFonts w:ascii="Times New Roman" w:hAnsi="Times New Roman" w:cs="Times New Roman"/>
                <w:color w:val="000000"/>
              </w:rPr>
              <w:t xml:space="preserve"> Strategy 2019’ (</w:t>
            </w:r>
            <w:proofErr w:type="spellStart"/>
            <w:r w:rsidRPr="009C3850">
              <w:rPr>
                <w:rFonts w:ascii="Times New Roman" w:hAnsi="Times New Roman" w:cs="Times New Roman"/>
                <w:color w:val="000000"/>
              </w:rPr>
              <w:t>MFAg</w:t>
            </w:r>
            <w:proofErr w:type="spellEnd"/>
            <w:r w:rsidRPr="009C3850">
              <w:rPr>
                <w:rFonts w:ascii="Times New Roman" w:hAnsi="Times New Roman" w:cs="Times New Roman"/>
                <w:color w:val="000000"/>
              </w:rPr>
              <w:t xml:space="preserve"> 2019a) and a Fisheries Comprehensive Plan’ (</w:t>
            </w:r>
            <w:proofErr w:type="spellStart"/>
            <w:r w:rsidRPr="009C3850">
              <w:rPr>
                <w:rFonts w:ascii="Times New Roman" w:hAnsi="Times New Roman" w:cs="Times New Roman"/>
                <w:color w:val="000000"/>
              </w:rPr>
              <w:t>MFAg</w:t>
            </w:r>
            <w:proofErr w:type="spellEnd"/>
            <w:r w:rsidRPr="009C3850">
              <w:rPr>
                <w:rFonts w:ascii="Times New Roman" w:hAnsi="Times New Roman" w:cs="Times New Roman"/>
                <w:color w:val="000000"/>
              </w:rPr>
              <w:t xml:space="preserve"> 2019b). The policy indicates that the “The Seychelles Government is committed to working with all stakeholders to improve the management and development of sustainable fisheries and</w:t>
            </w:r>
            <w:r w:rsidR="00B1199B">
              <w:rPr>
                <w:rFonts w:ascii="Times New Roman" w:hAnsi="Times New Roman" w:cs="Times New Roman"/>
                <w:color w:val="000000"/>
              </w:rPr>
              <w:t xml:space="preserve"> </w:t>
            </w:r>
            <w:r w:rsidRPr="009C3850">
              <w:rPr>
                <w:rFonts w:ascii="Times New Roman" w:hAnsi="Times New Roman" w:cs="Times New Roman"/>
                <w:color w:val="000000"/>
              </w:rPr>
              <w:t>aquaculture industry”. Seychelles is currently implementing the Fisheries Transparency Initiative (</w:t>
            </w:r>
            <w:proofErr w:type="spellStart"/>
            <w:r w:rsidRPr="009C3850">
              <w:rPr>
                <w:rFonts w:ascii="Times New Roman" w:hAnsi="Times New Roman" w:cs="Times New Roman"/>
                <w:color w:val="000000"/>
              </w:rPr>
              <w:t>FiTI</w:t>
            </w:r>
            <w:proofErr w:type="spellEnd"/>
            <w:r w:rsidRPr="009C3850">
              <w:rPr>
                <w:rFonts w:ascii="Times New Roman" w:hAnsi="Times New Roman" w:cs="Times New Roman"/>
                <w:color w:val="000000"/>
              </w:rPr>
              <w:t xml:space="preserve">), a national multi-stakeholder group (NMSG) has been created and information on the 12 </w:t>
            </w:r>
            <w:proofErr w:type="spellStart"/>
            <w:r w:rsidRPr="009C3850">
              <w:rPr>
                <w:rFonts w:ascii="Times New Roman" w:hAnsi="Times New Roman" w:cs="Times New Roman"/>
                <w:color w:val="000000"/>
              </w:rPr>
              <w:t>FiTI’s</w:t>
            </w:r>
            <w:proofErr w:type="spellEnd"/>
            <w:r w:rsidRPr="009C3850">
              <w:rPr>
                <w:rFonts w:ascii="Times New Roman" w:hAnsi="Times New Roman" w:cs="Times New Roman"/>
                <w:color w:val="000000"/>
              </w:rPr>
              <w:t xml:space="preserve"> transparency requirements is regularly published and assessed by the MSG.</w:t>
            </w:r>
            <w:r w:rsidR="002855F0">
              <w:rPr>
                <w:rFonts w:ascii="Times New Roman" w:hAnsi="Times New Roman" w:cs="Times New Roman"/>
                <w:color w:val="000000"/>
              </w:rPr>
              <w:t xml:space="preserve">A tuna FMP </w:t>
            </w:r>
            <w:r w:rsidR="00E17DBE">
              <w:rPr>
                <w:rFonts w:ascii="Times New Roman" w:hAnsi="Times New Roman" w:cs="Times New Roman"/>
                <w:color w:val="000000"/>
              </w:rPr>
              <w:t xml:space="preserve">which includes an extensive stakeholder consultation is also being drafted. </w:t>
            </w:r>
            <w:r w:rsidRPr="009C3850">
              <w:rPr>
                <w:rFonts w:ascii="Times New Roman" w:hAnsi="Times New Roman" w:cs="Times New Roman"/>
                <w:color w:val="000000"/>
              </w:rPr>
              <w:t>Therefore, it is understood transparency and consultation has improved in the country.</w:t>
            </w:r>
          </w:p>
          <w:p w14:paraId="574D1B31" w14:textId="15C30C3D"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The recent ACDR report for the CFTO/SAPMER does not highlight any problem with consultation processes in Mauritius</w:t>
            </w:r>
            <w:r w:rsidR="00B1199B">
              <w:rPr>
                <w:rFonts w:ascii="Times New Roman" w:hAnsi="Times New Roman" w:cs="Times New Roman"/>
                <w:color w:val="000000"/>
              </w:rPr>
              <w:t xml:space="preserve"> either</w:t>
            </w:r>
            <w:r w:rsidRPr="009C3850">
              <w:rPr>
                <w:rFonts w:ascii="Times New Roman" w:hAnsi="Times New Roman" w:cs="Times New Roman"/>
                <w:color w:val="000000"/>
              </w:rPr>
              <w:t xml:space="preserve">. Therefore, based on that information, it is considered that </w:t>
            </w:r>
            <w:r w:rsidRPr="009C3850">
              <w:rPr>
                <w:rFonts w:ascii="Times New Roman" w:hAnsi="Times New Roman" w:cs="Times New Roman"/>
                <w:b/>
                <w:color w:val="000000"/>
              </w:rPr>
              <w:t>SG80 is met.</w:t>
            </w:r>
            <w:r w:rsidRPr="009C3850">
              <w:rPr>
                <w:rFonts w:ascii="Times New Roman" w:hAnsi="Times New Roman" w:cs="Times New Roman"/>
                <w:color w:val="000000"/>
              </w:rPr>
              <w:t xml:space="preserve"> </w:t>
            </w:r>
          </w:p>
        </w:tc>
      </w:tr>
      <w:tr w:rsidR="009A3D44" w:rsidRPr="009C3850" w14:paraId="6DDA8765" w14:textId="77777777" w:rsidTr="009C3850">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0F17BB4C"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1C78FB39" w14:textId="77777777" w:rsidR="009A3D44" w:rsidRPr="009C3850" w:rsidRDefault="009A3D44">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684A7E6A"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3.1.3</w:t>
            </w:r>
          </w:p>
        </w:tc>
        <w:tc>
          <w:tcPr>
            <w:tcW w:w="3090" w:type="dxa"/>
            <w:shd w:val="clear" w:color="auto" w:fill="auto"/>
          </w:tcPr>
          <w:p w14:paraId="0CE09801"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Long term objectives</w:t>
            </w:r>
          </w:p>
        </w:tc>
        <w:tc>
          <w:tcPr>
            <w:tcW w:w="1111" w:type="dxa"/>
            <w:shd w:val="clear" w:color="auto" w:fill="auto"/>
          </w:tcPr>
          <w:p w14:paraId="1F341CA2"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1271" w:type="dxa"/>
            <w:shd w:val="clear" w:color="auto" w:fill="auto"/>
          </w:tcPr>
          <w:p w14:paraId="2D3B2428"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5851" w:type="dxa"/>
            <w:shd w:val="clear" w:color="auto" w:fill="auto"/>
          </w:tcPr>
          <w:p w14:paraId="50E6D9F0" w14:textId="3C4657B1"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 xml:space="preserve">The IOTC was established in 1996 under Article XIV of the FAO Constitution. It manages 16 tuna and tuna-like species in the Indian Ocean based on the scientific advice provided by the Scientific Committee (SC). The IOTC’s primary objective is the conservation and optimum </w:t>
            </w:r>
            <w:r w:rsidR="00E17DBE" w:rsidRPr="009C3850">
              <w:rPr>
                <w:rFonts w:ascii="Times New Roman" w:hAnsi="Times New Roman" w:cs="Times New Roman"/>
              </w:rPr>
              <w:t>utilization</w:t>
            </w:r>
            <w:r w:rsidRPr="009C3850">
              <w:rPr>
                <w:rFonts w:ascii="Times New Roman" w:hAnsi="Times New Roman" w:cs="Times New Roman"/>
              </w:rPr>
              <w:t xml:space="preserve"> of the stocks for long-term sustainability (ISSF 2018). IOTC Resolution 12-01 requires “To apply the precautionary approach, in accordance with relevant internationally agreed standards”. It further indicates “In applying the precautionary approach, the Commission shall adopt: […] stock-specific reference points (including, but not necessarily limited to, target and limit reference points), relative to fishing mortality and biomass, and associated harvest control rules, that is, management actions to be taken as the reference points for stock status are approached or if they are breached”. An clarifies: “Reference points and harvest control rules shall be determined so that, according to the best available science, the risk of a negative impact on the sustainability of Indian Ocean resources of tuna and tuna-like species is minimized”. </w:t>
            </w:r>
          </w:p>
          <w:p w14:paraId="4343A9FF"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 xml:space="preserve">The EU Common Fisheries Policy (Regulation (EU) No 1380/2013) also indicates in its objectives: </w:t>
            </w:r>
          </w:p>
          <w:p w14:paraId="15DD855D"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 xml:space="preserve">” 1. The CFP shall ensure that fishing and aquaculture activities are environmentally sustainable in the long-term and are managed in a way that is consistent with the objectives of achieving economic, social and employment benefits, and of contributing to the availability of food supplies. </w:t>
            </w:r>
          </w:p>
          <w:p w14:paraId="6E51FF93"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 xml:space="preserve">2. The CFP shall apply the precautionary approach to fisheries management, and shall aim to ensure that exploitation of living marine biological resources restores and maintains populations of harvested species above levels which can produce the maximum sustainable yield. In order to reach the objective of progressively restoring and maintaining populations of fish stocks above biomass levels capable of producing maximum sustainable yield, the maximum sustainable yield exploitation rate shall be achieved by 2015 where possible and, on a progressive, incremental basis at the latest by 2020 for all stocks. </w:t>
            </w:r>
          </w:p>
          <w:p w14:paraId="5AC68C7B"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lastRenderedPageBreak/>
              <w:t xml:space="preserve">3. The CFP shall implement the ecosystem-based approach to fisheries management so as to ensure that negative impacts of fishing activities on the marine ecosystem are </w:t>
            </w:r>
            <w:proofErr w:type="spellStart"/>
            <w:r w:rsidRPr="009C3850">
              <w:rPr>
                <w:rFonts w:ascii="Times New Roman" w:hAnsi="Times New Roman" w:cs="Times New Roman"/>
              </w:rPr>
              <w:t>minimised</w:t>
            </w:r>
            <w:proofErr w:type="spellEnd"/>
            <w:r w:rsidRPr="009C3850">
              <w:rPr>
                <w:rFonts w:ascii="Times New Roman" w:hAnsi="Times New Roman" w:cs="Times New Roman"/>
              </w:rPr>
              <w:t xml:space="preserve">, and shall </w:t>
            </w:r>
            <w:proofErr w:type="spellStart"/>
            <w:r w:rsidRPr="009C3850">
              <w:rPr>
                <w:rFonts w:ascii="Times New Roman" w:hAnsi="Times New Roman" w:cs="Times New Roman"/>
              </w:rPr>
              <w:t>endeavour</w:t>
            </w:r>
            <w:proofErr w:type="spellEnd"/>
            <w:r w:rsidRPr="009C3850">
              <w:rPr>
                <w:rFonts w:ascii="Times New Roman" w:hAnsi="Times New Roman" w:cs="Times New Roman"/>
              </w:rPr>
              <w:t xml:space="preserve"> to ensure that aquaculture and fisheries activities avoid the degradation of the marine environment”.</w:t>
            </w:r>
          </w:p>
          <w:p w14:paraId="0E08420C" w14:textId="64DA8C3A"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Assessed as &gt;80 at the pre-assessment. No issues </w:t>
            </w:r>
            <w:r w:rsidR="00EB0571">
              <w:rPr>
                <w:rFonts w:ascii="Times New Roman" w:hAnsi="Times New Roman" w:cs="Times New Roman"/>
                <w:color w:val="000000"/>
              </w:rPr>
              <w:t xml:space="preserve">have been </w:t>
            </w:r>
            <w:r w:rsidRPr="009C3850">
              <w:rPr>
                <w:rFonts w:ascii="Times New Roman" w:hAnsi="Times New Roman" w:cs="Times New Roman"/>
                <w:color w:val="000000"/>
              </w:rPr>
              <w:t>identified by any of the MSC assessments conducted in recent years.</w:t>
            </w:r>
            <w:r w:rsidRPr="009C3850">
              <w:rPr>
                <w:rFonts w:ascii="Times New Roman" w:hAnsi="Times New Roman" w:cs="Times New Roman"/>
                <w:b/>
                <w:color w:val="000000"/>
              </w:rPr>
              <w:t xml:space="preserve"> SG80 is met.</w:t>
            </w:r>
          </w:p>
        </w:tc>
      </w:tr>
      <w:tr w:rsidR="009A3D44" w:rsidRPr="009C3850" w14:paraId="09B3E3DB" w14:textId="77777777" w:rsidTr="009C3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73892101"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val="restart"/>
            <w:shd w:val="clear" w:color="auto" w:fill="auto"/>
          </w:tcPr>
          <w:p w14:paraId="6EC4122E"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Fishery specific management system</w:t>
            </w:r>
          </w:p>
        </w:tc>
        <w:tc>
          <w:tcPr>
            <w:tcW w:w="951" w:type="dxa"/>
            <w:shd w:val="clear" w:color="auto" w:fill="auto"/>
          </w:tcPr>
          <w:p w14:paraId="72FA616C"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3.2.1</w:t>
            </w:r>
          </w:p>
        </w:tc>
        <w:tc>
          <w:tcPr>
            <w:tcW w:w="3090" w:type="dxa"/>
            <w:shd w:val="clear" w:color="auto" w:fill="auto"/>
          </w:tcPr>
          <w:p w14:paraId="0A787009"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Fishery specific objectives</w:t>
            </w:r>
          </w:p>
        </w:tc>
        <w:tc>
          <w:tcPr>
            <w:tcW w:w="1111" w:type="dxa"/>
            <w:shd w:val="clear" w:color="auto" w:fill="auto"/>
          </w:tcPr>
          <w:p w14:paraId="496ED03A"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60-79</w:t>
            </w:r>
          </w:p>
        </w:tc>
        <w:tc>
          <w:tcPr>
            <w:tcW w:w="1271" w:type="dxa"/>
            <w:shd w:val="clear" w:color="auto" w:fill="auto"/>
          </w:tcPr>
          <w:p w14:paraId="3B371B6F"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5851" w:type="dxa"/>
            <w:shd w:val="clear" w:color="auto" w:fill="auto"/>
          </w:tcPr>
          <w:p w14:paraId="4C244D69"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This PI seeks information about specific management objectives designed to achieve outcomes expressed in MSC’s Principles 1 and 2; and whether these objectives are implicit, explicit and/or well defined and measurable. </w:t>
            </w:r>
          </w:p>
          <w:p w14:paraId="3EB03A28" w14:textId="2E848389" w:rsidR="009A3D44" w:rsidRPr="009C3850" w:rsidRDefault="00BE1A09" w:rsidP="00B119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A number of IOTC resolutions </w:t>
            </w:r>
            <w:proofErr w:type="gramStart"/>
            <w:r w:rsidRPr="009C3850">
              <w:rPr>
                <w:rFonts w:ascii="Times New Roman" w:hAnsi="Times New Roman" w:cs="Times New Roman"/>
                <w:color w:val="000000"/>
              </w:rPr>
              <w:t>cover  short</w:t>
            </w:r>
            <w:proofErr w:type="gramEnd"/>
            <w:r w:rsidRPr="009C3850">
              <w:rPr>
                <w:rFonts w:ascii="Times New Roman" w:hAnsi="Times New Roman" w:cs="Times New Roman"/>
                <w:color w:val="000000"/>
              </w:rPr>
              <w:t>- and</w:t>
            </w:r>
            <w:r w:rsidR="00B1199B">
              <w:rPr>
                <w:rFonts w:ascii="Times New Roman" w:hAnsi="Times New Roman" w:cs="Times New Roman"/>
                <w:color w:val="000000"/>
              </w:rPr>
              <w:t xml:space="preserve"> </w:t>
            </w:r>
            <w:r w:rsidRPr="009C3850">
              <w:rPr>
                <w:rFonts w:ascii="Times New Roman" w:hAnsi="Times New Roman" w:cs="Times New Roman"/>
                <w:color w:val="000000"/>
              </w:rPr>
              <w:t>long-term strategies/actions like scientific and statistical</w:t>
            </w:r>
            <w:r w:rsidR="00B1199B">
              <w:rPr>
                <w:rFonts w:ascii="Times New Roman" w:hAnsi="Times New Roman" w:cs="Times New Roman"/>
                <w:color w:val="000000"/>
              </w:rPr>
              <w:t xml:space="preserve"> </w:t>
            </w:r>
            <w:r w:rsidRPr="009C3850">
              <w:rPr>
                <w:rFonts w:ascii="Times New Roman" w:hAnsi="Times New Roman" w:cs="Times New Roman"/>
                <w:color w:val="000000"/>
              </w:rPr>
              <w:t>reporting, registration of vessels, FAD management, limit</w:t>
            </w:r>
            <w:r w:rsidR="00B1199B">
              <w:rPr>
                <w:rFonts w:ascii="Times New Roman" w:hAnsi="Times New Roman" w:cs="Times New Roman"/>
                <w:color w:val="000000"/>
              </w:rPr>
              <w:t xml:space="preserve"> </w:t>
            </w:r>
            <w:r w:rsidRPr="009C3850">
              <w:rPr>
                <w:rFonts w:ascii="Times New Roman" w:hAnsi="Times New Roman" w:cs="Times New Roman"/>
                <w:color w:val="000000"/>
              </w:rPr>
              <w:t>reference targets, fleet capacity, compliance and IUU, port</w:t>
            </w:r>
            <w:r w:rsidR="00B1199B">
              <w:rPr>
                <w:rFonts w:ascii="Times New Roman" w:hAnsi="Times New Roman" w:cs="Times New Roman"/>
                <w:color w:val="000000"/>
              </w:rPr>
              <w:t xml:space="preserve"> </w:t>
            </w:r>
            <w:r w:rsidRPr="009C3850">
              <w:rPr>
                <w:rFonts w:ascii="Times New Roman" w:hAnsi="Times New Roman" w:cs="Times New Roman"/>
                <w:color w:val="000000"/>
              </w:rPr>
              <w:t xml:space="preserve">inspections, </w:t>
            </w:r>
            <w:proofErr w:type="spellStart"/>
            <w:r w:rsidRPr="009C3850">
              <w:rPr>
                <w:rFonts w:ascii="Times New Roman" w:hAnsi="Times New Roman" w:cs="Times New Roman"/>
                <w:color w:val="000000"/>
              </w:rPr>
              <w:t>etc</w:t>
            </w:r>
            <w:proofErr w:type="spellEnd"/>
            <w:r w:rsidRPr="009C3850">
              <w:rPr>
                <w:rFonts w:ascii="Times New Roman" w:hAnsi="Times New Roman" w:cs="Times New Roman"/>
                <w:color w:val="000000"/>
              </w:rPr>
              <w:t xml:space="preserve"> (Poseidon 2015). A condition in place for the Echebastar fishery was closed in 2022 (Scarcella &amp; Rios 2022). And no issues with this P.I. were </w:t>
            </w:r>
            <w:r w:rsidR="00EB0571">
              <w:rPr>
                <w:rFonts w:ascii="Times New Roman" w:hAnsi="Times New Roman" w:cs="Times New Roman"/>
                <w:color w:val="000000"/>
              </w:rPr>
              <w:t>identified</w:t>
            </w:r>
            <w:r w:rsidRPr="009C3850">
              <w:rPr>
                <w:rFonts w:ascii="Times New Roman" w:hAnsi="Times New Roman" w:cs="Times New Roman"/>
                <w:color w:val="000000"/>
              </w:rPr>
              <w:t xml:space="preserve"> in the </w:t>
            </w:r>
            <w:r w:rsidR="00EB0571">
              <w:rPr>
                <w:rFonts w:ascii="Times New Roman" w:hAnsi="Times New Roman" w:cs="Times New Roman"/>
                <w:color w:val="000000"/>
              </w:rPr>
              <w:t>recent</w:t>
            </w:r>
            <w:r w:rsidRPr="009C3850">
              <w:rPr>
                <w:rFonts w:ascii="Times New Roman" w:hAnsi="Times New Roman" w:cs="Times New Roman"/>
                <w:color w:val="000000"/>
              </w:rPr>
              <w:t xml:space="preserve"> scope extension for the CFTO/SAPMER fleet (Sieben et al., 2023 and Sieben &amp; des </w:t>
            </w:r>
            <w:proofErr w:type="spellStart"/>
            <w:r w:rsidRPr="009C3850">
              <w:rPr>
                <w:rFonts w:ascii="Times New Roman" w:hAnsi="Times New Roman" w:cs="Times New Roman"/>
                <w:color w:val="000000"/>
              </w:rPr>
              <w:t>Clers</w:t>
            </w:r>
            <w:proofErr w:type="spellEnd"/>
            <w:r w:rsidRPr="009C3850">
              <w:rPr>
                <w:rFonts w:ascii="Times New Roman" w:hAnsi="Times New Roman" w:cs="Times New Roman"/>
                <w:color w:val="000000"/>
              </w:rPr>
              <w:t xml:space="preserve"> 2023). Therefore, it is understood this issue has been addressed and </w:t>
            </w:r>
            <w:r w:rsidRPr="009C3850">
              <w:rPr>
                <w:rFonts w:ascii="Times New Roman" w:hAnsi="Times New Roman" w:cs="Times New Roman"/>
                <w:b/>
                <w:color w:val="000000"/>
              </w:rPr>
              <w:t>SG80 is met.</w:t>
            </w:r>
          </w:p>
        </w:tc>
      </w:tr>
      <w:tr w:rsidR="009A3D44" w:rsidRPr="009C3850" w14:paraId="4C21C328" w14:textId="77777777" w:rsidTr="009C3850">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5538FB6F"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0612B7FB" w14:textId="77777777" w:rsidR="009A3D44" w:rsidRPr="009C3850" w:rsidRDefault="009A3D44">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1728C5D1"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3.2.2</w:t>
            </w:r>
          </w:p>
        </w:tc>
        <w:tc>
          <w:tcPr>
            <w:tcW w:w="3090" w:type="dxa"/>
            <w:shd w:val="clear" w:color="auto" w:fill="auto"/>
          </w:tcPr>
          <w:p w14:paraId="1239AE28"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Decision making processes</w:t>
            </w:r>
          </w:p>
        </w:tc>
        <w:tc>
          <w:tcPr>
            <w:tcW w:w="1111" w:type="dxa"/>
            <w:shd w:val="clear" w:color="auto" w:fill="auto"/>
          </w:tcPr>
          <w:p w14:paraId="49DAF618"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1271" w:type="dxa"/>
            <w:shd w:val="clear" w:color="auto" w:fill="auto"/>
          </w:tcPr>
          <w:p w14:paraId="41EC1B2A" w14:textId="77777777" w:rsidR="00B1199B" w:rsidRDefault="00B119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14:paraId="701FCE15" w14:textId="62751D26"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60-79</w:t>
            </w:r>
          </w:p>
          <w:p w14:paraId="0F31F3E4" w14:textId="77777777" w:rsidR="009A3D44" w:rsidRPr="009C3850" w:rsidRDefault="009A3D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5851" w:type="dxa"/>
            <w:shd w:val="clear" w:color="auto" w:fill="auto"/>
          </w:tcPr>
          <w:p w14:paraId="0EC58F93" w14:textId="47B89769" w:rsidR="009A3D44" w:rsidRPr="009C3850" w:rsidRDefault="00BE1A09" w:rsidP="007623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Within the IOTC, there are well-established </w:t>
            </w:r>
            <w:r w:rsidR="00A94616" w:rsidRPr="009C3850">
              <w:rPr>
                <w:rFonts w:ascii="Times New Roman" w:hAnsi="Times New Roman" w:cs="Times New Roman"/>
                <w:color w:val="000000"/>
              </w:rPr>
              <w:t>decision-making</w:t>
            </w:r>
            <w:r w:rsidRPr="009C3850">
              <w:rPr>
                <w:rFonts w:ascii="Times New Roman" w:hAnsi="Times New Roman" w:cs="Times New Roman"/>
                <w:color w:val="000000"/>
              </w:rPr>
              <w:t xml:space="preserve"> process (IOTC rules of procedures) that result in measures and strategies to achieve the fishery-specific objectives. The process is adaptive through the Working Parties meeting agenda setting and with the possibility for the Commission to establish a Technical Committee when a need for action is identified. The wider implications of decisions are examined by IOTC’s subsidiary bodies, CPCs (including the EU) and meetings observers, who</w:t>
            </w:r>
            <w:r w:rsidR="00B1199B">
              <w:rPr>
                <w:rFonts w:ascii="Times New Roman" w:hAnsi="Times New Roman" w:cs="Times New Roman"/>
                <w:color w:val="000000"/>
              </w:rPr>
              <w:t xml:space="preserve"> </w:t>
            </w:r>
            <w:r w:rsidRPr="009C3850">
              <w:rPr>
                <w:rFonts w:ascii="Times New Roman" w:hAnsi="Times New Roman" w:cs="Times New Roman"/>
                <w:color w:val="000000"/>
              </w:rPr>
              <w:t>inform or are informed of the issues ahead</w:t>
            </w:r>
            <w:r w:rsidR="00EB0571">
              <w:rPr>
                <w:rFonts w:ascii="Times New Roman" w:hAnsi="Times New Roman" w:cs="Times New Roman"/>
                <w:color w:val="000000"/>
              </w:rPr>
              <w:t>-</w:t>
            </w:r>
            <w:r w:rsidRPr="009C3850">
              <w:rPr>
                <w:rFonts w:ascii="Times New Roman" w:hAnsi="Times New Roman" w:cs="Times New Roman"/>
                <w:color w:val="000000"/>
              </w:rPr>
              <w:t>of</w:t>
            </w:r>
            <w:r w:rsidR="00EB0571">
              <w:rPr>
                <w:rFonts w:ascii="Times New Roman" w:hAnsi="Times New Roman" w:cs="Times New Roman"/>
                <w:color w:val="000000"/>
              </w:rPr>
              <w:t>-</w:t>
            </w:r>
            <w:r w:rsidRPr="009C3850">
              <w:rPr>
                <w:rFonts w:ascii="Times New Roman" w:hAnsi="Times New Roman" w:cs="Times New Roman"/>
                <w:color w:val="000000"/>
              </w:rPr>
              <w:t xml:space="preserve">time, and contribute and inform decisions on all serious issues (CUP 2019). However, there is an issue with decision-making processes regarding </w:t>
            </w:r>
            <w:r w:rsidR="004D7A2F">
              <w:rPr>
                <w:rFonts w:ascii="Times New Roman" w:hAnsi="Times New Roman" w:cs="Times New Roman"/>
                <w:color w:val="000000"/>
              </w:rPr>
              <w:t xml:space="preserve">SKJ </w:t>
            </w:r>
            <w:r w:rsidRPr="009C3850">
              <w:rPr>
                <w:rFonts w:ascii="Times New Roman" w:hAnsi="Times New Roman" w:cs="Times New Roman"/>
                <w:color w:val="000000"/>
              </w:rPr>
              <w:t xml:space="preserve">stock management. Specifically, </w:t>
            </w:r>
            <w:r w:rsidR="004D7A2F">
              <w:rPr>
                <w:rFonts w:ascii="Times New Roman" w:hAnsi="Times New Roman" w:cs="Times New Roman"/>
                <w:color w:val="000000"/>
              </w:rPr>
              <w:t xml:space="preserve">the SKJ </w:t>
            </w:r>
            <w:r w:rsidRPr="009C3850">
              <w:rPr>
                <w:rFonts w:ascii="Times New Roman" w:hAnsi="Times New Roman" w:cs="Times New Roman"/>
                <w:color w:val="000000"/>
              </w:rPr>
              <w:t>catch has been in excess of the annual catch limit corresponding to the HCR (IOTC-Res</w:t>
            </w:r>
            <w:r w:rsidR="009335DB">
              <w:rPr>
                <w:rFonts w:ascii="Times New Roman" w:hAnsi="Times New Roman" w:cs="Times New Roman"/>
                <w:color w:val="000000"/>
              </w:rPr>
              <w:t>.</w:t>
            </w:r>
            <w:r w:rsidRPr="009C3850">
              <w:rPr>
                <w:rFonts w:ascii="Times New Roman" w:hAnsi="Times New Roman" w:cs="Times New Roman"/>
                <w:color w:val="000000"/>
              </w:rPr>
              <w:t xml:space="preserve"> 16/02</w:t>
            </w:r>
            <w:r w:rsidR="009335DB">
              <w:rPr>
                <w:rFonts w:ascii="Times New Roman" w:hAnsi="Times New Roman" w:cs="Times New Roman"/>
                <w:color w:val="000000"/>
              </w:rPr>
              <w:t xml:space="preserve"> and </w:t>
            </w:r>
            <w:r w:rsidR="009335DB">
              <w:rPr>
                <w:rFonts w:ascii="Times New Roman" w:hAnsi="Times New Roman" w:cs="Times New Roman"/>
                <w:color w:val="000000"/>
              </w:rPr>
              <w:lastRenderedPageBreak/>
              <w:t>Res. 2</w:t>
            </w:r>
            <w:r w:rsidR="009C6084">
              <w:rPr>
                <w:rFonts w:ascii="Times New Roman" w:hAnsi="Times New Roman" w:cs="Times New Roman"/>
                <w:color w:val="000000"/>
              </w:rPr>
              <w:t>1</w:t>
            </w:r>
            <w:r w:rsidR="009335DB">
              <w:rPr>
                <w:rFonts w:ascii="Times New Roman" w:hAnsi="Times New Roman" w:cs="Times New Roman"/>
                <w:color w:val="000000"/>
              </w:rPr>
              <w:t>/0</w:t>
            </w:r>
            <w:r w:rsidR="009C6084">
              <w:rPr>
                <w:rFonts w:ascii="Times New Roman" w:hAnsi="Times New Roman" w:cs="Times New Roman"/>
                <w:color w:val="000000"/>
              </w:rPr>
              <w:t>3</w:t>
            </w:r>
            <w:r w:rsidRPr="009C3850">
              <w:rPr>
                <w:rFonts w:ascii="Times New Roman" w:hAnsi="Times New Roman" w:cs="Times New Roman"/>
                <w:color w:val="000000"/>
              </w:rPr>
              <w:t xml:space="preserve">) in recent times (this limit was exceeded </w:t>
            </w:r>
            <w:r w:rsidR="009335DB">
              <w:rPr>
                <w:rFonts w:ascii="Times New Roman" w:hAnsi="Times New Roman" w:cs="Times New Roman"/>
                <w:color w:val="000000"/>
              </w:rPr>
              <w:t>in the last four years)</w:t>
            </w:r>
            <w:r w:rsidRPr="009C3850">
              <w:rPr>
                <w:rFonts w:ascii="Times New Roman" w:hAnsi="Times New Roman" w:cs="Times New Roman"/>
                <w:color w:val="000000"/>
              </w:rPr>
              <w:t xml:space="preserve"> which has led to a condition for the three certified fisheries included in the SIOTI (Echebastar, CFTO and ANABAC).  </w:t>
            </w:r>
            <w:r w:rsidR="00E8545D">
              <w:rPr>
                <w:rFonts w:ascii="Times New Roman" w:hAnsi="Times New Roman" w:cs="Times New Roman"/>
                <w:color w:val="000000"/>
              </w:rPr>
              <w:t>Also catches of YFT</w:t>
            </w:r>
            <w:r w:rsidRPr="009C3850">
              <w:rPr>
                <w:rFonts w:ascii="Times New Roman" w:hAnsi="Times New Roman" w:cs="Times New Roman"/>
                <w:color w:val="000000"/>
              </w:rPr>
              <w:t xml:space="preserve"> have been above the </w:t>
            </w:r>
            <w:r w:rsidR="004D7A2F">
              <w:rPr>
                <w:rFonts w:ascii="Times New Roman" w:hAnsi="Times New Roman" w:cs="Times New Roman"/>
                <w:color w:val="000000"/>
              </w:rPr>
              <w:t xml:space="preserve">defined </w:t>
            </w:r>
            <w:r w:rsidRPr="009C3850">
              <w:rPr>
                <w:rFonts w:ascii="Times New Roman" w:hAnsi="Times New Roman" w:cs="Times New Roman"/>
                <w:color w:val="000000"/>
              </w:rPr>
              <w:t>limit. Th</w:t>
            </w:r>
            <w:r w:rsidR="00D0594B">
              <w:rPr>
                <w:rFonts w:ascii="Times New Roman" w:hAnsi="Times New Roman" w:cs="Times New Roman"/>
                <w:color w:val="000000"/>
              </w:rPr>
              <w:t xml:space="preserve">us </w:t>
            </w:r>
            <w:r w:rsidR="007623A1">
              <w:rPr>
                <w:rFonts w:ascii="Times New Roman" w:hAnsi="Times New Roman" w:cs="Times New Roman"/>
                <w:color w:val="000000"/>
              </w:rPr>
              <w:t xml:space="preserve">while (SG60) </w:t>
            </w:r>
            <w:r w:rsidR="007623A1" w:rsidRPr="00B80994">
              <w:rPr>
                <w:rFonts w:ascii="Times New Roman" w:hAnsi="Times New Roman" w:cs="Times New Roman"/>
                <w:color w:val="000000"/>
              </w:rPr>
              <w:t>Decision-making processes respond to serious issues identified in relevant research, monitoring, evaluation and consultation, in a transparent,</w:t>
            </w:r>
            <w:r w:rsidR="00EB4657" w:rsidRPr="00B80994">
              <w:rPr>
                <w:rFonts w:ascii="Times New Roman" w:hAnsi="Times New Roman" w:cs="Times New Roman"/>
                <w:color w:val="000000"/>
              </w:rPr>
              <w:t xml:space="preserve"> </w:t>
            </w:r>
            <w:r w:rsidR="007623A1" w:rsidRPr="00B80994">
              <w:rPr>
                <w:rFonts w:ascii="Times New Roman" w:hAnsi="Times New Roman" w:cs="Times New Roman"/>
                <w:color w:val="000000"/>
              </w:rPr>
              <w:t>timely and adaptive manner</w:t>
            </w:r>
            <w:r w:rsidR="003E2FB1" w:rsidRPr="00B80994">
              <w:rPr>
                <w:rFonts w:ascii="Times New Roman" w:hAnsi="Times New Roman" w:cs="Times New Roman"/>
                <w:color w:val="000000"/>
              </w:rPr>
              <w:t xml:space="preserve"> and take some account of the wider implications of decisions they do not (SG80</w:t>
            </w:r>
            <w:proofErr w:type="gramStart"/>
            <w:r w:rsidR="003E2FB1" w:rsidRPr="00B80994">
              <w:rPr>
                <w:rFonts w:ascii="Times New Roman" w:hAnsi="Times New Roman" w:cs="Times New Roman"/>
                <w:color w:val="000000"/>
              </w:rPr>
              <w:t xml:space="preserve">) </w:t>
            </w:r>
            <w:r w:rsidR="00947F14" w:rsidRPr="00B80994">
              <w:rPr>
                <w:rFonts w:ascii="Times New Roman" w:hAnsi="Times New Roman" w:cs="Times New Roman"/>
                <w:color w:val="000000"/>
              </w:rPr>
              <w:t xml:space="preserve"> </w:t>
            </w:r>
            <w:r w:rsidR="007623A1" w:rsidRPr="00B80994">
              <w:rPr>
                <w:rFonts w:ascii="Times New Roman" w:hAnsi="Times New Roman" w:cs="Times New Roman"/>
                <w:color w:val="000000"/>
              </w:rPr>
              <w:t>respond</w:t>
            </w:r>
            <w:proofErr w:type="gramEnd"/>
            <w:r w:rsidR="007623A1" w:rsidRPr="00B80994">
              <w:rPr>
                <w:rFonts w:ascii="Times New Roman" w:hAnsi="Times New Roman" w:cs="Times New Roman"/>
                <w:color w:val="000000"/>
              </w:rPr>
              <w:t xml:space="preserve"> to serious and other</w:t>
            </w:r>
            <w:r w:rsidR="00947F14" w:rsidRPr="00B80994">
              <w:rPr>
                <w:rFonts w:ascii="Times New Roman" w:hAnsi="Times New Roman" w:cs="Times New Roman"/>
                <w:color w:val="000000"/>
              </w:rPr>
              <w:t xml:space="preserve"> </w:t>
            </w:r>
            <w:r w:rsidR="007623A1" w:rsidRPr="00B80994">
              <w:rPr>
                <w:rFonts w:ascii="Times New Roman" w:hAnsi="Times New Roman" w:cs="Times New Roman"/>
                <w:color w:val="000000"/>
              </w:rPr>
              <w:t>important issues identified in</w:t>
            </w:r>
            <w:r w:rsidR="00465981" w:rsidRPr="00B80994">
              <w:rPr>
                <w:rFonts w:ascii="Times New Roman" w:hAnsi="Times New Roman" w:cs="Times New Roman"/>
                <w:color w:val="000000"/>
              </w:rPr>
              <w:t xml:space="preserve"> </w:t>
            </w:r>
            <w:r w:rsidR="007623A1" w:rsidRPr="00B80994">
              <w:rPr>
                <w:rFonts w:ascii="Times New Roman" w:hAnsi="Times New Roman" w:cs="Times New Roman"/>
                <w:color w:val="000000"/>
              </w:rPr>
              <w:t>relevant research, monitoring,</w:t>
            </w:r>
            <w:r w:rsidR="00465981" w:rsidRPr="00B80994">
              <w:rPr>
                <w:rFonts w:ascii="Times New Roman" w:hAnsi="Times New Roman" w:cs="Times New Roman"/>
                <w:color w:val="000000"/>
              </w:rPr>
              <w:t xml:space="preserve"> </w:t>
            </w:r>
            <w:r w:rsidR="007623A1" w:rsidRPr="00B80994">
              <w:rPr>
                <w:rFonts w:ascii="Times New Roman" w:hAnsi="Times New Roman" w:cs="Times New Roman"/>
                <w:color w:val="000000"/>
              </w:rPr>
              <w:t>evaluation and consultation, in</w:t>
            </w:r>
            <w:r w:rsidR="00465981" w:rsidRPr="00B80994">
              <w:rPr>
                <w:rFonts w:ascii="Times New Roman" w:hAnsi="Times New Roman" w:cs="Times New Roman"/>
                <w:color w:val="000000"/>
              </w:rPr>
              <w:t xml:space="preserve"> </w:t>
            </w:r>
            <w:r w:rsidR="007623A1" w:rsidRPr="00B80994">
              <w:rPr>
                <w:rFonts w:ascii="Times New Roman" w:hAnsi="Times New Roman" w:cs="Times New Roman"/>
                <w:color w:val="000000"/>
              </w:rPr>
              <w:t>a transparent, timely an</w:t>
            </w:r>
            <w:r w:rsidR="00465981" w:rsidRPr="00B80994">
              <w:rPr>
                <w:rFonts w:ascii="Times New Roman" w:hAnsi="Times New Roman" w:cs="Times New Roman"/>
                <w:color w:val="000000"/>
              </w:rPr>
              <w:t>d</w:t>
            </w:r>
            <w:r w:rsidR="007623A1" w:rsidRPr="00B80994">
              <w:rPr>
                <w:rFonts w:ascii="Times New Roman" w:hAnsi="Times New Roman" w:cs="Times New Roman"/>
                <w:color w:val="000000"/>
              </w:rPr>
              <w:t xml:space="preserve"> adaptive manner</w:t>
            </w:r>
            <w:r w:rsidR="00465981" w:rsidRPr="00B80994">
              <w:rPr>
                <w:rFonts w:ascii="Times New Roman" w:hAnsi="Times New Roman" w:cs="Times New Roman"/>
                <w:color w:val="000000"/>
              </w:rPr>
              <w:t xml:space="preserve"> </w:t>
            </w:r>
            <w:r w:rsidR="007623A1" w:rsidRPr="00B80994">
              <w:rPr>
                <w:rFonts w:ascii="Times New Roman" w:hAnsi="Times New Roman" w:cs="Times New Roman"/>
                <w:color w:val="000000"/>
              </w:rPr>
              <w:t>and take account of the</w:t>
            </w:r>
            <w:r w:rsidR="00465981" w:rsidRPr="00B80994">
              <w:rPr>
                <w:rFonts w:ascii="Times New Roman" w:hAnsi="Times New Roman" w:cs="Times New Roman"/>
                <w:color w:val="000000"/>
              </w:rPr>
              <w:t xml:space="preserve"> </w:t>
            </w:r>
            <w:r w:rsidR="007623A1" w:rsidRPr="00B80994">
              <w:rPr>
                <w:rFonts w:ascii="Times New Roman" w:hAnsi="Times New Roman" w:cs="Times New Roman"/>
                <w:color w:val="000000"/>
              </w:rPr>
              <w:t>wider implications of</w:t>
            </w:r>
            <w:r w:rsidR="00465981">
              <w:rPr>
                <w:rFonts w:ascii="Times New Roman" w:hAnsi="Times New Roman" w:cs="Times New Roman"/>
                <w:color w:val="000000"/>
              </w:rPr>
              <w:t xml:space="preserve"> </w:t>
            </w:r>
            <w:r w:rsidR="007623A1" w:rsidRPr="00B80994">
              <w:rPr>
                <w:rFonts w:ascii="Times New Roman" w:hAnsi="Times New Roman" w:cs="Times New Roman"/>
                <w:color w:val="000000"/>
              </w:rPr>
              <w:t>decisions.</w:t>
            </w:r>
            <w:r w:rsidR="00D81CAF">
              <w:rPr>
                <w:rFonts w:ascii="Times New Roman" w:hAnsi="Times New Roman" w:cs="Times New Roman"/>
                <w:color w:val="000000"/>
              </w:rPr>
              <w:t xml:space="preserve"> </w:t>
            </w:r>
            <w:r w:rsidRPr="009C3850">
              <w:rPr>
                <w:rFonts w:ascii="Times New Roman" w:hAnsi="Times New Roman" w:cs="Times New Roman"/>
                <w:b/>
                <w:color w:val="000000"/>
              </w:rPr>
              <w:t>SG80 is not met.</w:t>
            </w:r>
          </w:p>
        </w:tc>
      </w:tr>
      <w:tr w:rsidR="009A3D44" w:rsidRPr="009C3850" w14:paraId="22A84AF7" w14:textId="77777777" w:rsidTr="009C3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4648BDAE"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color w:val="000000"/>
              </w:rPr>
            </w:pPr>
          </w:p>
        </w:tc>
        <w:tc>
          <w:tcPr>
            <w:tcW w:w="1880" w:type="dxa"/>
            <w:vMerge/>
            <w:shd w:val="clear" w:color="auto" w:fill="auto"/>
          </w:tcPr>
          <w:p w14:paraId="6FA1A87B" w14:textId="77777777" w:rsidR="009A3D44" w:rsidRPr="009C3850" w:rsidRDefault="009A3D44">
            <w:pPr>
              <w:widowControl w:val="0"/>
              <w:pBdr>
                <w:top w:val="nil"/>
                <w:left w:val="nil"/>
                <w:bottom w:val="nil"/>
                <w:right w:val="nil"/>
                <w:between w:val="nil"/>
              </w:pBdr>
              <w:spacing w:before="0" w:after="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951" w:type="dxa"/>
            <w:shd w:val="clear" w:color="auto" w:fill="auto"/>
          </w:tcPr>
          <w:p w14:paraId="27C96295"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3.2.3</w:t>
            </w:r>
          </w:p>
        </w:tc>
        <w:tc>
          <w:tcPr>
            <w:tcW w:w="3090" w:type="dxa"/>
            <w:shd w:val="clear" w:color="auto" w:fill="auto"/>
          </w:tcPr>
          <w:p w14:paraId="73D7B72E"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Compliance and enforcement</w:t>
            </w:r>
          </w:p>
        </w:tc>
        <w:tc>
          <w:tcPr>
            <w:tcW w:w="1111" w:type="dxa"/>
            <w:shd w:val="clear" w:color="auto" w:fill="auto"/>
          </w:tcPr>
          <w:p w14:paraId="359B63BC" w14:textId="77777777"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60-79</w:t>
            </w:r>
          </w:p>
        </w:tc>
        <w:tc>
          <w:tcPr>
            <w:tcW w:w="1271" w:type="dxa"/>
            <w:shd w:val="clear" w:color="auto" w:fill="auto"/>
          </w:tcPr>
          <w:p w14:paraId="48F6A41B" w14:textId="77777777" w:rsidR="00B1199B" w:rsidRDefault="00B119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p w14:paraId="254DFF3C" w14:textId="2536F8E1" w:rsidR="009A3D44" w:rsidRPr="009C3850" w:rsidRDefault="00BE1A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60-79</w:t>
            </w:r>
          </w:p>
          <w:p w14:paraId="3C4575C4" w14:textId="77777777" w:rsidR="009A3D44" w:rsidRPr="009C3850" w:rsidRDefault="009A3D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5851" w:type="dxa"/>
            <w:shd w:val="clear" w:color="auto" w:fill="auto"/>
          </w:tcPr>
          <w:p w14:paraId="4FC3B94B" w14:textId="4C4029C7" w:rsidR="009A3D44" w:rsidRPr="009C3850" w:rsidRDefault="00E76B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Pr>
                <w:rFonts w:ascii="Times New Roman" w:hAnsi="Times New Roman" w:cs="Times New Roman"/>
                <w:color w:val="000000"/>
              </w:rPr>
              <w:t>A</w:t>
            </w:r>
            <w:r w:rsidR="00BE1A09" w:rsidRPr="009C3850">
              <w:rPr>
                <w:rFonts w:ascii="Times New Roman" w:hAnsi="Times New Roman" w:cs="Times New Roman"/>
                <w:color w:val="000000"/>
              </w:rPr>
              <w:t xml:space="preserve"> number of issues have been identified during the different SA conducted for the MSC certified fisheries resulting in a condition being set for the different fisheries for this PI. In the case of the AGAC and Echebastar fishery is related to the use of the AIS. The team assessing the CFTO also set a condition on 3.2.3 based on the use of the AIS and on the sanctions recently imposed to the French fleet for breaching the 10% tolerance margin allowed in the prior notifications. Furthermore, during the 19th session of the IOTC’s compliance committee in May 2022 it was indicated that there were low levels of compliance with Resolution 15/02, covering mandatory statistical reporting requirements, and Resolution 17/05, covering the conservation of sharks caught in association with fisheries managed by IOTC. Therefore, </w:t>
            </w:r>
            <w:r w:rsidR="00BE1A09" w:rsidRPr="009C3850">
              <w:rPr>
                <w:rFonts w:ascii="Times New Roman" w:hAnsi="Times New Roman" w:cs="Times New Roman"/>
                <w:b/>
                <w:color w:val="000000"/>
              </w:rPr>
              <w:t>SG80 is not met.</w:t>
            </w:r>
          </w:p>
        </w:tc>
      </w:tr>
      <w:tr w:rsidR="009A3D44" w:rsidRPr="009C3850" w14:paraId="350290C6" w14:textId="77777777" w:rsidTr="009C3850">
        <w:trPr>
          <w:trHeight w:val="7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tcPr>
          <w:p w14:paraId="2D509B9B" w14:textId="77777777" w:rsidR="009A3D44" w:rsidRPr="009C3850" w:rsidRDefault="009A3D44">
            <w:pPr>
              <w:widowControl w:val="0"/>
              <w:pBdr>
                <w:top w:val="nil"/>
                <w:left w:val="nil"/>
                <w:bottom w:val="nil"/>
                <w:right w:val="nil"/>
                <w:between w:val="nil"/>
              </w:pBdr>
              <w:spacing w:before="0" w:after="0" w:line="276" w:lineRule="auto"/>
              <w:rPr>
                <w:rFonts w:ascii="Times New Roman" w:hAnsi="Times New Roman" w:cs="Times New Roman"/>
                <w:b w:val="0"/>
                <w:color w:val="000000"/>
              </w:rPr>
            </w:pPr>
          </w:p>
        </w:tc>
        <w:tc>
          <w:tcPr>
            <w:tcW w:w="1880" w:type="dxa"/>
            <w:vMerge/>
            <w:shd w:val="clear" w:color="auto" w:fill="auto"/>
          </w:tcPr>
          <w:p w14:paraId="086E53CB" w14:textId="77777777" w:rsidR="009A3D44" w:rsidRPr="009C3850" w:rsidRDefault="009A3D44">
            <w:pPr>
              <w:widowControl w:val="0"/>
              <w:pBdr>
                <w:top w:val="nil"/>
                <w:left w:val="nil"/>
                <w:bottom w:val="nil"/>
                <w:right w:val="nil"/>
                <w:between w:val="nil"/>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p>
        </w:tc>
        <w:tc>
          <w:tcPr>
            <w:tcW w:w="951" w:type="dxa"/>
            <w:shd w:val="clear" w:color="auto" w:fill="auto"/>
          </w:tcPr>
          <w:p w14:paraId="0B9134FE"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3.2.4</w:t>
            </w:r>
          </w:p>
        </w:tc>
        <w:tc>
          <w:tcPr>
            <w:tcW w:w="3090" w:type="dxa"/>
            <w:shd w:val="clear" w:color="auto" w:fill="auto"/>
          </w:tcPr>
          <w:p w14:paraId="5CAAA81F"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Management performance evaluation</w:t>
            </w:r>
          </w:p>
        </w:tc>
        <w:tc>
          <w:tcPr>
            <w:tcW w:w="1111" w:type="dxa"/>
            <w:shd w:val="clear" w:color="auto" w:fill="auto"/>
          </w:tcPr>
          <w:p w14:paraId="1A00A1C7"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1271" w:type="dxa"/>
            <w:shd w:val="clear" w:color="auto" w:fill="auto"/>
          </w:tcPr>
          <w:p w14:paraId="254B1414" w14:textId="77777777" w:rsidR="009A3D44" w:rsidRPr="009C3850" w:rsidRDefault="00BE1A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&gt;80</w:t>
            </w:r>
          </w:p>
        </w:tc>
        <w:tc>
          <w:tcPr>
            <w:tcW w:w="5851" w:type="dxa"/>
            <w:shd w:val="clear" w:color="auto" w:fill="auto"/>
          </w:tcPr>
          <w:p w14:paraId="6EF12AC4" w14:textId="0F95655F"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IOTC has in place mechanisms to evaluate all parts of the</w:t>
            </w:r>
            <w:r w:rsidR="00B1199B">
              <w:rPr>
                <w:rFonts w:ascii="Times New Roman" w:hAnsi="Times New Roman" w:cs="Times New Roman"/>
                <w:color w:val="000000"/>
              </w:rPr>
              <w:t xml:space="preserve"> </w:t>
            </w:r>
            <w:r w:rsidRPr="009C3850">
              <w:rPr>
                <w:rFonts w:ascii="Times New Roman" w:hAnsi="Times New Roman" w:cs="Times New Roman"/>
                <w:color w:val="000000"/>
              </w:rPr>
              <w:t>management system. This is demonstrated by the various</w:t>
            </w:r>
            <w:r w:rsidR="00B1199B">
              <w:rPr>
                <w:rFonts w:ascii="Times New Roman" w:hAnsi="Times New Roman" w:cs="Times New Roman"/>
                <w:color w:val="000000"/>
              </w:rPr>
              <w:t xml:space="preserve"> </w:t>
            </w:r>
            <w:r w:rsidRPr="009C3850">
              <w:rPr>
                <w:rFonts w:ascii="Times New Roman" w:hAnsi="Times New Roman" w:cs="Times New Roman"/>
                <w:color w:val="000000"/>
              </w:rPr>
              <w:t>committees and working groups that meet regularly and report their findings to the Commission. The performance of the management system was last reviewed in 2015 (IOTC–2016–PRIOTC02–R[E]). The review noted that lack of data continued to hamper the work of the IOTC, in particular the Scientific Committee. Although progress has been made concerning data collection and sharing requirements as well as capacity building, there is still a problem with many non-</w:t>
            </w:r>
            <w:r w:rsidRPr="009C3850">
              <w:rPr>
                <w:rFonts w:ascii="Times New Roman" w:hAnsi="Times New Roman" w:cs="Times New Roman"/>
                <w:color w:val="000000"/>
              </w:rPr>
              <w:lastRenderedPageBreak/>
              <w:t>compliant CPCs. Other issues identified that needed further work were those related to capacity management, catch limitations including their</w:t>
            </w:r>
            <w:r w:rsidR="00B1199B">
              <w:rPr>
                <w:rFonts w:ascii="Times New Roman" w:hAnsi="Times New Roman" w:cs="Times New Roman"/>
                <w:color w:val="000000"/>
              </w:rPr>
              <w:t xml:space="preserve"> </w:t>
            </w:r>
            <w:r w:rsidRPr="009C3850">
              <w:rPr>
                <w:rFonts w:ascii="Times New Roman" w:hAnsi="Times New Roman" w:cs="Times New Roman"/>
                <w:color w:val="000000"/>
              </w:rPr>
              <w:t xml:space="preserve">allocations, MCS and follow-up on infringements. A Performance Review of the IOTC is scheduled to take place every 5 years, but it seems that the 2020 review was not conducted, the reasons are unclear. Technically, the commission and its subsidiary bodies annually review progress made in implementing each of the recommendations arising from the Performance Review and updates are included in the commission reports. At the national level, some of the countries involved, such as Seychelles, Madagascar and Mauritius </w:t>
            </w:r>
            <w:r w:rsidR="009B3D4E">
              <w:rPr>
                <w:rFonts w:ascii="Times New Roman" w:hAnsi="Times New Roman" w:cs="Times New Roman"/>
                <w:color w:val="000000"/>
              </w:rPr>
              <w:t xml:space="preserve">are </w:t>
            </w:r>
            <w:r w:rsidRPr="009C3850">
              <w:rPr>
                <w:rFonts w:ascii="Times New Roman" w:hAnsi="Times New Roman" w:cs="Times New Roman"/>
                <w:color w:val="000000"/>
              </w:rPr>
              <w:t>joining the Fisheries Transparency Initiative (</w:t>
            </w:r>
            <w:proofErr w:type="spellStart"/>
            <w:r w:rsidRPr="009C3850">
              <w:rPr>
                <w:rFonts w:ascii="Times New Roman" w:hAnsi="Times New Roman" w:cs="Times New Roman"/>
                <w:color w:val="000000"/>
              </w:rPr>
              <w:t>FiTI</w:t>
            </w:r>
            <w:proofErr w:type="spellEnd"/>
            <w:r w:rsidRPr="009C3850">
              <w:rPr>
                <w:rFonts w:ascii="Times New Roman" w:hAnsi="Times New Roman" w:cs="Times New Roman"/>
                <w:color w:val="000000"/>
              </w:rPr>
              <w:t xml:space="preserve">) to which they have to submit annual reports. At EU level, the CFP is reviewed every 10 years, the EU-SFPA protocols are usually in force for 5 years and an evaluation ex-post and ex-ante is conducted prior to any renewal (Goulding et al., 2019). This issue was already assessed as &gt;80 during the pre-assessment and no issues have been identified in recent years. </w:t>
            </w:r>
            <w:r w:rsidRPr="00B1199B">
              <w:rPr>
                <w:rFonts w:ascii="Times New Roman" w:hAnsi="Times New Roman" w:cs="Times New Roman"/>
                <w:b/>
                <w:bCs/>
                <w:color w:val="000000"/>
              </w:rPr>
              <w:t>P.I scores &gt;80.</w:t>
            </w:r>
          </w:p>
        </w:tc>
      </w:tr>
    </w:tbl>
    <w:p w14:paraId="3E78C13D" w14:textId="77777777" w:rsidR="009A3D44" w:rsidRDefault="009A3D44"/>
    <w:p w14:paraId="399A1BAD" w14:textId="77777777" w:rsidR="009A3D44" w:rsidRDefault="009A3D44">
      <w:pPr>
        <w:rPr>
          <w:i/>
        </w:rPr>
      </w:pPr>
    </w:p>
    <w:p w14:paraId="68247F81" w14:textId="77777777" w:rsidR="009A3D44" w:rsidRDefault="009A3D44">
      <w:pPr>
        <w:rPr>
          <w:i/>
        </w:rPr>
      </w:pPr>
    </w:p>
    <w:p w14:paraId="669F079C" w14:textId="77777777" w:rsidR="009C3850" w:rsidRDefault="009C3850">
      <w:pPr>
        <w:rPr>
          <w:color w:val="2F5496"/>
          <w:sz w:val="32"/>
          <w:szCs w:val="32"/>
        </w:rPr>
      </w:pPr>
      <w:r>
        <w:rPr>
          <w:sz w:val="32"/>
          <w:szCs w:val="32"/>
        </w:rPr>
        <w:br w:type="page"/>
      </w:r>
    </w:p>
    <w:p w14:paraId="5B3C78E3" w14:textId="6EB9BD46" w:rsidR="009A3D44" w:rsidRDefault="00BE1A09">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Environmental Workplan Results</w:t>
      </w:r>
    </w:p>
    <w:tbl>
      <w:tblPr>
        <w:tblStyle w:val="a2"/>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2856"/>
        <w:gridCol w:w="1973"/>
        <w:gridCol w:w="7799"/>
      </w:tblGrid>
      <w:tr w:rsidR="009A3D44" w:rsidRPr="009C3850" w14:paraId="457678B7" w14:textId="77777777" w:rsidTr="009C3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tcBorders>
              <w:top w:val="none" w:sz="0" w:space="0" w:color="auto"/>
              <w:left w:val="none" w:sz="0" w:space="0" w:color="auto"/>
              <w:bottom w:val="none" w:sz="0" w:space="0" w:color="auto"/>
              <w:right w:val="none" w:sz="0" w:space="0" w:color="auto"/>
            </w:tcBorders>
          </w:tcPr>
          <w:p w14:paraId="39F6946D" w14:textId="77777777" w:rsidR="009A3D44" w:rsidRPr="009C3850" w:rsidRDefault="00BE1A09">
            <w:pPr>
              <w:jc w:val="center"/>
              <w:rPr>
                <w:rFonts w:ascii="Times New Roman" w:hAnsi="Times New Roman" w:cs="Times New Roman"/>
              </w:rPr>
            </w:pPr>
            <w:r w:rsidRPr="009C3850">
              <w:rPr>
                <w:rFonts w:ascii="Times New Roman" w:hAnsi="Times New Roman" w:cs="Times New Roman"/>
              </w:rPr>
              <w:t>Result</w:t>
            </w:r>
          </w:p>
        </w:tc>
        <w:tc>
          <w:tcPr>
            <w:tcW w:w="2856" w:type="dxa"/>
            <w:tcBorders>
              <w:top w:val="none" w:sz="0" w:space="0" w:color="auto"/>
              <w:left w:val="none" w:sz="0" w:space="0" w:color="auto"/>
              <w:bottom w:val="none" w:sz="0" w:space="0" w:color="auto"/>
              <w:right w:val="none" w:sz="0" w:space="0" w:color="auto"/>
            </w:tcBorders>
          </w:tcPr>
          <w:p w14:paraId="43A8EC05" w14:textId="77777777" w:rsidR="009A3D44" w:rsidRPr="009C3850" w:rsidRDefault="00BE1A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 xml:space="preserve">Related Action on FisheryProgress </w:t>
            </w:r>
          </w:p>
        </w:tc>
        <w:tc>
          <w:tcPr>
            <w:tcW w:w="1973" w:type="dxa"/>
            <w:tcBorders>
              <w:top w:val="none" w:sz="0" w:space="0" w:color="auto"/>
              <w:left w:val="none" w:sz="0" w:space="0" w:color="auto"/>
              <w:bottom w:val="none" w:sz="0" w:space="0" w:color="auto"/>
              <w:right w:val="none" w:sz="0" w:space="0" w:color="auto"/>
            </w:tcBorders>
          </w:tcPr>
          <w:p w14:paraId="42734E2A" w14:textId="77777777" w:rsidR="009A3D44" w:rsidRPr="009C3850" w:rsidRDefault="00BE1A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Related MSC Performance Indicator</w:t>
            </w:r>
          </w:p>
        </w:tc>
        <w:tc>
          <w:tcPr>
            <w:tcW w:w="7799" w:type="dxa"/>
            <w:tcBorders>
              <w:top w:val="none" w:sz="0" w:space="0" w:color="auto"/>
              <w:left w:val="none" w:sz="0" w:space="0" w:color="auto"/>
              <w:bottom w:val="none" w:sz="0" w:space="0" w:color="auto"/>
              <w:right w:val="none" w:sz="0" w:space="0" w:color="auto"/>
            </w:tcBorders>
          </w:tcPr>
          <w:p w14:paraId="5C8A6CA2" w14:textId="77777777" w:rsidR="009A3D44" w:rsidRPr="009C3850" w:rsidRDefault="00BE1A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Explanation</w:t>
            </w:r>
          </w:p>
        </w:tc>
      </w:tr>
      <w:tr w:rsidR="009A3D44" w:rsidRPr="009C3850" w14:paraId="3CFEC9A3" w14:textId="77777777" w:rsidTr="009C3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shd w:val="clear" w:color="auto" w:fill="auto"/>
          </w:tcPr>
          <w:p w14:paraId="6D01D39A" w14:textId="77777777" w:rsidR="009A3D44" w:rsidRPr="009C3850" w:rsidRDefault="00BE1A09">
            <w:pPr>
              <w:rPr>
                <w:rFonts w:ascii="Times New Roman" w:hAnsi="Times New Roman" w:cs="Times New Roman"/>
                <w:color w:val="000000"/>
              </w:rPr>
            </w:pPr>
            <w:r w:rsidRPr="009C3850">
              <w:rPr>
                <w:rFonts w:ascii="Times New Roman" w:hAnsi="Times New Roman" w:cs="Times New Roman"/>
                <w:color w:val="000000"/>
              </w:rPr>
              <w:t xml:space="preserve">Recent stock assessments have been conducted for all the main target tuna species (SKJ, YFT and BET) </w:t>
            </w:r>
          </w:p>
        </w:tc>
        <w:tc>
          <w:tcPr>
            <w:tcW w:w="2856" w:type="dxa"/>
            <w:shd w:val="clear" w:color="auto" w:fill="auto"/>
          </w:tcPr>
          <w:p w14:paraId="7A1FB3F4"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Regularly assess the stock status of yellowfin</w:t>
            </w:r>
          </w:p>
        </w:tc>
        <w:tc>
          <w:tcPr>
            <w:tcW w:w="1973" w:type="dxa"/>
            <w:shd w:val="clear" w:color="auto" w:fill="auto"/>
          </w:tcPr>
          <w:p w14:paraId="2D477EF8"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1.1.1</w:t>
            </w:r>
          </w:p>
        </w:tc>
        <w:tc>
          <w:tcPr>
            <w:tcW w:w="7799" w:type="dxa"/>
            <w:shd w:val="clear" w:color="auto" w:fill="auto"/>
          </w:tcPr>
          <w:p w14:paraId="2ADEB627" w14:textId="6EDFEB9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The SIOTI supported a study to explore alternative assessment models and presented it at the 21st Session of the Working Party of Tropical Tunas (IOTC-2019-WPTT21-48) and has participated as </w:t>
            </w:r>
            <w:r w:rsidR="009B3D4E">
              <w:rPr>
                <w:rFonts w:ascii="Times New Roman" w:hAnsi="Times New Roman" w:cs="Times New Roman"/>
                <w:color w:val="000000"/>
              </w:rPr>
              <w:t xml:space="preserve">a </w:t>
            </w:r>
            <w:r w:rsidRPr="009C3850">
              <w:rPr>
                <w:rFonts w:ascii="Times New Roman" w:hAnsi="Times New Roman" w:cs="Times New Roman"/>
                <w:color w:val="000000"/>
              </w:rPr>
              <w:t xml:space="preserve">member in all the recent WPTT meetings. Stock assessments were conducted for YFT in 2021 and </w:t>
            </w:r>
            <w:proofErr w:type="gramStart"/>
            <w:r w:rsidRPr="009C3850">
              <w:rPr>
                <w:rFonts w:ascii="Times New Roman" w:hAnsi="Times New Roman" w:cs="Times New Roman"/>
                <w:color w:val="000000"/>
              </w:rPr>
              <w:t>BET  in</w:t>
            </w:r>
            <w:proofErr w:type="gramEnd"/>
            <w:r w:rsidRPr="009C3850">
              <w:rPr>
                <w:rFonts w:ascii="Times New Roman" w:hAnsi="Times New Roman" w:cs="Times New Roman"/>
                <w:color w:val="000000"/>
              </w:rPr>
              <w:t xml:space="preserve"> 2022. </w:t>
            </w:r>
            <w:r w:rsidR="009B3D4E">
              <w:rPr>
                <w:rFonts w:ascii="Times New Roman" w:hAnsi="Times New Roman" w:cs="Times New Roman"/>
                <w:color w:val="000000"/>
              </w:rPr>
              <w:t xml:space="preserve">A new SKJ assessment is currently in </w:t>
            </w:r>
            <w:r w:rsidR="0032259F">
              <w:rPr>
                <w:rFonts w:ascii="Times New Roman" w:hAnsi="Times New Roman" w:cs="Times New Roman"/>
                <w:color w:val="000000"/>
              </w:rPr>
              <w:t xml:space="preserve">progress. </w:t>
            </w:r>
            <w:r w:rsidRPr="009C3850">
              <w:rPr>
                <w:rFonts w:ascii="Times New Roman" w:hAnsi="Times New Roman" w:cs="Times New Roman"/>
                <w:color w:val="000000"/>
              </w:rPr>
              <w:t>A peer-review of the YFT stock assessment is being conducted.</w:t>
            </w:r>
          </w:p>
        </w:tc>
      </w:tr>
      <w:tr w:rsidR="009A3D44" w:rsidRPr="009C3850" w14:paraId="4F6EA7AE" w14:textId="77777777" w:rsidTr="009C3850">
        <w:tc>
          <w:tcPr>
            <w:cnfStyle w:val="001000000000" w:firstRow="0" w:lastRow="0" w:firstColumn="1" w:lastColumn="0" w:oddVBand="0" w:evenVBand="0" w:oddHBand="0" w:evenHBand="0" w:firstRowFirstColumn="0" w:firstRowLastColumn="0" w:lastRowFirstColumn="0" w:lastRowLastColumn="0"/>
            <w:tcW w:w="2760" w:type="dxa"/>
            <w:shd w:val="clear" w:color="auto" w:fill="auto"/>
          </w:tcPr>
          <w:p w14:paraId="158A5965" w14:textId="77777777" w:rsidR="009A3D44" w:rsidRPr="009C3850" w:rsidRDefault="00BE1A09">
            <w:pPr>
              <w:rPr>
                <w:rFonts w:ascii="Times New Roman" w:hAnsi="Times New Roman" w:cs="Times New Roman"/>
                <w:color w:val="000000"/>
              </w:rPr>
            </w:pPr>
            <w:r w:rsidRPr="009C3850">
              <w:rPr>
                <w:rFonts w:ascii="Times New Roman" w:hAnsi="Times New Roman" w:cs="Times New Roman"/>
                <w:color w:val="000000"/>
              </w:rPr>
              <w:t>Resolution 21/01 On an interim plan for rebuilding the Indian Ocean yellowfin tuna stock in the IOTC Area of competence was adopted at the 25th Session of the Commission.</w:t>
            </w:r>
          </w:p>
        </w:tc>
        <w:tc>
          <w:tcPr>
            <w:tcW w:w="2856" w:type="dxa"/>
            <w:shd w:val="clear" w:color="auto" w:fill="auto"/>
          </w:tcPr>
          <w:p w14:paraId="77942FBC"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Rebuilding of tuna stocks in the Indian Ocean</w:t>
            </w:r>
          </w:p>
        </w:tc>
        <w:tc>
          <w:tcPr>
            <w:tcW w:w="1973" w:type="dxa"/>
            <w:shd w:val="clear" w:color="auto" w:fill="auto"/>
          </w:tcPr>
          <w:p w14:paraId="0AF83A68"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1.1.2</w:t>
            </w:r>
          </w:p>
        </w:tc>
        <w:tc>
          <w:tcPr>
            <w:tcW w:w="7799" w:type="dxa"/>
            <w:shd w:val="clear" w:color="auto" w:fill="auto"/>
          </w:tcPr>
          <w:p w14:paraId="6FE56C0A" w14:textId="0AC651C4"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In 2020, SIOTI submitted a position paper to the 24th session of the Commission in 2020 that urged the members to improve the rebuilding strategy for Indian Ocean yellowfin tuna. Resolution 21/01 On an interim plan for rebuilding the IO YFT stock was adopted but catches of YFT are still over the limit. Proposed amendments to the plan </w:t>
            </w:r>
            <w:r w:rsidR="005B336A">
              <w:rPr>
                <w:rFonts w:ascii="Times New Roman" w:hAnsi="Times New Roman" w:cs="Times New Roman"/>
                <w:color w:val="000000"/>
              </w:rPr>
              <w:t xml:space="preserve">were </w:t>
            </w:r>
            <w:r w:rsidRPr="009C3850">
              <w:rPr>
                <w:rFonts w:ascii="Times New Roman" w:hAnsi="Times New Roman" w:cs="Times New Roman"/>
                <w:color w:val="000000"/>
              </w:rPr>
              <w:t>not adopted.</w:t>
            </w:r>
          </w:p>
        </w:tc>
      </w:tr>
      <w:tr w:rsidR="009A3D44" w:rsidRPr="009C3850" w14:paraId="0513583F" w14:textId="77777777" w:rsidTr="009C3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shd w:val="clear" w:color="auto" w:fill="auto"/>
          </w:tcPr>
          <w:p w14:paraId="6323955A" w14:textId="77777777" w:rsidR="009A3D44" w:rsidRPr="009C3850" w:rsidRDefault="00BE1A09">
            <w:pPr>
              <w:rPr>
                <w:rFonts w:ascii="Times New Roman" w:hAnsi="Times New Roman" w:cs="Times New Roman"/>
                <w:color w:val="000000"/>
              </w:rPr>
            </w:pPr>
            <w:r w:rsidRPr="009C3850">
              <w:rPr>
                <w:rFonts w:ascii="Times New Roman" w:hAnsi="Times New Roman" w:cs="Times New Roman"/>
                <w:color w:val="000000"/>
              </w:rPr>
              <w:t>Resolution 21/03 On Harvest Control Rules for Skipjack Tuna were adopted in 2021 and a Management Procedure for bigeye tuna was adopted in 2022.</w:t>
            </w:r>
          </w:p>
        </w:tc>
        <w:tc>
          <w:tcPr>
            <w:tcW w:w="2856" w:type="dxa"/>
            <w:shd w:val="clear" w:color="auto" w:fill="auto"/>
          </w:tcPr>
          <w:p w14:paraId="6725810C"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Define harvest strategy for target species (SKJ, YFT and BET)</w:t>
            </w:r>
          </w:p>
        </w:tc>
        <w:tc>
          <w:tcPr>
            <w:tcW w:w="1973" w:type="dxa"/>
            <w:shd w:val="clear" w:color="auto" w:fill="auto"/>
          </w:tcPr>
          <w:p w14:paraId="24D4A405"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1.2.1</w:t>
            </w:r>
          </w:p>
        </w:tc>
        <w:tc>
          <w:tcPr>
            <w:tcW w:w="7799" w:type="dxa"/>
            <w:shd w:val="clear" w:color="auto" w:fill="auto"/>
          </w:tcPr>
          <w:p w14:paraId="0CA5148F" w14:textId="77777777" w:rsidR="009A3D44" w:rsidRPr="009C3850" w:rsidRDefault="00BE1A0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The main objective of this action is to implement a robust harvest strategy for all target tunas. A number of relevant activities have been conducted by the FIP since the last audit was conducted: </w:t>
            </w:r>
          </w:p>
          <w:p w14:paraId="34126307" w14:textId="77777777" w:rsidR="009A3D44" w:rsidRPr="009C3850" w:rsidRDefault="00BE1A0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color w:val="000000"/>
              </w:rPr>
              <w:t>In 2020, SIOTI submitted a position paper to the 24th session of the Commission in 2020 that stressed the urgency of progressing with harvest strategy development (IOTC-2020-S24-INF09).</w:t>
            </w:r>
            <w:r w:rsidRPr="009C3850">
              <w:rPr>
                <w:rFonts w:ascii="Times New Roman" w:hAnsi="Times New Roman" w:cs="Times New Roman"/>
              </w:rPr>
              <w:t xml:space="preserve"> </w:t>
            </w:r>
          </w:p>
          <w:p w14:paraId="406DDC69" w14:textId="1F5DF0A0" w:rsidR="009A3D44" w:rsidRPr="009C3850" w:rsidRDefault="00BE1A0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rPr>
              <w:t xml:space="preserve">In 2022, </w:t>
            </w:r>
            <w:r w:rsidRPr="009C3850">
              <w:rPr>
                <w:rFonts w:ascii="Times New Roman" w:hAnsi="Times New Roman" w:cs="Times New Roman"/>
                <w:color w:val="000000"/>
              </w:rPr>
              <w:t xml:space="preserve">SIOTI also presented a </w:t>
            </w:r>
            <w:r w:rsidR="00BD3812">
              <w:rPr>
                <w:rFonts w:ascii="Times New Roman" w:hAnsi="Times New Roman" w:cs="Times New Roman"/>
                <w:color w:val="000000"/>
              </w:rPr>
              <w:t xml:space="preserve">report </w:t>
            </w:r>
            <w:proofErr w:type="gramStart"/>
            <w:r w:rsidR="00BD3812">
              <w:rPr>
                <w:rFonts w:ascii="Times New Roman" w:hAnsi="Times New Roman" w:cs="Times New Roman"/>
                <w:color w:val="000000"/>
              </w:rPr>
              <w:t xml:space="preserve">to </w:t>
            </w:r>
            <w:r w:rsidRPr="009C3850">
              <w:rPr>
                <w:rFonts w:ascii="Times New Roman" w:hAnsi="Times New Roman" w:cs="Times New Roman"/>
                <w:color w:val="000000"/>
              </w:rPr>
              <w:t xml:space="preserve"> the</w:t>
            </w:r>
            <w:proofErr w:type="gramEnd"/>
            <w:r w:rsidRPr="009C3850">
              <w:rPr>
                <w:rFonts w:ascii="Times New Roman" w:hAnsi="Times New Roman" w:cs="Times New Roman"/>
                <w:color w:val="000000"/>
              </w:rPr>
              <w:t xml:space="preserve"> 13th Session of the Working Party on Methods on the potential benefits of multispecies catch limits in harvest strategies (IOTC-2022-WPM13-13). Recommendations for improving the model were made.</w:t>
            </w:r>
          </w:p>
          <w:p w14:paraId="51AD6BF4" w14:textId="7638560B" w:rsidR="009A3D44" w:rsidRPr="009C3850" w:rsidRDefault="00BE1A0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SIOTI </w:t>
            </w:r>
            <w:r w:rsidR="00BD3812">
              <w:rPr>
                <w:rFonts w:ascii="Times New Roman" w:hAnsi="Times New Roman" w:cs="Times New Roman"/>
                <w:color w:val="000000"/>
              </w:rPr>
              <w:t>is</w:t>
            </w:r>
            <w:r w:rsidRPr="009C3850">
              <w:rPr>
                <w:rFonts w:ascii="Times New Roman" w:hAnsi="Times New Roman" w:cs="Times New Roman"/>
                <w:color w:val="000000"/>
              </w:rPr>
              <w:t xml:space="preserve"> </w:t>
            </w:r>
            <w:r w:rsidR="005B336A">
              <w:rPr>
                <w:rFonts w:ascii="Times New Roman" w:hAnsi="Times New Roman" w:cs="Times New Roman"/>
                <w:color w:val="000000"/>
              </w:rPr>
              <w:t xml:space="preserve">also </w:t>
            </w:r>
            <w:r w:rsidRPr="009C3850">
              <w:rPr>
                <w:rFonts w:ascii="Times New Roman" w:hAnsi="Times New Roman" w:cs="Times New Roman"/>
                <w:color w:val="000000"/>
              </w:rPr>
              <w:t xml:space="preserve">participating as </w:t>
            </w:r>
            <w:r w:rsidR="00BD3812">
              <w:rPr>
                <w:rFonts w:ascii="Times New Roman" w:hAnsi="Times New Roman" w:cs="Times New Roman"/>
                <w:color w:val="000000"/>
              </w:rPr>
              <w:t xml:space="preserve">a </w:t>
            </w:r>
            <w:r w:rsidRPr="009C3850">
              <w:rPr>
                <w:rFonts w:ascii="Times New Roman" w:hAnsi="Times New Roman" w:cs="Times New Roman"/>
                <w:color w:val="000000"/>
              </w:rPr>
              <w:t xml:space="preserve">key stakeholder in the preparation of </w:t>
            </w:r>
            <w:r w:rsidR="00BD3812">
              <w:rPr>
                <w:rFonts w:ascii="Times New Roman" w:hAnsi="Times New Roman" w:cs="Times New Roman"/>
                <w:color w:val="000000"/>
              </w:rPr>
              <w:t xml:space="preserve">a </w:t>
            </w:r>
            <w:r w:rsidRPr="009C3850">
              <w:rPr>
                <w:rFonts w:ascii="Times New Roman" w:hAnsi="Times New Roman" w:cs="Times New Roman"/>
                <w:color w:val="000000"/>
              </w:rPr>
              <w:t>Seychelles’ national tuna fishery management plan.</w:t>
            </w:r>
          </w:p>
        </w:tc>
      </w:tr>
      <w:tr w:rsidR="009A3D44" w:rsidRPr="009C3850" w14:paraId="6BC23B58" w14:textId="77777777" w:rsidTr="009C3850">
        <w:tc>
          <w:tcPr>
            <w:cnfStyle w:val="001000000000" w:firstRow="0" w:lastRow="0" w:firstColumn="1" w:lastColumn="0" w:oddVBand="0" w:evenVBand="0" w:oddHBand="0" w:evenHBand="0" w:firstRowFirstColumn="0" w:firstRowLastColumn="0" w:lastRowFirstColumn="0" w:lastRowLastColumn="0"/>
            <w:tcW w:w="2760" w:type="dxa"/>
            <w:shd w:val="clear" w:color="auto" w:fill="auto"/>
          </w:tcPr>
          <w:p w14:paraId="522D0BE1" w14:textId="77777777" w:rsidR="009A3D44" w:rsidRPr="009C3850" w:rsidRDefault="00BE1A09">
            <w:pPr>
              <w:rPr>
                <w:rFonts w:ascii="Times New Roman" w:hAnsi="Times New Roman" w:cs="Times New Roman"/>
                <w:color w:val="000000"/>
              </w:rPr>
            </w:pPr>
            <w:r w:rsidRPr="009C3850">
              <w:rPr>
                <w:rFonts w:ascii="Times New Roman" w:hAnsi="Times New Roman" w:cs="Times New Roman"/>
                <w:color w:val="000000"/>
              </w:rPr>
              <w:t xml:space="preserve">A number of studies on HCR have been commissioned by SIOTI. </w:t>
            </w:r>
            <w:r w:rsidRPr="009C3850">
              <w:rPr>
                <w:rFonts w:ascii="Times New Roman" w:hAnsi="Times New Roman" w:cs="Times New Roman"/>
                <w:color w:val="000000"/>
              </w:rPr>
              <w:lastRenderedPageBreak/>
              <w:t>Resolution 21/03 On HCR for SKJ adopted</w:t>
            </w:r>
          </w:p>
        </w:tc>
        <w:tc>
          <w:tcPr>
            <w:tcW w:w="2856" w:type="dxa"/>
            <w:shd w:val="clear" w:color="auto" w:fill="auto"/>
          </w:tcPr>
          <w:p w14:paraId="252D89E9"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lastRenderedPageBreak/>
              <w:t>Put in place well defined and effective harvest control rules (HCRs).</w:t>
            </w:r>
          </w:p>
        </w:tc>
        <w:tc>
          <w:tcPr>
            <w:tcW w:w="1973" w:type="dxa"/>
            <w:shd w:val="clear" w:color="auto" w:fill="auto"/>
          </w:tcPr>
          <w:p w14:paraId="5F107AF2"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1.2.2</w:t>
            </w:r>
          </w:p>
        </w:tc>
        <w:tc>
          <w:tcPr>
            <w:tcW w:w="7799" w:type="dxa"/>
            <w:shd w:val="clear" w:color="auto" w:fill="auto"/>
          </w:tcPr>
          <w:p w14:paraId="164984D0" w14:textId="77777777" w:rsidR="009A3D44" w:rsidRPr="009C3850" w:rsidRDefault="00BE1A0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As indicated above, SIOTI submitted a position paper to the 24th session of the Commission in 2020 that stressed the urgency of progressing with harvest strategy development (IOTC-2020-S24-INF09).</w:t>
            </w:r>
          </w:p>
          <w:p w14:paraId="1D78CC72" w14:textId="77777777" w:rsidR="009A3D44" w:rsidRPr="009C3850" w:rsidRDefault="00BE1A0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SIOTI also commissioned a report to review the impact of recent high catches of skipjack and recommend options for revising the HCRs for SKJ (and other tropical </w:t>
            </w:r>
            <w:r w:rsidRPr="009C3850">
              <w:rPr>
                <w:rFonts w:ascii="Times New Roman" w:hAnsi="Times New Roman" w:cs="Times New Roman"/>
                <w:color w:val="000000"/>
              </w:rPr>
              <w:lastRenderedPageBreak/>
              <w:t>tunas) (Final report_IO_SKJ_HCR_Update_2019 catch).</w:t>
            </w:r>
            <w:r w:rsidRPr="009C3850">
              <w:rPr>
                <w:rFonts w:ascii="Times New Roman" w:hAnsi="Times New Roman" w:cs="Times New Roman"/>
              </w:rPr>
              <w:t xml:space="preserve"> </w:t>
            </w:r>
            <w:r w:rsidRPr="009C3850">
              <w:rPr>
                <w:rFonts w:ascii="Times New Roman" w:hAnsi="Times New Roman" w:cs="Times New Roman"/>
                <w:color w:val="000000"/>
              </w:rPr>
              <w:t>Resolution 21/03 On Harvest Control Rules for Skipjack Tuna in the IOTC Area of competence was adopted at the 25th Session of the Commission.</w:t>
            </w:r>
          </w:p>
          <w:p w14:paraId="3E4803B0" w14:textId="6A49D403" w:rsidR="009A3D44" w:rsidRPr="009C3850" w:rsidRDefault="00BE1A0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highlight w:val="yellow"/>
              </w:rPr>
            </w:pPr>
            <w:r w:rsidRPr="009C3850">
              <w:rPr>
                <w:rFonts w:ascii="Times New Roman" w:hAnsi="Times New Roman" w:cs="Times New Roman"/>
                <w:color w:val="000000"/>
              </w:rPr>
              <w:t>The efficacy of the skipjack HCR and associated or potential control tools has also been examined in a consultancy commissioned by SIOTI in 2022, but this report is not available yet. Skipjack catches are still above the catch limit.</w:t>
            </w:r>
          </w:p>
        </w:tc>
      </w:tr>
      <w:tr w:rsidR="009A3D44" w:rsidRPr="009C3850" w14:paraId="5F962211" w14:textId="77777777" w:rsidTr="009C3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shd w:val="clear" w:color="auto" w:fill="auto"/>
          </w:tcPr>
          <w:p w14:paraId="156B98F4" w14:textId="77777777" w:rsidR="009A3D44" w:rsidRPr="009C3850" w:rsidRDefault="00BE1A09">
            <w:pPr>
              <w:rPr>
                <w:rFonts w:ascii="Times New Roman" w:hAnsi="Times New Roman" w:cs="Times New Roman"/>
                <w:color w:val="000000"/>
              </w:rPr>
            </w:pPr>
            <w:r w:rsidRPr="009C3850">
              <w:rPr>
                <w:rFonts w:ascii="Times New Roman" w:hAnsi="Times New Roman" w:cs="Times New Roman"/>
                <w:color w:val="000000"/>
              </w:rPr>
              <w:lastRenderedPageBreak/>
              <w:t>No relevant activities, score harmonized with Echebastar.</w:t>
            </w:r>
          </w:p>
        </w:tc>
        <w:tc>
          <w:tcPr>
            <w:tcW w:w="2856" w:type="dxa"/>
            <w:shd w:val="clear" w:color="auto" w:fill="auto"/>
          </w:tcPr>
          <w:p w14:paraId="5BD79764"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Improve information and monitoring of Indian Ocean tropical tuna.</w:t>
            </w:r>
          </w:p>
        </w:tc>
        <w:tc>
          <w:tcPr>
            <w:tcW w:w="1973" w:type="dxa"/>
            <w:shd w:val="clear" w:color="auto" w:fill="auto"/>
          </w:tcPr>
          <w:p w14:paraId="78D7AD7E"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1.2.3</w:t>
            </w:r>
          </w:p>
        </w:tc>
        <w:tc>
          <w:tcPr>
            <w:tcW w:w="7799" w:type="dxa"/>
            <w:shd w:val="clear" w:color="auto" w:fill="auto"/>
          </w:tcPr>
          <w:p w14:paraId="0527B6A2" w14:textId="2D576636"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highlight w:val="yellow"/>
              </w:rPr>
            </w:pPr>
            <w:r w:rsidRPr="009C3850">
              <w:rPr>
                <w:rFonts w:ascii="Times New Roman" w:hAnsi="Times New Roman" w:cs="Times New Roman"/>
                <w:color w:val="000000"/>
              </w:rPr>
              <w:t>The main objective of this activity was to ensure that relevant information is collected to support the harvest strategies for the Indian Ocean tropical tuna stocks. The action is considered to be closed. No relevant activities have been conducted since the last audit as this P.I. was scored a</w:t>
            </w:r>
            <w:r w:rsidR="0034480F">
              <w:rPr>
                <w:rFonts w:ascii="Times New Roman" w:hAnsi="Times New Roman" w:cs="Times New Roman"/>
                <w:color w:val="000000"/>
              </w:rPr>
              <w:t>t</w:t>
            </w:r>
            <w:r w:rsidRPr="009C3850">
              <w:rPr>
                <w:rFonts w:ascii="Times New Roman" w:hAnsi="Times New Roman" w:cs="Times New Roman"/>
                <w:color w:val="000000"/>
              </w:rPr>
              <w:t xml:space="preserve"> 80 following harmonization with Echebastar.</w:t>
            </w:r>
          </w:p>
        </w:tc>
      </w:tr>
      <w:tr w:rsidR="009A3D44" w:rsidRPr="009C3850" w14:paraId="3639E45A" w14:textId="77777777" w:rsidTr="009C3850">
        <w:tc>
          <w:tcPr>
            <w:cnfStyle w:val="001000000000" w:firstRow="0" w:lastRow="0" w:firstColumn="1" w:lastColumn="0" w:oddVBand="0" w:evenVBand="0" w:oddHBand="0" w:evenHBand="0" w:firstRowFirstColumn="0" w:firstRowLastColumn="0" w:lastRowFirstColumn="0" w:lastRowLastColumn="0"/>
            <w:tcW w:w="2760" w:type="dxa"/>
            <w:shd w:val="clear" w:color="auto" w:fill="auto"/>
          </w:tcPr>
          <w:p w14:paraId="1DA5CF61" w14:textId="77777777" w:rsidR="009A3D44" w:rsidRPr="009C3850" w:rsidRDefault="00BE1A09">
            <w:pPr>
              <w:rPr>
                <w:rFonts w:ascii="Times New Roman" w:hAnsi="Times New Roman" w:cs="Times New Roman"/>
                <w:color w:val="000000"/>
              </w:rPr>
            </w:pPr>
            <w:r w:rsidRPr="009C3850">
              <w:rPr>
                <w:rFonts w:ascii="Times New Roman" w:hAnsi="Times New Roman" w:cs="Times New Roman"/>
                <w:color w:val="000000"/>
              </w:rPr>
              <w:t>Completed in 2019</w:t>
            </w:r>
          </w:p>
        </w:tc>
        <w:tc>
          <w:tcPr>
            <w:tcW w:w="2856" w:type="dxa"/>
            <w:shd w:val="clear" w:color="auto" w:fill="auto"/>
          </w:tcPr>
          <w:p w14:paraId="7D11709C"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Assess impact of fishery on Secondary species.</w:t>
            </w:r>
          </w:p>
        </w:tc>
        <w:tc>
          <w:tcPr>
            <w:tcW w:w="1973" w:type="dxa"/>
            <w:shd w:val="clear" w:color="auto" w:fill="auto"/>
          </w:tcPr>
          <w:p w14:paraId="211A0F9A"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2.2.1</w:t>
            </w:r>
          </w:p>
        </w:tc>
        <w:tc>
          <w:tcPr>
            <w:tcW w:w="7799" w:type="dxa"/>
            <w:shd w:val="clear" w:color="auto" w:fill="auto"/>
          </w:tcPr>
          <w:p w14:paraId="7FD55564"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Completed in 2019</w:t>
            </w:r>
          </w:p>
        </w:tc>
      </w:tr>
      <w:tr w:rsidR="009A3D44" w:rsidRPr="009C3850" w14:paraId="58C84A06" w14:textId="77777777" w:rsidTr="009C3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shd w:val="clear" w:color="auto" w:fill="auto"/>
          </w:tcPr>
          <w:p w14:paraId="65FA1075" w14:textId="77777777" w:rsidR="009A3D44" w:rsidRPr="009C3850" w:rsidRDefault="00BE1A09">
            <w:pPr>
              <w:rPr>
                <w:rFonts w:ascii="Times New Roman" w:hAnsi="Times New Roman" w:cs="Times New Roman"/>
                <w:color w:val="000000"/>
              </w:rPr>
            </w:pPr>
            <w:r w:rsidRPr="009C3850">
              <w:rPr>
                <w:rFonts w:ascii="Times New Roman" w:hAnsi="Times New Roman" w:cs="Times New Roman"/>
              </w:rPr>
              <w:t>SIOTI partners have made progress on an exercise on harmonise data collection and reporting on the fate of released bycatch (including ETP species).</w:t>
            </w:r>
          </w:p>
        </w:tc>
        <w:tc>
          <w:tcPr>
            <w:tcW w:w="2856" w:type="dxa"/>
            <w:shd w:val="clear" w:color="auto" w:fill="auto"/>
          </w:tcPr>
          <w:p w14:paraId="45564872"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Collect primary and secondary species Information</w:t>
            </w:r>
          </w:p>
        </w:tc>
        <w:tc>
          <w:tcPr>
            <w:tcW w:w="1973" w:type="dxa"/>
            <w:shd w:val="clear" w:color="auto" w:fill="auto"/>
          </w:tcPr>
          <w:p w14:paraId="1A26257E"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2.1.3, 2.2.3 and 2.3.3</w:t>
            </w:r>
          </w:p>
        </w:tc>
        <w:tc>
          <w:tcPr>
            <w:tcW w:w="7799" w:type="dxa"/>
            <w:shd w:val="clear" w:color="auto" w:fill="auto"/>
          </w:tcPr>
          <w:p w14:paraId="447911B7" w14:textId="0CF8E768" w:rsidR="009A3D44" w:rsidRPr="009C3850" w:rsidRDefault="00BE1A0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SIOTI supported an Echebastar study to understand and quantify the post-release survival of silky sharks caught by PS. The findings indicated higher post release survival rates (43%) than previous studies, especially when best </w:t>
            </w:r>
            <w:r w:rsidR="0034480F" w:rsidRPr="009C3850">
              <w:rPr>
                <w:rFonts w:ascii="Times New Roman" w:hAnsi="Times New Roman" w:cs="Times New Roman"/>
                <w:color w:val="000000"/>
              </w:rPr>
              <w:t>practice</w:t>
            </w:r>
            <w:r w:rsidRPr="009C3850">
              <w:rPr>
                <w:rFonts w:ascii="Times New Roman" w:hAnsi="Times New Roman" w:cs="Times New Roman"/>
                <w:color w:val="000000"/>
              </w:rPr>
              <w:t xml:space="preserve"> in handling and release are applied (</w:t>
            </w:r>
            <w:proofErr w:type="spellStart"/>
            <w:r w:rsidRPr="009C3850">
              <w:rPr>
                <w:rFonts w:ascii="Times New Roman" w:hAnsi="Times New Roman" w:cs="Times New Roman"/>
                <w:color w:val="000000"/>
              </w:rPr>
              <w:t>Onandia</w:t>
            </w:r>
            <w:proofErr w:type="spellEnd"/>
            <w:r w:rsidRPr="009C3850">
              <w:rPr>
                <w:rFonts w:ascii="Times New Roman" w:hAnsi="Times New Roman" w:cs="Times New Roman"/>
                <w:color w:val="000000"/>
              </w:rPr>
              <w:t xml:space="preserve"> et al. 2021). </w:t>
            </w:r>
          </w:p>
          <w:p w14:paraId="73A96322" w14:textId="77777777" w:rsidR="009A3D44" w:rsidRPr="009C3850" w:rsidRDefault="00BE1A0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Echebastar, with SIOTI support, conducted a second phase of the project to better understand the migratory patterns of silky shark (Grande et al., 2022).</w:t>
            </w:r>
          </w:p>
          <w:p w14:paraId="444CFE65" w14:textId="10761395" w:rsidR="009A3D44" w:rsidRPr="009C3850" w:rsidRDefault="00BE1A0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SIOTI have completed an infographics-based report </w:t>
            </w:r>
            <w:r w:rsidR="005B336A" w:rsidRPr="009C3850">
              <w:rPr>
                <w:rFonts w:ascii="Times New Roman" w:hAnsi="Times New Roman" w:cs="Times New Roman"/>
                <w:color w:val="000000"/>
              </w:rPr>
              <w:t>summarizing</w:t>
            </w:r>
            <w:r w:rsidRPr="009C3850">
              <w:rPr>
                <w:rFonts w:ascii="Times New Roman" w:hAnsi="Times New Roman" w:cs="Times New Roman"/>
                <w:color w:val="000000"/>
              </w:rPr>
              <w:t xml:space="preserve"> how Codes of </w:t>
            </w:r>
            <w:r w:rsidR="005B336A" w:rsidRPr="009C3850">
              <w:rPr>
                <w:rFonts w:ascii="Times New Roman" w:hAnsi="Times New Roman" w:cs="Times New Roman"/>
                <w:color w:val="000000"/>
              </w:rPr>
              <w:t>Practice</w:t>
            </w:r>
            <w:r w:rsidRPr="009C3850">
              <w:rPr>
                <w:rFonts w:ascii="Times New Roman" w:hAnsi="Times New Roman" w:cs="Times New Roman"/>
                <w:color w:val="000000"/>
              </w:rPr>
              <w:t xml:space="preserve"> are </w:t>
            </w:r>
            <w:r w:rsidR="005B336A" w:rsidRPr="009C3850">
              <w:rPr>
                <w:rFonts w:ascii="Times New Roman" w:hAnsi="Times New Roman" w:cs="Times New Roman"/>
                <w:color w:val="000000"/>
              </w:rPr>
              <w:t>harmonized</w:t>
            </w:r>
            <w:r w:rsidRPr="009C3850">
              <w:rPr>
                <w:rFonts w:ascii="Times New Roman" w:hAnsi="Times New Roman" w:cs="Times New Roman"/>
                <w:color w:val="000000"/>
              </w:rPr>
              <w:t xml:space="preserve"> across SIOTI fleets (SIOTI, 2021).</w:t>
            </w:r>
          </w:p>
        </w:tc>
      </w:tr>
      <w:tr w:rsidR="009A3D44" w:rsidRPr="009C3850" w14:paraId="123316FA" w14:textId="77777777" w:rsidTr="009C3850">
        <w:tc>
          <w:tcPr>
            <w:cnfStyle w:val="001000000000" w:firstRow="0" w:lastRow="0" w:firstColumn="1" w:lastColumn="0" w:oddVBand="0" w:evenVBand="0" w:oddHBand="0" w:evenHBand="0" w:firstRowFirstColumn="0" w:firstRowLastColumn="0" w:lastRowFirstColumn="0" w:lastRowLastColumn="0"/>
            <w:tcW w:w="2760" w:type="dxa"/>
            <w:shd w:val="clear" w:color="auto" w:fill="auto"/>
          </w:tcPr>
          <w:p w14:paraId="16CCA026" w14:textId="77777777" w:rsidR="009A3D44" w:rsidRPr="009C3850" w:rsidRDefault="00BE1A09">
            <w:pPr>
              <w:rPr>
                <w:rFonts w:ascii="Times New Roman" w:hAnsi="Times New Roman" w:cs="Times New Roman"/>
                <w:color w:val="000000"/>
              </w:rPr>
            </w:pPr>
            <w:r w:rsidRPr="009C3850">
              <w:rPr>
                <w:rFonts w:ascii="Times New Roman" w:hAnsi="Times New Roman" w:cs="Times New Roman"/>
              </w:rPr>
              <w:t>Code of Practices for ETP and secondary species implemented across the SIOTI fleet</w:t>
            </w:r>
          </w:p>
        </w:tc>
        <w:tc>
          <w:tcPr>
            <w:tcW w:w="2856" w:type="dxa"/>
            <w:shd w:val="clear" w:color="auto" w:fill="auto"/>
          </w:tcPr>
          <w:p w14:paraId="43288EB9"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rPr>
              <w:t>Assess impact of fishery on Secondary species</w:t>
            </w:r>
          </w:p>
        </w:tc>
        <w:tc>
          <w:tcPr>
            <w:tcW w:w="1973" w:type="dxa"/>
            <w:shd w:val="clear" w:color="auto" w:fill="auto"/>
          </w:tcPr>
          <w:p w14:paraId="05F81C89"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2.2.1</w:t>
            </w:r>
          </w:p>
        </w:tc>
        <w:tc>
          <w:tcPr>
            <w:tcW w:w="7799" w:type="dxa"/>
            <w:shd w:val="clear" w:color="auto" w:fill="auto"/>
          </w:tcPr>
          <w:p w14:paraId="1A6B78A2" w14:textId="72528312" w:rsidR="009A3D44" w:rsidRPr="009C3850" w:rsidRDefault="00BE1A0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In 2019, SIOTI commissioned a team of consultants to draft a study to </w:t>
            </w:r>
            <w:r w:rsidR="005B336A" w:rsidRPr="009C3850">
              <w:rPr>
                <w:rFonts w:ascii="Times New Roman" w:hAnsi="Times New Roman" w:cs="Times New Roman"/>
                <w:color w:val="000000"/>
              </w:rPr>
              <w:t>harmonize</w:t>
            </w:r>
            <w:r w:rsidRPr="009C3850">
              <w:rPr>
                <w:rFonts w:ascii="Times New Roman" w:hAnsi="Times New Roman" w:cs="Times New Roman"/>
                <w:color w:val="000000"/>
              </w:rPr>
              <w:t xml:space="preserve"> and improve codes of practice for ETP and secondary species across the SIOTI fleet (Poisson et al., 2019b). </w:t>
            </w:r>
          </w:p>
          <w:p w14:paraId="27FF8F8F" w14:textId="77777777" w:rsidR="009A3D44" w:rsidRPr="009C3850" w:rsidRDefault="00BE1A0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A code of good practices for ETP species has been implemented in the fleet and it is updated when necessary (ANABAC pers. Comm.)</w:t>
            </w:r>
          </w:p>
        </w:tc>
      </w:tr>
      <w:tr w:rsidR="009A3D44" w:rsidRPr="009C3850" w14:paraId="44CDFC03" w14:textId="77777777" w:rsidTr="009C3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shd w:val="clear" w:color="auto" w:fill="auto"/>
          </w:tcPr>
          <w:p w14:paraId="4D0526DF" w14:textId="77777777" w:rsidR="009A3D44" w:rsidRPr="009C3850" w:rsidRDefault="00BE1A09">
            <w:pPr>
              <w:rPr>
                <w:rFonts w:ascii="Times New Roman" w:hAnsi="Times New Roman" w:cs="Times New Roman"/>
                <w:color w:val="000000"/>
              </w:rPr>
            </w:pPr>
            <w:r w:rsidRPr="009C3850">
              <w:rPr>
                <w:rFonts w:ascii="Times New Roman" w:hAnsi="Times New Roman" w:cs="Times New Roman"/>
                <w:color w:val="000000"/>
              </w:rPr>
              <w:t>A shark finning risk assessment confirmed that the risk of shark fining in the fleet was low. Code of good practices harmonized through the SIOTI fleet.</w:t>
            </w:r>
          </w:p>
        </w:tc>
        <w:tc>
          <w:tcPr>
            <w:tcW w:w="2856" w:type="dxa"/>
            <w:shd w:val="clear" w:color="auto" w:fill="auto"/>
          </w:tcPr>
          <w:p w14:paraId="59B11FBD"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Improve secondary species management</w:t>
            </w:r>
          </w:p>
        </w:tc>
        <w:tc>
          <w:tcPr>
            <w:tcW w:w="1973" w:type="dxa"/>
            <w:shd w:val="clear" w:color="auto" w:fill="auto"/>
          </w:tcPr>
          <w:p w14:paraId="7B1B709F"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2.2.2</w:t>
            </w:r>
          </w:p>
        </w:tc>
        <w:tc>
          <w:tcPr>
            <w:tcW w:w="7799" w:type="dxa"/>
            <w:shd w:val="clear" w:color="auto" w:fill="auto"/>
          </w:tcPr>
          <w:p w14:paraId="66BC713B" w14:textId="43D246B0" w:rsidR="009A3D44" w:rsidRPr="009C3850" w:rsidRDefault="00BE1A0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The objective of this activity is to implement a strategy for the management of secondary species, and to assess</w:t>
            </w:r>
            <w:r w:rsidR="001B5161">
              <w:rPr>
                <w:rFonts w:ascii="Times New Roman" w:hAnsi="Times New Roman" w:cs="Times New Roman"/>
                <w:color w:val="000000"/>
              </w:rPr>
              <w:t xml:space="preserve"> the risk </w:t>
            </w:r>
            <w:r w:rsidRPr="009C3850">
              <w:rPr>
                <w:rFonts w:ascii="Times New Roman" w:hAnsi="Times New Roman" w:cs="Times New Roman"/>
                <w:color w:val="000000"/>
              </w:rPr>
              <w:t>of shark finning occurring aboard the fleet.</w:t>
            </w:r>
          </w:p>
          <w:p w14:paraId="6650CCCF" w14:textId="77777777" w:rsidR="009A3D44" w:rsidRPr="009C3850" w:rsidRDefault="00BE1A0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SIOTI commissioned an independent shark finning risk assessment and management strategy which indicated a very low risk of shark finning within the </w:t>
            </w:r>
            <w:proofErr w:type="spellStart"/>
            <w:r w:rsidRPr="009C3850">
              <w:rPr>
                <w:rFonts w:ascii="Times New Roman" w:hAnsi="Times New Roman" w:cs="Times New Roman"/>
                <w:color w:val="000000"/>
              </w:rPr>
              <w:t>UoA</w:t>
            </w:r>
            <w:proofErr w:type="spellEnd"/>
            <w:r w:rsidRPr="009C3850">
              <w:rPr>
                <w:rFonts w:ascii="Times New Roman" w:hAnsi="Times New Roman" w:cs="Times New Roman"/>
                <w:color w:val="000000"/>
              </w:rPr>
              <w:t xml:space="preserve"> (</w:t>
            </w:r>
            <w:proofErr w:type="spellStart"/>
            <w:r w:rsidRPr="009C3850">
              <w:rPr>
                <w:rFonts w:ascii="Times New Roman" w:hAnsi="Times New Roman" w:cs="Times New Roman"/>
                <w:color w:val="000000"/>
              </w:rPr>
              <w:t>Bräutigam</w:t>
            </w:r>
            <w:proofErr w:type="spellEnd"/>
            <w:r w:rsidRPr="009C3850">
              <w:rPr>
                <w:rFonts w:ascii="Times New Roman" w:hAnsi="Times New Roman" w:cs="Times New Roman"/>
                <w:color w:val="000000"/>
              </w:rPr>
              <w:t xml:space="preserve"> and Fowler 2019). No new relevant measures have been undertaken during the second three-year period apart from harmonizing the code of good practices. Action completed.</w:t>
            </w:r>
          </w:p>
        </w:tc>
      </w:tr>
      <w:tr w:rsidR="009A3D44" w:rsidRPr="009C3850" w14:paraId="64286E3A" w14:textId="77777777" w:rsidTr="009C3850">
        <w:tc>
          <w:tcPr>
            <w:cnfStyle w:val="001000000000" w:firstRow="0" w:lastRow="0" w:firstColumn="1" w:lastColumn="0" w:oddVBand="0" w:evenVBand="0" w:oddHBand="0" w:evenHBand="0" w:firstRowFirstColumn="0" w:firstRowLastColumn="0" w:lastRowFirstColumn="0" w:lastRowLastColumn="0"/>
            <w:tcW w:w="2760" w:type="dxa"/>
            <w:shd w:val="clear" w:color="auto" w:fill="auto"/>
          </w:tcPr>
          <w:p w14:paraId="2D49DEA0" w14:textId="77777777" w:rsidR="009A3D44" w:rsidRPr="009C3850" w:rsidRDefault="00BE1A09">
            <w:pPr>
              <w:rPr>
                <w:rFonts w:ascii="Times New Roman" w:hAnsi="Times New Roman" w:cs="Times New Roman"/>
                <w:color w:val="000000"/>
              </w:rPr>
            </w:pPr>
            <w:r w:rsidRPr="009C3850">
              <w:rPr>
                <w:rFonts w:ascii="Times New Roman" w:hAnsi="Times New Roman" w:cs="Times New Roman"/>
                <w:color w:val="000000"/>
              </w:rPr>
              <w:lastRenderedPageBreak/>
              <w:t>Better knowledge about the fate of released sharks and migration patterns in silky sharks.</w:t>
            </w:r>
          </w:p>
        </w:tc>
        <w:tc>
          <w:tcPr>
            <w:tcW w:w="2856" w:type="dxa"/>
            <w:shd w:val="clear" w:color="auto" w:fill="auto"/>
          </w:tcPr>
          <w:p w14:paraId="05EE6A4F"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Improved knowledge of interaction of purse seiners with ETP species</w:t>
            </w:r>
          </w:p>
        </w:tc>
        <w:tc>
          <w:tcPr>
            <w:tcW w:w="1973" w:type="dxa"/>
            <w:shd w:val="clear" w:color="auto" w:fill="auto"/>
          </w:tcPr>
          <w:p w14:paraId="2671056F"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2.3.3</w:t>
            </w:r>
          </w:p>
        </w:tc>
        <w:tc>
          <w:tcPr>
            <w:tcW w:w="7799" w:type="dxa"/>
            <w:shd w:val="clear" w:color="auto" w:fill="auto"/>
          </w:tcPr>
          <w:p w14:paraId="58EA37A8" w14:textId="77777777" w:rsidR="009A3D44" w:rsidRPr="009C3850" w:rsidRDefault="00BE1A0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The goal of this action is to ensure that information is adequate for the assessment of impacts on ETP species and their management.</w:t>
            </w:r>
          </w:p>
          <w:p w14:paraId="2C661B0C" w14:textId="77777777" w:rsidR="009A3D44" w:rsidRPr="009C3850" w:rsidRDefault="00BE1A0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Activities as explained in 2.1.3, 2.2.3 and 2.3.3 above.</w:t>
            </w:r>
          </w:p>
        </w:tc>
      </w:tr>
      <w:tr w:rsidR="009A3D44" w:rsidRPr="009C3850" w14:paraId="261B702F" w14:textId="77777777" w:rsidTr="009C3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shd w:val="clear" w:color="auto" w:fill="auto"/>
          </w:tcPr>
          <w:p w14:paraId="1B659AEC" w14:textId="426F9F91" w:rsidR="009A3D44" w:rsidRPr="009C3850" w:rsidRDefault="00BE1A09" w:rsidP="009C3850">
            <w:pPr>
              <w:rPr>
                <w:rFonts w:ascii="Times New Roman" w:hAnsi="Times New Roman" w:cs="Times New Roman"/>
                <w:color w:val="000000"/>
              </w:rPr>
            </w:pPr>
            <w:r w:rsidRPr="009C3850">
              <w:rPr>
                <w:rFonts w:ascii="Times New Roman" w:hAnsi="Times New Roman" w:cs="Times New Roman"/>
                <w:color w:val="000000"/>
              </w:rPr>
              <w:t>Recommendations</w:t>
            </w:r>
            <w:r w:rsidR="009C3850" w:rsidRPr="009C3850">
              <w:rPr>
                <w:rFonts w:ascii="Times New Roman" w:hAnsi="Times New Roman" w:cs="Times New Roman"/>
                <w:b w:val="0"/>
                <w:color w:val="000000"/>
              </w:rPr>
              <w:t xml:space="preserve"> </w:t>
            </w:r>
            <w:r w:rsidRPr="009C3850">
              <w:rPr>
                <w:rFonts w:ascii="Times New Roman" w:hAnsi="Times New Roman" w:cs="Times New Roman"/>
                <w:color w:val="000000"/>
              </w:rPr>
              <w:t>for improving FAD</w:t>
            </w:r>
            <w:r w:rsidR="009C3850" w:rsidRPr="009C3850">
              <w:rPr>
                <w:rFonts w:ascii="Times New Roman" w:hAnsi="Times New Roman" w:cs="Times New Roman"/>
                <w:color w:val="000000"/>
              </w:rPr>
              <w:t xml:space="preserve"> </w:t>
            </w:r>
            <w:r w:rsidRPr="009C3850">
              <w:rPr>
                <w:rFonts w:ascii="Times New Roman" w:hAnsi="Times New Roman" w:cs="Times New Roman"/>
                <w:color w:val="000000"/>
              </w:rPr>
              <w:t>monitoring,</w:t>
            </w:r>
            <w:r w:rsidR="009C3850" w:rsidRPr="009C3850">
              <w:rPr>
                <w:rFonts w:ascii="Times New Roman" w:hAnsi="Times New Roman" w:cs="Times New Roman"/>
                <w:b w:val="0"/>
                <w:color w:val="000000"/>
              </w:rPr>
              <w:t xml:space="preserve"> </w:t>
            </w:r>
            <w:r w:rsidRPr="009C3850">
              <w:rPr>
                <w:rFonts w:ascii="Times New Roman" w:hAnsi="Times New Roman" w:cs="Times New Roman"/>
                <w:color w:val="000000"/>
              </w:rPr>
              <w:t>reporting and</w:t>
            </w:r>
            <w:r w:rsidR="009C3850" w:rsidRPr="009C3850">
              <w:rPr>
                <w:rFonts w:ascii="Times New Roman" w:hAnsi="Times New Roman" w:cs="Times New Roman"/>
                <w:color w:val="000000"/>
              </w:rPr>
              <w:t xml:space="preserve"> </w:t>
            </w:r>
            <w:r w:rsidRPr="009C3850">
              <w:rPr>
                <w:rFonts w:ascii="Times New Roman" w:hAnsi="Times New Roman" w:cs="Times New Roman"/>
                <w:color w:val="000000"/>
              </w:rPr>
              <w:t xml:space="preserve">management </w:t>
            </w:r>
            <w:r w:rsidR="009C3850" w:rsidRPr="009C3850">
              <w:rPr>
                <w:rFonts w:ascii="Times New Roman" w:hAnsi="Times New Roman" w:cs="Times New Roman"/>
                <w:color w:val="000000"/>
              </w:rPr>
              <w:t xml:space="preserve">in the fleet </w:t>
            </w:r>
            <w:r w:rsidRPr="009C3850">
              <w:rPr>
                <w:rFonts w:ascii="Times New Roman" w:hAnsi="Times New Roman" w:cs="Times New Roman"/>
                <w:color w:val="000000"/>
              </w:rPr>
              <w:t>provided. A monitoring program on the impact of FADs on the ecosystem launched. And a report on the impact of lost FADs on coral reefs commissioned.</w:t>
            </w:r>
          </w:p>
        </w:tc>
        <w:tc>
          <w:tcPr>
            <w:tcW w:w="2856" w:type="dxa"/>
            <w:shd w:val="clear" w:color="auto" w:fill="auto"/>
          </w:tcPr>
          <w:p w14:paraId="23F51BDD"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Review habitat outcome, management and information</w:t>
            </w:r>
          </w:p>
        </w:tc>
        <w:tc>
          <w:tcPr>
            <w:tcW w:w="1973" w:type="dxa"/>
            <w:shd w:val="clear" w:color="auto" w:fill="auto"/>
          </w:tcPr>
          <w:p w14:paraId="0D3AB5BF"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2.4.1, 2.4.2, 2.4.3</w:t>
            </w:r>
          </w:p>
        </w:tc>
        <w:tc>
          <w:tcPr>
            <w:tcW w:w="7799" w:type="dxa"/>
            <w:shd w:val="clear" w:color="auto" w:fill="auto"/>
          </w:tcPr>
          <w:p w14:paraId="205B064D" w14:textId="3649896F"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 xml:space="preserve">In 2019, a consultant undertook a study of FADs to identify deficiencies in the FAD data collection, reporting, and transmission process and provide recommendations to improve the data collection, data </w:t>
            </w:r>
            <w:r w:rsidR="005B336A" w:rsidRPr="009C3850">
              <w:rPr>
                <w:rFonts w:ascii="Times New Roman" w:hAnsi="Times New Roman" w:cs="Times New Roman"/>
              </w:rPr>
              <w:t>harmonization</w:t>
            </w:r>
            <w:r w:rsidRPr="009C3850">
              <w:rPr>
                <w:rFonts w:ascii="Times New Roman" w:hAnsi="Times New Roman" w:cs="Times New Roman"/>
              </w:rPr>
              <w:t>, and data flow between RFMOs, CPCs, and SIOTI partners enhancing transparency and compliance with FAD Management Plans and IOTC resolutions (IOTC-2019-WPEB15-37).</w:t>
            </w:r>
          </w:p>
          <w:p w14:paraId="5F0D8E5D" w14:textId="56E3C96E"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rPr>
              <w:t xml:space="preserve">A FAD Watch project, a multi-partner initiative, aimed to monitor and mitigate the effects of beached FADs (Nieblas 2019) has been </w:t>
            </w:r>
            <w:r w:rsidR="005B336A" w:rsidRPr="009C3850">
              <w:rPr>
                <w:rFonts w:ascii="Times New Roman" w:hAnsi="Times New Roman" w:cs="Times New Roman"/>
              </w:rPr>
              <w:t>implemented</w:t>
            </w:r>
            <w:r w:rsidRPr="009C3850">
              <w:rPr>
                <w:rFonts w:ascii="Times New Roman" w:hAnsi="Times New Roman" w:cs="Times New Roman"/>
              </w:rPr>
              <w:t xml:space="preserve"> in 13 islands in the Seychelles (the local partners are now receiving FAD positions that move into their area from all SIOTI vessels to allow real time monitoring and recovery of FADs that enter sensitive shallow marine habitats). Echebastar </w:t>
            </w:r>
            <w:r w:rsidR="005B336A" w:rsidRPr="009C3850">
              <w:rPr>
                <w:rFonts w:ascii="Times New Roman" w:hAnsi="Times New Roman" w:cs="Times New Roman"/>
              </w:rPr>
              <w:t>commissioned</w:t>
            </w:r>
            <w:r w:rsidRPr="009C3850">
              <w:rPr>
                <w:rFonts w:ascii="Times New Roman" w:hAnsi="Times New Roman" w:cs="Times New Roman"/>
              </w:rPr>
              <w:t xml:space="preserve"> AZTI to undertake a research project to quantify the risks of FAD beaching and levels of coral mortality caused by beached FADs (in partnership with the Save Our Seas Foundation at </w:t>
            </w:r>
            <w:proofErr w:type="spellStart"/>
            <w:r w:rsidRPr="009C3850">
              <w:rPr>
                <w:rFonts w:ascii="Times New Roman" w:hAnsi="Times New Roman" w:cs="Times New Roman"/>
              </w:rPr>
              <w:t>D'Arros</w:t>
            </w:r>
            <w:proofErr w:type="spellEnd"/>
            <w:r w:rsidRPr="009C3850">
              <w:rPr>
                <w:rFonts w:ascii="Times New Roman" w:hAnsi="Times New Roman" w:cs="Times New Roman"/>
              </w:rPr>
              <w:t xml:space="preserve"> and St Joseph atoll)</w:t>
            </w:r>
            <w:r w:rsidR="005B336A">
              <w:rPr>
                <w:rFonts w:ascii="Times New Roman" w:hAnsi="Times New Roman" w:cs="Times New Roman"/>
              </w:rPr>
              <w:t>.</w:t>
            </w:r>
            <w:r w:rsidR="001B5161">
              <w:rPr>
                <w:rFonts w:ascii="Times New Roman" w:hAnsi="Times New Roman" w:cs="Times New Roman"/>
              </w:rPr>
              <w:t xml:space="preserve"> FADWATCH2 will shortly be implemented</w:t>
            </w:r>
            <w:r w:rsidR="00D54EDA">
              <w:rPr>
                <w:rFonts w:ascii="Times New Roman" w:hAnsi="Times New Roman" w:cs="Times New Roman"/>
              </w:rPr>
              <w:t>.</w:t>
            </w:r>
          </w:p>
        </w:tc>
      </w:tr>
      <w:tr w:rsidR="009A3D44" w:rsidRPr="009C3850" w14:paraId="72E28ADD" w14:textId="77777777" w:rsidTr="009C3850">
        <w:tc>
          <w:tcPr>
            <w:cnfStyle w:val="001000000000" w:firstRow="0" w:lastRow="0" w:firstColumn="1" w:lastColumn="0" w:oddVBand="0" w:evenVBand="0" w:oddHBand="0" w:evenHBand="0" w:firstRowFirstColumn="0" w:firstRowLastColumn="0" w:lastRowFirstColumn="0" w:lastRowLastColumn="0"/>
            <w:tcW w:w="2760" w:type="dxa"/>
            <w:shd w:val="clear" w:color="auto" w:fill="auto"/>
          </w:tcPr>
          <w:p w14:paraId="05AB9238" w14:textId="77777777" w:rsidR="009A3D44" w:rsidRPr="009C3850" w:rsidRDefault="00BE1A09">
            <w:pPr>
              <w:rPr>
                <w:rFonts w:ascii="Times New Roman" w:hAnsi="Times New Roman" w:cs="Times New Roman"/>
                <w:color w:val="000000"/>
                <w:highlight w:val="yellow"/>
              </w:rPr>
            </w:pPr>
            <w:r w:rsidRPr="009C3850">
              <w:rPr>
                <w:rFonts w:ascii="Times New Roman" w:hAnsi="Times New Roman" w:cs="Times New Roman"/>
                <w:color w:val="000000"/>
              </w:rPr>
              <w:t>The impacts of tuna fisheries on the ecosystem were reviewed and P.I. 2.5.1 and 2.5.3 reassessed based on the available information</w:t>
            </w:r>
          </w:p>
        </w:tc>
        <w:tc>
          <w:tcPr>
            <w:tcW w:w="2856" w:type="dxa"/>
            <w:shd w:val="clear" w:color="auto" w:fill="auto"/>
          </w:tcPr>
          <w:p w14:paraId="22152B56"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Improve ecosystem outcome, management and information</w:t>
            </w:r>
          </w:p>
        </w:tc>
        <w:tc>
          <w:tcPr>
            <w:tcW w:w="1973" w:type="dxa"/>
            <w:shd w:val="clear" w:color="auto" w:fill="auto"/>
          </w:tcPr>
          <w:p w14:paraId="212C568A"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2.5.1, 2.5.2, 2.5.3</w:t>
            </w:r>
          </w:p>
        </w:tc>
        <w:tc>
          <w:tcPr>
            <w:tcW w:w="7799" w:type="dxa"/>
            <w:shd w:val="clear" w:color="auto" w:fill="auto"/>
          </w:tcPr>
          <w:p w14:paraId="5DF4BE74" w14:textId="74EEB9D5"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The main objective of this activity is to </w:t>
            </w:r>
            <w:r w:rsidR="00D54EDA">
              <w:rPr>
                <w:rFonts w:ascii="Times New Roman" w:hAnsi="Times New Roman" w:cs="Times New Roman"/>
                <w:color w:val="000000"/>
              </w:rPr>
              <w:t>g</w:t>
            </w:r>
            <w:r w:rsidRPr="009C3850">
              <w:rPr>
                <w:rFonts w:ascii="Times New Roman" w:hAnsi="Times New Roman" w:cs="Times New Roman"/>
                <w:color w:val="000000"/>
              </w:rPr>
              <w:t>ather adequate information to have effective management that reduces serious or irreversible harm to the key elements of ecosystem structure and function.</w:t>
            </w:r>
          </w:p>
          <w:p w14:paraId="2939AD8A" w14:textId="49C95B39"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In 2019, SIOTI commissioned a consultant to examine the core requirements of an ecosystem approach to fisheries management (EAFM) resulting from the impacts of tuna PS fishing in the Indian Ocean (Juan-Jorda 2019). That study summarized the current progress of IOTC in implementing the EAFM and</w:t>
            </w:r>
            <w:r w:rsidR="0098534E">
              <w:rPr>
                <w:rFonts w:ascii="Times New Roman" w:hAnsi="Times New Roman" w:cs="Times New Roman"/>
                <w:color w:val="000000"/>
              </w:rPr>
              <w:t xml:space="preserve"> </w:t>
            </w:r>
            <w:r w:rsidRPr="009C3850">
              <w:rPr>
                <w:rFonts w:ascii="Times New Roman" w:hAnsi="Times New Roman" w:cs="Times New Roman"/>
                <w:color w:val="000000"/>
              </w:rPr>
              <w:t xml:space="preserve">proposed several research avenues and options to facilitate its operationalization; and reviewed the key risk areas associated with the ecosystem impact of PS fisheries on the </w:t>
            </w:r>
            <w:proofErr w:type="spellStart"/>
            <w:r w:rsidRPr="009C3850">
              <w:rPr>
                <w:rFonts w:ascii="Times New Roman" w:hAnsi="Times New Roman" w:cs="Times New Roman"/>
                <w:color w:val="000000"/>
              </w:rPr>
              <w:t>foodweb</w:t>
            </w:r>
            <w:proofErr w:type="spellEnd"/>
            <w:r w:rsidRPr="009C3850">
              <w:rPr>
                <w:rFonts w:ascii="Times New Roman" w:hAnsi="Times New Roman" w:cs="Times New Roman"/>
                <w:color w:val="000000"/>
              </w:rPr>
              <w:t xml:space="preserve"> structure and function, and identified potential options to improve fisheries management that explicitly accounts for ecosystem impacts (IOTC-2019-WPEB15-31).</w:t>
            </w:r>
          </w:p>
          <w:p w14:paraId="72282AC8" w14:textId="77777777" w:rsidR="009A3D44"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Building on the findings of the previous report, in 2021 the same consultant (Juan-Jorda 2021) conducted a review of the scores given by the different certification reports for 2.5.1 and 2.5.3 and re-assessed them based on the available new information.</w:t>
            </w:r>
          </w:p>
          <w:p w14:paraId="24C3495F" w14:textId="6C606412" w:rsidR="00D54EDA" w:rsidRPr="009C3850" w:rsidRDefault="00D54E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9A3D44" w:rsidRPr="009C3850" w14:paraId="51656A34" w14:textId="77777777" w:rsidTr="009C3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shd w:val="clear" w:color="auto" w:fill="auto"/>
          </w:tcPr>
          <w:p w14:paraId="77F639D1" w14:textId="77777777" w:rsidR="009A3D44" w:rsidRPr="009C3850" w:rsidRDefault="00BE1A09">
            <w:pPr>
              <w:rPr>
                <w:rFonts w:ascii="Times New Roman" w:hAnsi="Times New Roman" w:cs="Times New Roman"/>
                <w:color w:val="000000"/>
              </w:rPr>
            </w:pPr>
            <w:r w:rsidRPr="009C3850">
              <w:rPr>
                <w:rFonts w:ascii="Times New Roman" w:hAnsi="Times New Roman" w:cs="Times New Roman"/>
                <w:color w:val="000000"/>
              </w:rPr>
              <w:lastRenderedPageBreak/>
              <w:t>Legislative gaps identified in several coastal states, domestication of IOTC CMMs into the fisheries legislation of Seychelles, NPOA-IUU finalized in Kenya</w:t>
            </w:r>
          </w:p>
        </w:tc>
        <w:tc>
          <w:tcPr>
            <w:tcW w:w="2856" w:type="dxa"/>
            <w:shd w:val="clear" w:color="auto" w:fill="auto"/>
          </w:tcPr>
          <w:p w14:paraId="3C14F8BE"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Legal and customary framework</w:t>
            </w:r>
          </w:p>
        </w:tc>
        <w:tc>
          <w:tcPr>
            <w:tcW w:w="1973" w:type="dxa"/>
            <w:shd w:val="clear" w:color="auto" w:fill="auto"/>
          </w:tcPr>
          <w:p w14:paraId="0B976792" w14:textId="77777777"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3.1.1</w:t>
            </w:r>
          </w:p>
        </w:tc>
        <w:tc>
          <w:tcPr>
            <w:tcW w:w="7799" w:type="dxa"/>
            <w:shd w:val="clear" w:color="auto" w:fill="auto"/>
          </w:tcPr>
          <w:p w14:paraId="4A6CF7A6" w14:textId="54DCC13E" w:rsidR="009A3D44" w:rsidRPr="009C3850" w:rsidRDefault="00BE1A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 xml:space="preserve">The objective of this activity is to implement a management system to exist within an appropriate and effective legal and/or customary framework. It was mainly aimed at closing legislative gaps in coastal states (in Seychelles, Mauritius, Tanzania and Kenya). SIOTI hired a legal expert to assist with this activity resulting (with some problems: COVID, elections, </w:t>
            </w:r>
            <w:proofErr w:type="spellStart"/>
            <w:r w:rsidRPr="009C3850">
              <w:rPr>
                <w:rFonts w:ascii="Times New Roman" w:hAnsi="Times New Roman" w:cs="Times New Roman"/>
                <w:color w:val="000000"/>
              </w:rPr>
              <w:t>etc</w:t>
            </w:r>
            <w:proofErr w:type="spellEnd"/>
            <w:r w:rsidRPr="009C3850">
              <w:rPr>
                <w:rFonts w:ascii="Times New Roman" w:hAnsi="Times New Roman" w:cs="Times New Roman"/>
                <w:color w:val="000000"/>
              </w:rPr>
              <w:t xml:space="preserve">) </w:t>
            </w:r>
            <w:proofErr w:type="gramStart"/>
            <w:r w:rsidRPr="009C3850">
              <w:rPr>
                <w:rFonts w:ascii="Times New Roman" w:hAnsi="Times New Roman" w:cs="Times New Roman"/>
                <w:color w:val="000000"/>
              </w:rPr>
              <w:t>in</w:t>
            </w:r>
            <w:r w:rsidR="00A35953">
              <w:rPr>
                <w:rFonts w:ascii="Times New Roman" w:hAnsi="Times New Roman" w:cs="Times New Roman"/>
                <w:color w:val="000000"/>
              </w:rPr>
              <w:t xml:space="preserve"> </w:t>
            </w:r>
            <w:r w:rsidRPr="009C3850">
              <w:rPr>
                <w:rFonts w:ascii="Times New Roman" w:hAnsi="Times New Roman" w:cs="Times New Roman"/>
                <w:color w:val="000000"/>
              </w:rPr>
              <w:t xml:space="preserve"> progress</w:t>
            </w:r>
            <w:proofErr w:type="gramEnd"/>
            <w:r w:rsidRPr="009C3850">
              <w:rPr>
                <w:rFonts w:ascii="Times New Roman" w:hAnsi="Times New Roman" w:cs="Times New Roman"/>
                <w:color w:val="000000"/>
              </w:rPr>
              <w:t xml:space="preserve"> in the area (NPOA-IUU finalized in Kenya, domestication of IOTC CMMs into the fisheries legislation of Seychelles). The activity is considered closed.</w:t>
            </w:r>
          </w:p>
        </w:tc>
      </w:tr>
      <w:tr w:rsidR="009A3D44" w:rsidRPr="009C3850" w14:paraId="74246BEA" w14:textId="77777777" w:rsidTr="009C3850">
        <w:tc>
          <w:tcPr>
            <w:cnfStyle w:val="001000000000" w:firstRow="0" w:lastRow="0" w:firstColumn="1" w:lastColumn="0" w:oddVBand="0" w:evenVBand="0" w:oddHBand="0" w:evenHBand="0" w:firstRowFirstColumn="0" w:firstRowLastColumn="0" w:lastRowFirstColumn="0" w:lastRowLastColumn="0"/>
            <w:tcW w:w="2760" w:type="dxa"/>
            <w:shd w:val="clear" w:color="auto" w:fill="auto"/>
          </w:tcPr>
          <w:p w14:paraId="3AA830FF" w14:textId="77777777" w:rsidR="009A3D44" w:rsidRPr="009C3850" w:rsidRDefault="00BE1A09">
            <w:pPr>
              <w:rPr>
                <w:rFonts w:ascii="Times New Roman" w:hAnsi="Times New Roman" w:cs="Times New Roman"/>
                <w:color w:val="000000"/>
              </w:rPr>
            </w:pPr>
            <w:r w:rsidRPr="009C3850">
              <w:rPr>
                <w:rFonts w:ascii="Times New Roman" w:hAnsi="Times New Roman" w:cs="Times New Roman"/>
                <w:color w:val="000000"/>
              </w:rPr>
              <w:t>Not relevant progress since the previous audit</w:t>
            </w:r>
          </w:p>
        </w:tc>
        <w:tc>
          <w:tcPr>
            <w:tcW w:w="2856" w:type="dxa"/>
            <w:shd w:val="clear" w:color="auto" w:fill="auto"/>
          </w:tcPr>
          <w:p w14:paraId="616C73E3"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Improve compliance and enforcement of best management practices.</w:t>
            </w:r>
          </w:p>
        </w:tc>
        <w:tc>
          <w:tcPr>
            <w:tcW w:w="1973" w:type="dxa"/>
            <w:shd w:val="clear" w:color="auto" w:fill="auto"/>
          </w:tcPr>
          <w:p w14:paraId="18A6AFB9"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850">
              <w:rPr>
                <w:rFonts w:ascii="Times New Roman" w:hAnsi="Times New Roman" w:cs="Times New Roman"/>
              </w:rPr>
              <w:t>3.2.3</w:t>
            </w:r>
          </w:p>
        </w:tc>
        <w:tc>
          <w:tcPr>
            <w:tcW w:w="7799" w:type="dxa"/>
            <w:shd w:val="clear" w:color="auto" w:fill="auto"/>
          </w:tcPr>
          <w:p w14:paraId="4DB00108" w14:textId="77777777" w:rsidR="009A3D44" w:rsidRPr="009C3850" w:rsidRDefault="00BE1A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3850">
              <w:rPr>
                <w:rFonts w:ascii="Times New Roman" w:hAnsi="Times New Roman" w:cs="Times New Roman"/>
                <w:color w:val="000000"/>
              </w:rPr>
              <w:t>No relevant activities since the last audit.</w:t>
            </w:r>
            <w:r w:rsidRPr="009C3850">
              <w:rPr>
                <w:rFonts w:ascii="Times New Roman" w:hAnsi="Times New Roman" w:cs="Times New Roman"/>
              </w:rPr>
              <w:t xml:space="preserve"> </w:t>
            </w:r>
            <w:r w:rsidRPr="009C3850">
              <w:rPr>
                <w:rFonts w:ascii="Times New Roman" w:hAnsi="Times New Roman" w:cs="Times New Roman"/>
                <w:color w:val="000000"/>
              </w:rPr>
              <w:t>The EU provided an update on its nominal catch records for 2018 but the IOTC’s has not reviewed it yet.</w:t>
            </w:r>
          </w:p>
        </w:tc>
      </w:tr>
    </w:tbl>
    <w:p w14:paraId="344CF24F" w14:textId="77777777" w:rsidR="009A3D44" w:rsidRDefault="009A3D44">
      <w:pPr>
        <w:rPr>
          <w:color w:val="000000"/>
          <w:sz w:val="21"/>
          <w:szCs w:val="21"/>
          <w:highlight w:val="white"/>
        </w:rPr>
      </w:pPr>
    </w:p>
    <w:p w14:paraId="06F895BF" w14:textId="77777777" w:rsidR="009A3D44" w:rsidRDefault="009A3D44"/>
    <w:p w14:paraId="0E97036D" w14:textId="77777777" w:rsidR="00EA5513" w:rsidRDefault="00EA5513">
      <w:pPr>
        <w:rPr>
          <w:color w:val="2F5496"/>
          <w:sz w:val="32"/>
          <w:szCs w:val="32"/>
        </w:rPr>
      </w:pPr>
      <w:r>
        <w:rPr>
          <w:sz w:val="32"/>
          <w:szCs w:val="32"/>
        </w:rPr>
        <w:br w:type="page"/>
      </w:r>
    </w:p>
    <w:p w14:paraId="09957A16" w14:textId="2B664CA4" w:rsidR="009A3D44" w:rsidRDefault="00BE1A09">
      <w:pPr>
        <w:pStyle w:val="Heading2"/>
        <w:spacing w:after="120"/>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Supporting References </w:t>
      </w:r>
      <w:r>
        <w:rPr>
          <w:rFonts w:ascii="Times New Roman" w:eastAsia="Times New Roman" w:hAnsi="Times New Roman" w:cs="Times New Roman"/>
          <w:i/>
          <w:sz w:val="24"/>
          <w:szCs w:val="24"/>
        </w:rPr>
        <w:t>(all the references and other supporting documents can be found in the profile of the SIOTI purse seine tuna FIP on the FisheryProgress website).</w:t>
      </w:r>
    </w:p>
    <w:p w14:paraId="5D3BA4C0" w14:textId="224E15A5" w:rsidR="009A3D44" w:rsidRPr="005B336A" w:rsidRDefault="00BE1A09">
      <w:pPr>
        <w:spacing w:after="120"/>
        <w:rPr>
          <w:i/>
          <w:lang w:val="es-ES_tradnl"/>
        </w:rPr>
      </w:pPr>
      <w:proofErr w:type="spellStart"/>
      <w:r w:rsidRPr="005B336A">
        <w:rPr>
          <w:i/>
        </w:rPr>
        <w:t>Andonegi</w:t>
      </w:r>
      <w:proofErr w:type="spellEnd"/>
      <w:r w:rsidRPr="005B336A">
        <w:rPr>
          <w:i/>
        </w:rPr>
        <w:t>, E., Juan-</w:t>
      </w:r>
      <w:proofErr w:type="spellStart"/>
      <w:r w:rsidRPr="005B336A">
        <w:rPr>
          <w:i/>
        </w:rPr>
        <w:t>Jordá</w:t>
      </w:r>
      <w:proofErr w:type="spellEnd"/>
      <w:r w:rsidRPr="005B336A">
        <w:rPr>
          <w:i/>
        </w:rPr>
        <w:t xml:space="preserve">, M.J., Murua, H., Ruiz, J., Ramos, M.L., Baez, J.C., </w:t>
      </w:r>
      <w:proofErr w:type="spellStart"/>
      <w:r w:rsidRPr="005B336A">
        <w:rPr>
          <w:i/>
        </w:rPr>
        <w:t>Sabarros</w:t>
      </w:r>
      <w:proofErr w:type="spellEnd"/>
      <w:r w:rsidRPr="005B336A">
        <w:rPr>
          <w:i/>
        </w:rPr>
        <w:t>, P.S., Abascal, F.</w:t>
      </w:r>
      <w:r w:rsidR="005B336A" w:rsidRPr="005B336A">
        <w:rPr>
          <w:i/>
        </w:rPr>
        <w:t xml:space="preserve"> and</w:t>
      </w:r>
      <w:r w:rsidRPr="005B336A">
        <w:rPr>
          <w:i/>
        </w:rPr>
        <w:t xml:space="preserve"> Bach, P.</w:t>
      </w:r>
      <w:r w:rsidR="005B336A" w:rsidRPr="005B336A">
        <w:rPr>
          <w:i/>
        </w:rPr>
        <w:t xml:space="preserve"> (</w:t>
      </w:r>
      <w:r w:rsidRPr="005B336A">
        <w:rPr>
          <w:i/>
        </w:rPr>
        <w:t>2019</w:t>
      </w:r>
      <w:r w:rsidR="005B336A" w:rsidRPr="005B336A">
        <w:rPr>
          <w:i/>
        </w:rPr>
        <w:t>)</w:t>
      </w:r>
      <w:r w:rsidRPr="005B336A">
        <w:rPr>
          <w:i/>
        </w:rPr>
        <w:t xml:space="preserve">. In support of the IOTC ecosystem report card: three ecosystem indicators to monitor the ecological impacts of purse seine fisheries operating in the Indian Ocean. </w:t>
      </w:r>
      <w:r w:rsidRPr="005B336A">
        <w:rPr>
          <w:i/>
          <w:lang w:val="es-ES_tradnl"/>
        </w:rPr>
        <w:t>IOTC-2019-WPEB15-26_Rev1. IOTC.</w:t>
      </w:r>
    </w:p>
    <w:p w14:paraId="542C35D6" w14:textId="77777777" w:rsidR="009A3D44" w:rsidRPr="005B336A" w:rsidRDefault="00BE1A09">
      <w:pPr>
        <w:spacing w:after="120"/>
        <w:rPr>
          <w:i/>
        </w:rPr>
      </w:pPr>
      <w:r w:rsidRPr="005B336A">
        <w:rPr>
          <w:i/>
          <w:lang w:val="es-ES_tradnl"/>
        </w:rPr>
        <w:t xml:space="preserve">Andrés, M de., A. Iriondo, G. Merino, H. Murua &amp; J. Santiago (2018). </w:t>
      </w:r>
      <w:r w:rsidRPr="005B336A">
        <w:rPr>
          <w:i/>
        </w:rPr>
        <w:t>Consultation with the purse seine industry regarding the process of adoption of Harvest Strategies and Harvest Control Rules for IOTC’s tropical tunas. IOTC-2018-WPTT20-31. Prepared by AZTI 23 pp.</w:t>
      </w:r>
    </w:p>
    <w:p w14:paraId="3F1A35A6" w14:textId="77777777" w:rsidR="009A3D44" w:rsidRPr="005B336A" w:rsidRDefault="00BE1A09">
      <w:pPr>
        <w:spacing w:after="120"/>
        <w:rPr>
          <w:i/>
        </w:rPr>
      </w:pPr>
      <w:r w:rsidRPr="005B336A">
        <w:rPr>
          <w:i/>
        </w:rPr>
        <w:t>AZTI (2020). Harvest Control Rules for the Indian Ocean Skipjack Fishery. Draft Final Report for Sustainable Indian Ocean Tuna Initiative. 62 pp.</w:t>
      </w:r>
    </w:p>
    <w:p w14:paraId="53AE78E9" w14:textId="6A71DD09" w:rsidR="00EF6E3F" w:rsidRPr="00EF6E3F" w:rsidRDefault="00EF6E3F" w:rsidP="00EF6E3F">
      <w:pPr>
        <w:spacing w:after="120"/>
        <w:rPr>
          <w:i/>
          <w:lang w:val="en-GB"/>
        </w:rPr>
      </w:pPr>
      <w:r w:rsidRPr="00EF6E3F">
        <w:rPr>
          <w:i/>
          <w:lang w:val="en-GB"/>
        </w:rPr>
        <w:t>AZTI (2022).</w:t>
      </w:r>
      <w:r w:rsidRPr="00EF6E3F">
        <w:t xml:space="preserve"> </w:t>
      </w:r>
      <w:r w:rsidRPr="00EF6E3F">
        <w:rPr>
          <w:i/>
          <w:lang w:val="en-GB"/>
        </w:rPr>
        <w:t>Study on Options for Integrating</w:t>
      </w:r>
      <w:r>
        <w:rPr>
          <w:i/>
          <w:lang w:val="en-GB"/>
        </w:rPr>
        <w:t xml:space="preserve"> </w:t>
      </w:r>
      <w:r w:rsidRPr="00EF6E3F">
        <w:rPr>
          <w:i/>
          <w:lang w:val="en-GB"/>
        </w:rPr>
        <w:t>Multispecies Catch Limits in Harvest</w:t>
      </w:r>
      <w:r>
        <w:rPr>
          <w:i/>
          <w:lang w:val="en-GB"/>
        </w:rPr>
        <w:t xml:space="preserve"> </w:t>
      </w:r>
      <w:r w:rsidRPr="00EF6E3F">
        <w:rPr>
          <w:i/>
          <w:lang w:val="en-GB"/>
        </w:rPr>
        <w:t>Strategies for Indian Ocean Tropical</w:t>
      </w:r>
      <w:r>
        <w:rPr>
          <w:i/>
          <w:lang w:val="en-GB"/>
        </w:rPr>
        <w:t xml:space="preserve"> </w:t>
      </w:r>
      <w:r w:rsidRPr="00EF6E3F">
        <w:rPr>
          <w:i/>
          <w:lang w:val="en-GB"/>
        </w:rPr>
        <w:t xml:space="preserve">Tunas. </w:t>
      </w:r>
      <w:r>
        <w:rPr>
          <w:i/>
          <w:lang w:val="en-GB"/>
        </w:rPr>
        <w:t>50 pp.</w:t>
      </w:r>
    </w:p>
    <w:p w14:paraId="7FBE9BA1" w14:textId="03544A2E" w:rsidR="009A3D44" w:rsidRPr="005B336A" w:rsidRDefault="00BE1A09">
      <w:pPr>
        <w:spacing w:after="120"/>
        <w:rPr>
          <w:i/>
        </w:rPr>
      </w:pPr>
      <w:r w:rsidRPr="000B5A18">
        <w:rPr>
          <w:i/>
          <w:lang w:val="en-GB"/>
        </w:rPr>
        <w:t xml:space="preserve">Baez, J. &amp; Ramos, M.L. </w:t>
      </w:r>
      <w:r w:rsidR="005B336A" w:rsidRPr="000B5A18">
        <w:rPr>
          <w:i/>
          <w:lang w:val="en-GB"/>
        </w:rPr>
        <w:t>(</w:t>
      </w:r>
      <w:r w:rsidRPr="000B5A18">
        <w:rPr>
          <w:i/>
          <w:lang w:val="en-GB"/>
        </w:rPr>
        <w:t>2019</w:t>
      </w:r>
      <w:r w:rsidR="005B336A" w:rsidRPr="000B5A18">
        <w:rPr>
          <w:i/>
          <w:lang w:val="en-GB"/>
        </w:rPr>
        <w:t>)</w:t>
      </w:r>
      <w:r w:rsidRPr="000B5A18">
        <w:rPr>
          <w:i/>
          <w:lang w:val="en-GB"/>
        </w:rPr>
        <w:t xml:space="preserve">. </w:t>
      </w:r>
      <w:r w:rsidRPr="005B336A">
        <w:rPr>
          <w:i/>
        </w:rPr>
        <w:t>Free school fishery trends for Spanish tropical purse seiners in the Indian Ocean. IOTC-2019-WPTT21-12. 20 pp.</w:t>
      </w:r>
    </w:p>
    <w:p w14:paraId="4E656B32" w14:textId="77777777" w:rsidR="009A3D44" w:rsidRPr="005B336A" w:rsidRDefault="00BE1A09">
      <w:pPr>
        <w:spacing w:after="120"/>
        <w:rPr>
          <w:i/>
        </w:rPr>
      </w:pPr>
      <w:proofErr w:type="spellStart"/>
      <w:r w:rsidRPr="005B336A">
        <w:rPr>
          <w:i/>
        </w:rPr>
        <w:t>Bräutigam</w:t>
      </w:r>
      <w:proofErr w:type="spellEnd"/>
      <w:r w:rsidRPr="005B336A">
        <w:rPr>
          <w:i/>
        </w:rPr>
        <w:t>, A., &amp; S. Fowler (2019). Shark Finning Risk Assessment - Final Report. October 2019. 31 pp.</w:t>
      </w:r>
    </w:p>
    <w:p w14:paraId="23CE32CF" w14:textId="67EACA7E" w:rsidR="009A3D44" w:rsidRPr="005B336A" w:rsidRDefault="00BE1A09">
      <w:pPr>
        <w:spacing w:after="120"/>
        <w:rPr>
          <w:i/>
        </w:rPr>
      </w:pPr>
      <w:r w:rsidRPr="005B336A">
        <w:rPr>
          <w:i/>
        </w:rPr>
        <w:t xml:space="preserve">Bureau Veritas Certification </w:t>
      </w:r>
      <w:r w:rsidR="005B336A" w:rsidRPr="005B336A">
        <w:rPr>
          <w:i/>
        </w:rPr>
        <w:t>(</w:t>
      </w:r>
      <w:r w:rsidRPr="005B336A">
        <w:rPr>
          <w:i/>
        </w:rPr>
        <w:t>2020</w:t>
      </w:r>
      <w:r w:rsidR="005B336A" w:rsidRPr="005B336A">
        <w:rPr>
          <w:i/>
        </w:rPr>
        <w:t>)</w:t>
      </w:r>
      <w:r w:rsidRPr="005B336A">
        <w:rPr>
          <w:i/>
        </w:rPr>
        <w:t>. Echebastar Indian Ocean Skipjack Tuna Purse Seine Fishery. 1st Surveillance Report, Feb 2020. 77 pp.</w:t>
      </w:r>
    </w:p>
    <w:p w14:paraId="387FFA47" w14:textId="549C4B85" w:rsidR="009A3D44" w:rsidRPr="005B336A" w:rsidRDefault="00BE1A09">
      <w:pPr>
        <w:spacing w:after="120"/>
        <w:rPr>
          <w:i/>
        </w:rPr>
      </w:pPr>
      <w:r w:rsidRPr="005B336A">
        <w:rPr>
          <w:i/>
        </w:rPr>
        <w:t xml:space="preserve">Garcia, A., &amp; Herrera, M. </w:t>
      </w:r>
      <w:r w:rsidR="005B336A" w:rsidRPr="005B336A">
        <w:rPr>
          <w:i/>
        </w:rPr>
        <w:t>(</w:t>
      </w:r>
      <w:r w:rsidRPr="005B336A">
        <w:rPr>
          <w:i/>
        </w:rPr>
        <w:t>2018</w:t>
      </w:r>
      <w:r w:rsidR="005B336A" w:rsidRPr="005B336A">
        <w:rPr>
          <w:i/>
        </w:rPr>
        <w:t>)</w:t>
      </w:r>
      <w:r w:rsidRPr="005B336A">
        <w:rPr>
          <w:i/>
        </w:rPr>
        <w:t>. Assessing the Contribution of Purse Seine Fisheries to Overall Levels of Bycatch in the Indian Ocean. IOTC-2018-WPDCS14-26_Rev1. 95 pp.</w:t>
      </w:r>
    </w:p>
    <w:p w14:paraId="20B14FC9" w14:textId="77777777" w:rsidR="009A3D44" w:rsidRPr="005B336A" w:rsidRDefault="00BE1A09">
      <w:pPr>
        <w:spacing w:after="120"/>
        <w:rPr>
          <w:i/>
        </w:rPr>
      </w:pPr>
      <w:r w:rsidRPr="005B336A">
        <w:rPr>
          <w:i/>
        </w:rPr>
        <w:t xml:space="preserve">Control Union </w:t>
      </w:r>
      <w:proofErr w:type="spellStart"/>
      <w:r w:rsidRPr="005B336A">
        <w:rPr>
          <w:i/>
        </w:rPr>
        <w:t>Pesca</w:t>
      </w:r>
      <w:proofErr w:type="spellEnd"/>
      <w:r w:rsidRPr="005B336A">
        <w:rPr>
          <w:i/>
        </w:rPr>
        <w:t xml:space="preserve"> (2019). Marine Stewardship Council (MSC) Announcement Comment Draft Report (ACDR) for the CFTO Indian Ocean Purse Seine Skipjack fishery. Prepared on behalf of Compagnie Française du Thon </w:t>
      </w:r>
      <w:proofErr w:type="spellStart"/>
      <w:r w:rsidRPr="005B336A">
        <w:rPr>
          <w:i/>
        </w:rPr>
        <w:t>Océanique</w:t>
      </w:r>
      <w:proofErr w:type="spellEnd"/>
      <w:r w:rsidRPr="005B336A">
        <w:rPr>
          <w:i/>
        </w:rPr>
        <w:t xml:space="preserve"> S.A.S. (CFTO). December 2019. 178 pp.</w:t>
      </w:r>
    </w:p>
    <w:p w14:paraId="4D4E8B44" w14:textId="77777777" w:rsidR="009A3D44" w:rsidRPr="005B336A" w:rsidRDefault="00BE1A09">
      <w:pPr>
        <w:spacing w:after="120"/>
        <w:rPr>
          <w:i/>
        </w:rPr>
      </w:pPr>
      <w:proofErr w:type="spellStart"/>
      <w:r w:rsidRPr="005B336A">
        <w:rPr>
          <w:i/>
        </w:rPr>
        <w:t>Dagorn</w:t>
      </w:r>
      <w:proofErr w:type="spellEnd"/>
      <w:r w:rsidRPr="005B336A">
        <w:rPr>
          <w:i/>
        </w:rPr>
        <w:t>, L., Holland, K. N., Restrepo, V., &amp; Moreno, G. (2013). Is it good or bad to fish with FADs? What are the real impacts of the use of drifting FADs on pelagic marine ecosystems? Fish and fisheries, 14(3), 391-415.</w:t>
      </w:r>
    </w:p>
    <w:p w14:paraId="594180D9" w14:textId="77777777" w:rsidR="009A3D44" w:rsidRPr="005B336A" w:rsidRDefault="00BE1A09">
      <w:pPr>
        <w:spacing w:after="120"/>
        <w:rPr>
          <w:i/>
        </w:rPr>
      </w:pPr>
      <w:proofErr w:type="spellStart"/>
      <w:r w:rsidRPr="005B336A">
        <w:rPr>
          <w:i/>
        </w:rPr>
        <w:t>DeAlteris</w:t>
      </w:r>
      <w:proofErr w:type="spellEnd"/>
      <w:r w:rsidRPr="005B336A">
        <w:rPr>
          <w:i/>
        </w:rPr>
        <w:t>, J., Stokes, K. &amp; Scott, I. (2018). Echebastar Indian Ocean Skipjack Tuna Purse Seine Fishery. Public Certification Report. MSC sustainable fisheries certification 578 pp.</w:t>
      </w:r>
    </w:p>
    <w:p w14:paraId="266AF690" w14:textId="1F84A2F9" w:rsidR="00994A8A" w:rsidRPr="005B336A" w:rsidRDefault="00994A8A" w:rsidP="00994A8A">
      <w:pPr>
        <w:spacing w:after="120"/>
        <w:rPr>
          <w:i/>
        </w:rPr>
      </w:pPr>
      <w:r w:rsidRPr="009F73E4">
        <w:rPr>
          <w:i/>
        </w:rPr>
        <w:t xml:space="preserve">Dupaix, A., </w:t>
      </w:r>
      <w:proofErr w:type="spellStart"/>
      <w:r w:rsidRPr="009F73E4">
        <w:rPr>
          <w:i/>
        </w:rPr>
        <w:t>Dagorn</w:t>
      </w:r>
      <w:proofErr w:type="spellEnd"/>
      <w:r w:rsidRPr="009F73E4">
        <w:rPr>
          <w:i/>
        </w:rPr>
        <w:t xml:space="preserve">, L., </w:t>
      </w:r>
      <w:proofErr w:type="spellStart"/>
      <w:r w:rsidRPr="009F73E4">
        <w:rPr>
          <w:i/>
        </w:rPr>
        <w:t>Duparc</w:t>
      </w:r>
      <w:proofErr w:type="spellEnd"/>
      <w:r w:rsidRPr="009F73E4">
        <w:rPr>
          <w:i/>
        </w:rPr>
        <w:t xml:space="preserve">, A., Guillou, A., </w:t>
      </w:r>
      <w:proofErr w:type="spellStart"/>
      <w:r w:rsidRPr="009F73E4">
        <w:rPr>
          <w:i/>
        </w:rPr>
        <w:t>Deneubourg</w:t>
      </w:r>
      <w:proofErr w:type="spellEnd"/>
      <w:r w:rsidRPr="009F73E4">
        <w:rPr>
          <w:i/>
        </w:rPr>
        <w:t>, J.-L.</w:t>
      </w:r>
      <w:r w:rsidR="005B336A" w:rsidRPr="009F73E4">
        <w:rPr>
          <w:i/>
        </w:rPr>
        <w:t xml:space="preserve"> &amp;</w:t>
      </w:r>
      <w:r w:rsidRPr="009F73E4">
        <w:rPr>
          <w:i/>
        </w:rPr>
        <w:t xml:space="preserve"> Capello, M. </w:t>
      </w:r>
      <w:r w:rsidR="005B336A" w:rsidRPr="009F73E4">
        <w:rPr>
          <w:i/>
        </w:rPr>
        <w:t>(</w:t>
      </w:r>
      <w:r w:rsidRPr="009F73E4">
        <w:rPr>
          <w:i/>
        </w:rPr>
        <w:t>2022</w:t>
      </w:r>
      <w:r w:rsidR="005B336A" w:rsidRPr="009F73E4">
        <w:rPr>
          <w:i/>
        </w:rPr>
        <w:t>)</w:t>
      </w:r>
      <w:r w:rsidRPr="009F73E4">
        <w:rPr>
          <w:i/>
        </w:rPr>
        <w:t xml:space="preserve">. </w:t>
      </w:r>
      <w:r w:rsidRPr="005B336A">
        <w:rPr>
          <w:i/>
        </w:rPr>
        <w:t xml:space="preserve">Assessing an ecological trap using </w:t>
      </w:r>
      <w:proofErr w:type="spellStart"/>
      <w:r w:rsidRPr="005B336A">
        <w:rPr>
          <w:i/>
        </w:rPr>
        <w:t>longterm</w:t>
      </w:r>
      <w:proofErr w:type="spellEnd"/>
      <w:r w:rsidRPr="005B336A">
        <w:rPr>
          <w:i/>
        </w:rPr>
        <w:t xml:space="preserve"> condition data: case study on yellowfin tuna and Drifting Fish Aggregating Devices (DFADs). </w:t>
      </w:r>
    </w:p>
    <w:p w14:paraId="40F8FA2C" w14:textId="48D4CA8A" w:rsidR="009A3D44" w:rsidRPr="005B336A" w:rsidRDefault="00BE1A09" w:rsidP="00994A8A">
      <w:pPr>
        <w:spacing w:after="120"/>
        <w:rPr>
          <w:i/>
        </w:rPr>
      </w:pPr>
      <w:r w:rsidRPr="005B336A">
        <w:rPr>
          <w:i/>
        </w:rPr>
        <w:t>Fu, D., Merino, G. &amp; Winker, H. (2022)</w:t>
      </w:r>
      <w:r w:rsidRPr="005B336A">
        <w:t xml:space="preserve">. </w:t>
      </w:r>
      <w:r w:rsidRPr="005B336A">
        <w:rPr>
          <w:i/>
        </w:rPr>
        <w:t xml:space="preserve">Preliminary </w:t>
      </w:r>
      <w:proofErr w:type="spellStart"/>
      <w:r w:rsidRPr="005B336A">
        <w:rPr>
          <w:i/>
        </w:rPr>
        <w:t>indian</w:t>
      </w:r>
      <w:proofErr w:type="spellEnd"/>
      <w:r w:rsidRPr="005B336A">
        <w:rPr>
          <w:i/>
        </w:rPr>
        <w:t xml:space="preserve"> ocean bigeye tuna stock assessment 1950-2021 (stock synthesis). Published 02 October 2022. IOTC–2022–WPTT24–10.</w:t>
      </w:r>
    </w:p>
    <w:p w14:paraId="2AA22EB2" w14:textId="77777777" w:rsidR="009A3D44" w:rsidRPr="005B336A" w:rsidRDefault="00BE1A09">
      <w:pPr>
        <w:spacing w:after="120"/>
        <w:rPr>
          <w:i/>
        </w:rPr>
      </w:pPr>
      <w:r w:rsidRPr="005B336A">
        <w:rPr>
          <w:i/>
        </w:rPr>
        <w:t>Hallier, J.P. &amp; Gaertner, D. (2008) Drifting fish aggregation devices could act as an ecological trap for tropical tuna species. Marine Ecology Progress Series. Vol. 353: 255–264.</w:t>
      </w:r>
    </w:p>
    <w:p w14:paraId="2AE62BCC" w14:textId="77777777" w:rsidR="009A3D44" w:rsidRPr="005B336A" w:rsidRDefault="00BE1A09">
      <w:pPr>
        <w:spacing w:after="120"/>
        <w:rPr>
          <w:i/>
          <w:lang w:val="es-ES_tradnl"/>
        </w:rPr>
      </w:pPr>
      <w:r w:rsidRPr="005B336A">
        <w:rPr>
          <w:i/>
        </w:rPr>
        <w:t xml:space="preserve">Hosch, G. (2018). Approaches for Increasing Compliance with Conservation and Management Measures of the Indian Ocean Tuna Commission. </w:t>
      </w:r>
      <w:r w:rsidRPr="005B336A">
        <w:rPr>
          <w:i/>
          <w:lang w:val="es-ES_tradnl"/>
        </w:rPr>
        <w:t xml:space="preserve">SIOTI Position </w:t>
      </w:r>
      <w:proofErr w:type="spellStart"/>
      <w:r w:rsidRPr="005B336A">
        <w:rPr>
          <w:i/>
          <w:lang w:val="es-ES_tradnl"/>
        </w:rPr>
        <w:t>paper</w:t>
      </w:r>
      <w:proofErr w:type="spellEnd"/>
      <w:r w:rsidRPr="005B336A">
        <w:rPr>
          <w:i/>
          <w:lang w:val="es-ES_tradnl"/>
        </w:rPr>
        <w:t xml:space="preserve"> 01. IOTC-2018-S22-INF07. 4 pp.</w:t>
      </w:r>
    </w:p>
    <w:p w14:paraId="5B2AEF60" w14:textId="77777777" w:rsidR="009A3D44" w:rsidRPr="005B336A" w:rsidRDefault="00BE1A09">
      <w:pPr>
        <w:spacing w:after="120"/>
        <w:rPr>
          <w:i/>
        </w:rPr>
      </w:pPr>
      <w:r w:rsidRPr="005B336A">
        <w:rPr>
          <w:i/>
          <w:lang w:val="es-ES_tradnl"/>
        </w:rPr>
        <w:t xml:space="preserve">Grande, M., </w:t>
      </w:r>
      <w:proofErr w:type="spellStart"/>
      <w:r w:rsidRPr="005B336A">
        <w:rPr>
          <w:i/>
          <w:lang w:val="es-ES_tradnl"/>
        </w:rPr>
        <w:t>Onandia</w:t>
      </w:r>
      <w:proofErr w:type="spellEnd"/>
      <w:r w:rsidRPr="005B336A">
        <w:rPr>
          <w:i/>
          <w:lang w:val="es-ES_tradnl"/>
        </w:rPr>
        <w:t xml:space="preserve">, I., </w:t>
      </w:r>
      <w:proofErr w:type="spellStart"/>
      <w:r w:rsidRPr="005B336A">
        <w:rPr>
          <w:i/>
          <w:lang w:val="es-ES_tradnl"/>
        </w:rPr>
        <w:t>Erauskin-Extramiana</w:t>
      </w:r>
      <w:proofErr w:type="spellEnd"/>
      <w:r w:rsidRPr="005B336A">
        <w:rPr>
          <w:i/>
          <w:lang w:val="es-ES_tradnl"/>
        </w:rPr>
        <w:t xml:space="preserve">, M., Cabello, M., Uranga, J., Ruiz, J., Murua, J. &amp; Santiago, J. (2022).  </w:t>
      </w:r>
      <w:r w:rsidRPr="005B336A">
        <w:rPr>
          <w:i/>
        </w:rPr>
        <w:t>Study of the migratory pattern and habitat of the silky shark (</w:t>
      </w:r>
      <w:proofErr w:type="spellStart"/>
      <w:r w:rsidRPr="005B336A">
        <w:rPr>
          <w:i/>
        </w:rPr>
        <w:t>Carchahinus</w:t>
      </w:r>
      <w:proofErr w:type="spellEnd"/>
      <w:r w:rsidRPr="005B336A">
        <w:rPr>
          <w:i/>
        </w:rPr>
        <w:t xml:space="preserve"> falciformis) in the Indian Ocean. 38 pp.</w:t>
      </w:r>
    </w:p>
    <w:p w14:paraId="6B241D19" w14:textId="2E1D0869" w:rsidR="002C3A74" w:rsidRDefault="002C3A74" w:rsidP="002C3A74">
      <w:pPr>
        <w:spacing w:after="120"/>
        <w:rPr>
          <w:i/>
        </w:rPr>
      </w:pPr>
      <w:r w:rsidRPr="002C3A74">
        <w:rPr>
          <w:i/>
        </w:rPr>
        <w:lastRenderedPageBreak/>
        <w:t>IOTC CIRCULAR</w:t>
      </w:r>
      <w:r>
        <w:rPr>
          <w:i/>
        </w:rPr>
        <w:t xml:space="preserve"> </w:t>
      </w:r>
      <w:r w:rsidRPr="002C3A74">
        <w:rPr>
          <w:i/>
        </w:rPr>
        <w:t>2023–51</w:t>
      </w:r>
      <w:r>
        <w:rPr>
          <w:i/>
        </w:rPr>
        <w:t xml:space="preserve">. </w:t>
      </w:r>
      <w:r w:rsidR="001A26B4" w:rsidRPr="001A26B4">
        <w:rPr>
          <w:i/>
        </w:rPr>
        <w:t xml:space="preserve">Status </w:t>
      </w:r>
      <w:r w:rsidR="001A26B4">
        <w:rPr>
          <w:i/>
        </w:rPr>
        <w:t>o</w:t>
      </w:r>
      <w:r w:rsidR="001A26B4" w:rsidRPr="001A26B4">
        <w:rPr>
          <w:i/>
        </w:rPr>
        <w:t xml:space="preserve">f Resolution 2023-02 Adopted </w:t>
      </w:r>
      <w:r w:rsidR="001A26B4">
        <w:rPr>
          <w:i/>
        </w:rPr>
        <w:t>b</w:t>
      </w:r>
      <w:r w:rsidR="001A26B4" w:rsidRPr="001A26B4">
        <w:rPr>
          <w:i/>
        </w:rPr>
        <w:t xml:space="preserve">y </w:t>
      </w:r>
      <w:r w:rsidR="001A26B4">
        <w:rPr>
          <w:i/>
        </w:rPr>
        <w:t>t</w:t>
      </w:r>
      <w:r w:rsidR="001A26B4" w:rsidRPr="001A26B4">
        <w:rPr>
          <w:i/>
        </w:rPr>
        <w:t>he I</w:t>
      </w:r>
      <w:r w:rsidR="001A26B4">
        <w:rPr>
          <w:i/>
        </w:rPr>
        <w:t>OTC a</w:t>
      </w:r>
      <w:r w:rsidR="001A26B4" w:rsidRPr="001A26B4">
        <w:rPr>
          <w:i/>
        </w:rPr>
        <w:t xml:space="preserve">t </w:t>
      </w:r>
      <w:r w:rsidR="001A26B4">
        <w:rPr>
          <w:i/>
        </w:rPr>
        <w:t>i</w:t>
      </w:r>
      <w:r w:rsidR="001A26B4" w:rsidRPr="001A26B4">
        <w:rPr>
          <w:i/>
        </w:rPr>
        <w:t>ts 6th Special Session</w:t>
      </w:r>
      <w:r w:rsidR="001A26B4">
        <w:rPr>
          <w:i/>
        </w:rPr>
        <w:t>. 2 pp.</w:t>
      </w:r>
    </w:p>
    <w:p w14:paraId="192E0D8B" w14:textId="66768047" w:rsidR="009A3D44" w:rsidRDefault="00BE1A09" w:rsidP="002C3A74">
      <w:pPr>
        <w:spacing w:after="120"/>
        <w:rPr>
          <w:i/>
        </w:rPr>
      </w:pPr>
      <w:r w:rsidRPr="005B336A">
        <w:rPr>
          <w:i/>
        </w:rPr>
        <w:t>IOTC-2023-WPTT25(DP)-07.2_Rev2. Review of Indian Ocean skipjack tuna statistical data. 43 pp.</w:t>
      </w:r>
    </w:p>
    <w:p w14:paraId="16CA54E8" w14:textId="77777777" w:rsidR="009A3D44" w:rsidRPr="005B336A" w:rsidRDefault="00BE1A09">
      <w:pPr>
        <w:spacing w:after="120"/>
        <w:rPr>
          <w:i/>
        </w:rPr>
      </w:pPr>
      <w:r w:rsidRPr="005B336A">
        <w:rPr>
          <w:i/>
        </w:rPr>
        <w:t>IOTC-2023-WPTT25(DP)-07.1_Rev1. Overview of Indian Ocean tropical tuna fisheries. 26 pp.</w:t>
      </w:r>
    </w:p>
    <w:p w14:paraId="6B27FFBA" w14:textId="77777777" w:rsidR="009A3D44" w:rsidRPr="005B336A" w:rsidRDefault="00BE1A09">
      <w:pPr>
        <w:spacing w:after="120"/>
        <w:rPr>
          <w:i/>
        </w:rPr>
      </w:pPr>
      <w:r w:rsidRPr="005B336A">
        <w:rPr>
          <w:i/>
        </w:rPr>
        <w:t xml:space="preserve">IOTC 2021. Report of the 18th Session of the Compliance Committee. By Videoconference, </w:t>
      </w:r>
      <w:proofErr w:type="gramStart"/>
      <w:r w:rsidRPr="005B336A">
        <w:rPr>
          <w:i/>
        </w:rPr>
        <w:t>30  May</w:t>
      </w:r>
      <w:proofErr w:type="gramEnd"/>
      <w:r w:rsidRPr="005B336A">
        <w:rPr>
          <w:i/>
        </w:rPr>
        <w:t xml:space="preserve"> to 1 June 2021. IOTC–2021–CoC18–R[E], 55 pp</w:t>
      </w:r>
    </w:p>
    <w:p w14:paraId="725A3114" w14:textId="77777777" w:rsidR="009A3D44" w:rsidRPr="005B336A" w:rsidRDefault="00BE1A09">
      <w:pPr>
        <w:spacing w:after="120"/>
        <w:rPr>
          <w:i/>
        </w:rPr>
      </w:pPr>
      <w:r w:rsidRPr="005B336A">
        <w:rPr>
          <w:i/>
        </w:rPr>
        <w:t>IOTC-2019-S23-INF15. SIOTI1 Position Paper 02. SIOTI Position on Indian Ocean Yellowfin Tuna Rebuilding. 2 pp.</w:t>
      </w:r>
    </w:p>
    <w:p w14:paraId="0919C67A" w14:textId="77777777" w:rsidR="009A3D44" w:rsidRPr="005B336A" w:rsidRDefault="00BE1A09">
      <w:pPr>
        <w:spacing w:after="120"/>
        <w:rPr>
          <w:i/>
          <w:lang w:val="en-GB"/>
        </w:rPr>
      </w:pPr>
      <w:r w:rsidRPr="005B336A">
        <w:rPr>
          <w:i/>
        </w:rPr>
        <w:t xml:space="preserve">IOTC-2019-S23-INF17. SIOTI and OPAGAC Joint FIP letter. </w:t>
      </w:r>
      <w:r w:rsidRPr="005B336A">
        <w:rPr>
          <w:i/>
          <w:lang w:val="en-GB"/>
        </w:rPr>
        <w:t>2 pp.</w:t>
      </w:r>
    </w:p>
    <w:p w14:paraId="3E2A505C" w14:textId="77777777" w:rsidR="009A3D44" w:rsidRPr="005B336A" w:rsidRDefault="00BE1A09">
      <w:pPr>
        <w:spacing w:after="120"/>
        <w:rPr>
          <w:i/>
        </w:rPr>
      </w:pPr>
      <w:r w:rsidRPr="005B336A">
        <w:rPr>
          <w:i/>
        </w:rPr>
        <w:t>IOTC–2019–WPEB15–10. Revision of the WPEB program of work (2020–2024). 18 pp.</w:t>
      </w:r>
    </w:p>
    <w:p w14:paraId="2372CC32" w14:textId="77777777" w:rsidR="009A3D44" w:rsidRPr="005B336A" w:rsidRDefault="00BE1A09">
      <w:pPr>
        <w:spacing w:after="120"/>
        <w:rPr>
          <w:i/>
        </w:rPr>
      </w:pPr>
      <w:r w:rsidRPr="005B336A">
        <w:rPr>
          <w:i/>
        </w:rPr>
        <w:t>IOTC–2019–WPICMM02–05b. Improve Monitoring Control and Surveillance scheme. Monitoring Control and Surveillance study. 7 pp.</w:t>
      </w:r>
    </w:p>
    <w:p w14:paraId="1F91A38A" w14:textId="77777777" w:rsidR="00E11A32" w:rsidRPr="005B336A" w:rsidRDefault="00BE1A09" w:rsidP="00E11A32">
      <w:pPr>
        <w:spacing w:after="120"/>
        <w:rPr>
          <w:i/>
        </w:rPr>
      </w:pPr>
      <w:r w:rsidRPr="005B336A">
        <w:rPr>
          <w:i/>
        </w:rPr>
        <w:t>IOTC-2022-WPEB18-07_Rev1. Review of the statistical data available for IOTC bycatch species. 47 pp</w:t>
      </w:r>
      <w:r w:rsidR="00E11A32" w:rsidRPr="005B336A">
        <w:rPr>
          <w:i/>
        </w:rPr>
        <w:t>.</w:t>
      </w:r>
    </w:p>
    <w:p w14:paraId="4B352C60" w14:textId="6D2AFE81" w:rsidR="00E11A32" w:rsidRPr="005B336A" w:rsidRDefault="00E11A32">
      <w:pPr>
        <w:spacing w:after="120"/>
        <w:rPr>
          <w:i/>
          <w:lang w:val="en-GB"/>
        </w:rPr>
      </w:pPr>
      <w:r w:rsidRPr="005B336A">
        <w:rPr>
          <w:i/>
          <w:lang w:val="en-GB"/>
        </w:rPr>
        <w:t>IOTC-2019-SC22-ES02. Draft resource stock status summary – Bigeye tuna. Status of the Indian Ocean bigeye tuna (BET: Thunnus obesus) resource. 5 pp.</w:t>
      </w:r>
    </w:p>
    <w:p w14:paraId="3E0BB562" w14:textId="134B4F7D" w:rsidR="009A3D44" w:rsidRPr="005B336A" w:rsidRDefault="00BE1A09">
      <w:pPr>
        <w:spacing w:after="120"/>
        <w:rPr>
          <w:i/>
        </w:rPr>
      </w:pPr>
      <w:r w:rsidRPr="005B336A">
        <w:rPr>
          <w:i/>
          <w:lang w:val="en-GB"/>
        </w:rPr>
        <w:t xml:space="preserve">IOTC (2022a). </w:t>
      </w:r>
      <w:r w:rsidRPr="005B336A">
        <w:rPr>
          <w:i/>
        </w:rPr>
        <w:t>Appendix 2 Executive Summary: Bigeye tuna (2022)</w:t>
      </w:r>
    </w:p>
    <w:p w14:paraId="623A4C16" w14:textId="77777777" w:rsidR="009A3D44" w:rsidRPr="005B336A" w:rsidRDefault="00BE1A09">
      <w:pPr>
        <w:tabs>
          <w:tab w:val="left" w:pos="12474"/>
        </w:tabs>
        <w:spacing w:after="120"/>
        <w:rPr>
          <w:i/>
        </w:rPr>
      </w:pPr>
      <w:r w:rsidRPr="005B336A">
        <w:rPr>
          <w:i/>
        </w:rPr>
        <w:t xml:space="preserve">IOTC (2022b). Appendix 3 Executive Summary: Skipjack tuna (2022) </w:t>
      </w:r>
    </w:p>
    <w:p w14:paraId="7185DFE0" w14:textId="77777777" w:rsidR="009A3D44" w:rsidRPr="005B336A" w:rsidRDefault="00BE1A09">
      <w:pPr>
        <w:spacing w:after="120"/>
      </w:pPr>
      <w:r w:rsidRPr="005B336A">
        <w:rPr>
          <w:i/>
        </w:rPr>
        <w:t>IOTC (2022c). Appendix 4 Executive Summary: Yellowfin tuna (2022)</w:t>
      </w:r>
    </w:p>
    <w:p w14:paraId="37EA8631" w14:textId="77777777" w:rsidR="009A3D44" w:rsidRPr="005B336A" w:rsidRDefault="00BE1A09">
      <w:pPr>
        <w:spacing w:after="120"/>
        <w:rPr>
          <w:i/>
        </w:rPr>
      </w:pPr>
      <w:r w:rsidRPr="005B336A">
        <w:rPr>
          <w:i/>
        </w:rPr>
        <w:t>ISSF (2023). Status of the world fisheries for tuna. Mar. 2023. ISSF Technical Report 2023-01. International Seafood Sustainability Foundation,</w:t>
      </w:r>
    </w:p>
    <w:p w14:paraId="3B2ADC58" w14:textId="77777777" w:rsidR="009A3D44" w:rsidRPr="005B336A" w:rsidRDefault="00BE1A09">
      <w:pPr>
        <w:spacing w:after="120"/>
        <w:rPr>
          <w:i/>
        </w:rPr>
      </w:pPr>
      <w:r w:rsidRPr="005B336A">
        <w:rPr>
          <w:i/>
        </w:rPr>
        <w:t>Pittsburgh, PA, USA. 119 pp.</w:t>
      </w:r>
    </w:p>
    <w:p w14:paraId="7653EDF0" w14:textId="77777777" w:rsidR="009A3D44" w:rsidRPr="005B336A" w:rsidRDefault="00BE1A09">
      <w:pPr>
        <w:spacing w:after="120"/>
        <w:rPr>
          <w:i/>
        </w:rPr>
      </w:pPr>
      <w:r w:rsidRPr="005B336A">
        <w:rPr>
          <w:i/>
        </w:rPr>
        <w:t>2018 ISSF stock assessment workshop: “Review of Current t-RFMO Practice in Stock Status Determinations”. ISSF Technical Report 2018-15.</w:t>
      </w:r>
    </w:p>
    <w:p w14:paraId="0CDC0574" w14:textId="6A5C7B5A" w:rsidR="009A3D44" w:rsidRPr="005B336A" w:rsidRDefault="00BE1A09">
      <w:pPr>
        <w:spacing w:after="120"/>
        <w:rPr>
          <w:i/>
        </w:rPr>
      </w:pPr>
      <w:r w:rsidRPr="005B336A">
        <w:rPr>
          <w:i/>
        </w:rPr>
        <w:t>Juan-</w:t>
      </w:r>
      <w:proofErr w:type="spellStart"/>
      <w:r w:rsidRPr="005B336A">
        <w:rPr>
          <w:i/>
        </w:rPr>
        <w:t>Jordá</w:t>
      </w:r>
      <w:proofErr w:type="spellEnd"/>
      <w:r w:rsidRPr="005B336A">
        <w:rPr>
          <w:i/>
        </w:rPr>
        <w:t xml:space="preserve">, M-J. </w:t>
      </w:r>
      <w:r w:rsidR="00994A8A" w:rsidRPr="005B336A">
        <w:rPr>
          <w:i/>
        </w:rPr>
        <w:t>(</w:t>
      </w:r>
      <w:r w:rsidRPr="005B336A">
        <w:rPr>
          <w:i/>
        </w:rPr>
        <w:t>2019</w:t>
      </w:r>
      <w:r w:rsidR="00994A8A" w:rsidRPr="005B336A">
        <w:rPr>
          <w:i/>
        </w:rPr>
        <w:t>)</w:t>
      </w:r>
      <w:r w:rsidRPr="005B336A">
        <w:rPr>
          <w:i/>
        </w:rPr>
        <w:t>. Support for the development of an ecosystem approach to fisheries management for Indian Ocean tuna fisheries. IOTC-2019-</w:t>
      </w:r>
    </w:p>
    <w:p w14:paraId="6FC9F0F4" w14:textId="77777777" w:rsidR="009A3D44" w:rsidRDefault="00BE1A09">
      <w:pPr>
        <w:spacing w:after="120"/>
        <w:rPr>
          <w:i/>
        </w:rPr>
      </w:pPr>
      <w:r w:rsidRPr="005B336A">
        <w:rPr>
          <w:i/>
        </w:rPr>
        <w:t>WPEB15-31. 53 pp.</w:t>
      </w:r>
    </w:p>
    <w:p w14:paraId="782659D4" w14:textId="72C0A174" w:rsidR="00994A8A" w:rsidRPr="00994A8A" w:rsidRDefault="00994A8A" w:rsidP="00994A8A">
      <w:pPr>
        <w:spacing w:after="120"/>
        <w:rPr>
          <w:i/>
        </w:rPr>
      </w:pPr>
      <w:r w:rsidRPr="00994A8A">
        <w:rPr>
          <w:i/>
        </w:rPr>
        <w:t>Juan-</w:t>
      </w:r>
      <w:r w:rsidRPr="00994A8A">
        <w:t xml:space="preserve"> </w:t>
      </w:r>
      <w:proofErr w:type="spellStart"/>
      <w:proofErr w:type="gramStart"/>
      <w:r w:rsidRPr="00994A8A">
        <w:rPr>
          <w:i/>
        </w:rPr>
        <w:t>Jordá</w:t>
      </w:r>
      <w:proofErr w:type="spellEnd"/>
      <w:r>
        <w:rPr>
          <w:i/>
        </w:rPr>
        <w:t>,</w:t>
      </w:r>
      <w:r w:rsidRPr="00994A8A">
        <w:rPr>
          <w:i/>
        </w:rPr>
        <w:t>,</w:t>
      </w:r>
      <w:proofErr w:type="gramEnd"/>
      <w:r w:rsidRPr="00994A8A">
        <w:rPr>
          <w:i/>
        </w:rPr>
        <w:t xml:space="preserve"> M.J., </w:t>
      </w:r>
      <w:r>
        <w:rPr>
          <w:i/>
        </w:rPr>
        <w:t>(</w:t>
      </w:r>
      <w:r w:rsidRPr="00994A8A">
        <w:rPr>
          <w:i/>
        </w:rPr>
        <w:t>2022</w:t>
      </w:r>
      <w:r>
        <w:rPr>
          <w:i/>
        </w:rPr>
        <w:t>)</w:t>
      </w:r>
      <w:r w:rsidRPr="00994A8A">
        <w:rPr>
          <w:i/>
        </w:rPr>
        <w:t>. Analysis of the interaction of the purse seine tuna fishery in the Indian Ocean</w:t>
      </w:r>
      <w:r>
        <w:rPr>
          <w:i/>
        </w:rPr>
        <w:t xml:space="preserve"> </w:t>
      </w:r>
      <w:r w:rsidRPr="00994A8A">
        <w:rPr>
          <w:i/>
        </w:rPr>
        <w:t>with the ecosystem as defined by the MSC Standard for Sustainable Fisheries (Component 2.5). AZTI/SIOTI.</w:t>
      </w:r>
    </w:p>
    <w:p w14:paraId="6ABFA666" w14:textId="72511F4F" w:rsidR="00994A8A" w:rsidRDefault="00994A8A" w:rsidP="00994A8A">
      <w:pPr>
        <w:spacing w:after="120"/>
        <w:rPr>
          <w:i/>
        </w:rPr>
      </w:pPr>
      <w:r w:rsidRPr="00994A8A">
        <w:rPr>
          <w:i/>
        </w:rPr>
        <w:t>KAIROS,</w:t>
      </w:r>
    </w:p>
    <w:p w14:paraId="312DBB39" w14:textId="77777777" w:rsidR="009A3D44" w:rsidRPr="005B336A" w:rsidRDefault="00BE1A09">
      <w:pPr>
        <w:spacing w:after="120"/>
        <w:rPr>
          <w:i/>
        </w:rPr>
      </w:pPr>
      <w:r w:rsidRPr="005B336A">
        <w:rPr>
          <w:i/>
        </w:rPr>
        <w:t>Kell, L., &amp; R. Sharma (2019).  Alternative Assessment for the Indian Ocean Yellowfin Tuna Stock; with Generic Goodness of Fit Diagnostics.  IOTC-2019-WPTT21-48. 10 pp.</w:t>
      </w:r>
    </w:p>
    <w:p w14:paraId="427459D7" w14:textId="77777777" w:rsidR="009A3D44" w:rsidRPr="005B336A" w:rsidRDefault="00BE1A09">
      <w:pPr>
        <w:spacing w:after="120"/>
        <w:rPr>
          <w:i/>
        </w:rPr>
      </w:pPr>
      <w:r w:rsidRPr="005B336A">
        <w:rPr>
          <w:i/>
        </w:rPr>
        <w:t xml:space="preserve">Laborda, A., </w:t>
      </w:r>
      <w:proofErr w:type="spellStart"/>
      <w:r w:rsidRPr="005B336A">
        <w:rPr>
          <w:i/>
        </w:rPr>
        <w:t>Urtizberea</w:t>
      </w:r>
      <w:proofErr w:type="spellEnd"/>
      <w:r w:rsidRPr="005B336A">
        <w:rPr>
          <w:i/>
        </w:rPr>
        <w:t>, A. &amp; Merino, G. (2022).</w:t>
      </w:r>
      <w:r w:rsidRPr="005B336A">
        <w:t xml:space="preserve"> </w:t>
      </w:r>
      <w:r w:rsidRPr="005B336A">
        <w:rPr>
          <w:i/>
        </w:rPr>
        <w:t>Options for Multispecies Catch Limits in Harvest Strategies for Indian Ocean Tropical Tunas. IOTC-2022-WPM13-13. 14 pp.</w:t>
      </w:r>
    </w:p>
    <w:p w14:paraId="4110956E" w14:textId="77777777" w:rsidR="00652289" w:rsidRPr="005B336A" w:rsidRDefault="00652289" w:rsidP="00652289">
      <w:pPr>
        <w:spacing w:after="120"/>
        <w:rPr>
          <w:i/>
        </w:rPr>
      </w:pPr>
      <w:r w:rsidRPr="005B336A">
        <w:rPr>
          <w:i/>
        </w:rPr>
        <w:t>Lenel, S. (2023). Compliance Assessment in the Tuna Regional Fisheries Management Organizations (RFMOs) - A Comparative Review. IMCS Network</w:t>
      </w:r>
    </w:p>
    <w:p w14:paraId="04A768AC" w14:textId="77777777" w:rsidR="009A3D44" w:rsidRPr="009F73E4" w:rsidRDefault="00BE1A09">
      <w:pPr>
        <w:spacing w:after="120"/>
        <w:rPr>
          <w:i/>
          <w:lang w:val="fr-FR"/>
        </w:rPr>
      </w:pPr>
      <w:r w:rsidRPr="003D475F">
        <w:rPr>
          <w:i/>
          <w:lang w:val="pt-PT"/>
        </w:rPr>
        <w:lastRenderedPageBreak/>
        <w:t xml:space="preserve">Marsac, F., Fonteneau, A. &amp; Ménard, F. (2000). </w:t>
      </w:r>
      <w:r w:rsidRPr="005B336A">
        <w:rPr>
          <w:i/>
        </w:rPr>
        <w:t xml:space="preserve">Drifting FADs used in tuna fisheries: an ecological trap? </w:t>
      </w:r>
      <w:proofErr w:type="gramStart"/>
      <w:r w:rsidRPr="005B336A">
        <w:rPr>
          <w:i/>
          <w:lang w:val="fr-FR"/>
        </w:rPr>
        <w:t>In:</w:t>
      </w:r>
      <w:proofErr w:type="gramEnd"/>
      <w:r w:rsidRPr="005B336A">
        <w:rPr>
          <w:i/>
          <w:lang w:val="fr-FR"/>
        </w:rPr>
        <w:t xml:space="preserve"> Le Gall JY, </w:t>
      </w:r>
      <w:proofErr w:type="spellStart"/>
      <w:r w:rsidRPr="005B336A">
        <w:rPr>
          <w:i/>
          <w:lang w:val="fr-FR"/>
        </w:rPr>
        <w:t>Cayré</w:t>
      </w:r>
      <w:proofErr w:type="spellEnd"/>
      <w:r w:rsidRPr="005B336A">
        <w:rPr>
          <w:i/>
          <w:lang w:val="fr-FR"/>
        </w:rPr>
        <w:t xml:space="preserve"> P, Taquet M (</w:t>
      </w:r>
      <w:proofErr w:type="spellStart"/>
      <w:r w:rsidRPr="005B336A">
        <w:rPr>
          <w:i/>
          <w:lang w:val="fr-FR"/>
        </w:rPr>
        <w:t>eds</w:t>
      </w:r>
      <w:proofErr w:type="spellEnd"/>
      <w:r w:rsidRPr="005B336A">
        <w:rPr>
          <w:i/>
          <w:lang w:val="fr-FR"/>
        </w:rPr>
        <w:t xml:space="preserve">). Pêche thonière et dispositifs de concentration de poisons. </w:t>
      </w:r>
      <w:r w:rsidRPr="009F73E4">
        <w:rPr>
          <w:i/>
          <w:lang w:val="fr-FR"/>
        </w:rPr>
        <w:t xml:space="preserve">Actes Colloques-IFREMER </w:t>
      </w:r>
      <w:proofErr w:type="gramStart"/>
      <w:r w:rsidRPr="009F73E4">
        <w:rPr>
          <w:i/>
          <w:lang w:val="fr-FR"/>
        </w:rPr>
        <w:t>28:</w:t>
      </w:r>
      <w:proofErr w:type="gramEnd"/>
      <w:r w:rsidRPr="009F73E4">
        <w:rPr>
          <w:i/>
          <w:lang w:val="fr-FR"/>
        </w:rPr>
        <w:t xml:space="preserve"> 537–552.</w:t>
      </w:r>
    </w:p>
    <w:p w14:paraId="2567409D" w14:textId="77777777" w:rsidR="009A3D44" w:rsidRDefault="00BE1A09">
      <w:pPr>
        <w:spacing w:after="120"/>
        <w:rPr>
          <w:i/>
        </w:rPr>
      </w:pPr>
      <w:proofErr w:type="spellStart"/>
      <w:r w:rsidRPr="009F73E4">
        <w:rPr>
          <w:i/>
          <w:lang w:val="fr-FR"/>
        </w:rPr>
        <w:t>Maufroy</w:t>
      </w:r>
      <w:proofErr w:type="spellEnd"/>
      <w:r w:rsidRPr="009F73E4">
        <w:rPr>
          <w:i/>
          <w:lang w:val="fr-FR"/>
        </w:rPr>
        <w:t xml:space="preserve">, A., </w:t>
      </w:r>
      <w:proofErr w:type="spellStart"/>
      <w:r w:rsidRPr="009F73E4">
        <w:rPr>
          <w:i/>
          <w:lang w:val="fr-FR"/>
        </w:rPr>
        <w:t>Chassot</w:t>
      </w:r>
      <w:proofErr w:type="spellEnd"/>
      <w:r w:rsidRPr="009F73E4">
        <w:rPr>
          <w:i/>
          <w:lang w:val="fr-FR"/>
        </w:rPr>
        <w:t xml:space="preserve">, E., </w:t>
      </w:r>
      <w:proofErr w:type="spellStart"/>
      <w:r w:rsidRPr="009F73E4">
        <w:rPr>
          <w:i/>
          <w:lang w:val="fr-FR"/>
        </w:rPr>
        <w:t>Joo</w:t>
      </w:r>
      <w:proofErr w:type="spellEnd"/>
      <w:r w:rsidRPr="009F73E4">
        <w:rPr>
          <w:i/>
          <w:lang w:val="fr-FR"/>
        </w:rPr>
        <w:t xml:space="preserve">, R., &amp; Kaplan, D. (2015). </w:t>
      </w:r>
      <w:r>
        <w:rPr>
          <w:i/>
        </w:rPr>
        <w:t xml:space="preserve">Large-Scale Examination of </w:t>
      </w:r>
      <w:proofErr w:type="spellStart"/>
      <w:r>
        <w:rPr>
          <w:i/>
        </w:rPr>
        <w:t>Spatio</w:t>
      </w:r>
      <w:proofErr w:type="spellEnd"/>
      <w:r>
        <w:rPr>
          <w:i/>
        </w:rPr>
        <w:t>-Temporal Patterns of Drifting Fish Aggregating Devices (dFADs) from Tropical Tuna Fisheries of the Indian and Atlantic Oceans. PLOS ONE. 10. e0128023. 10.1371/journal.pone.0128023.</w:t>
      </w:r>
    </w:p>
    <w:p w14:paraId="5B15F109" w14:textId="403CF36E" w:rsidR="00AD39A5" w:rsidRDefault="00AD39A5" w:rsidP="00AD39A5">
      <w:pPr>
        <w:spacing w:after="120"/>
        <w:rPr>
          <w:i/>
        </w:rPr>
      </w:pPr>
      <w:r w:rsidRPr="00AD39A5">
        <w:rPr>
          <w:i/>
        </w:rPr>
        <w:t xml:space="preserve">Medley, P.A.H. </w:t>
      </w:r>
      <w:r>
        <w:rPr>
          <w:i/>
        </w:rPr>
        <w:t>&amp;</w:t>
      </w:r>
      <w:r w:rsidRPr="00AD39A5">
        <w:rPr>
          <w:i/>
        </w:rPr>
        <w:t xml:space="preserve"> Gascoigne, J. </w:t>
      </w:r>
      <w:r>
        <w:rPr>
          <w:i/>
        </w:rPr>
        <w:t>(</w:t>
      </w:r>
      <w:r w:rsidRPr="00AD39A5">
        <w:rPr>
          <w:i/>
        </w:rPr>
        <w:t>2023</w:t>
      </w:r>
      <w:r>
        <w:rPr>
          <w:i/>
        </w:rPr>
        <w:t>)</w:t>
      </w:r>
      <w:r w:rsidRPr="00AD39A5">
        <w:rPr>
          <w:i/>
        </w:rPr>
        <w:t>. An Evaluation of the Sustainability of Global Tuna Stocks Relative to Marine Stewardship Council Criteria</w:t>
      </w:r>
      <w:r>
        <w:rPr>
          <w:i/>
        </w:rPr>
        <w:t xml:space="preserve"> </w:t>
      </w:r>
      <w:r w:rsidRPr="00AD39A5">
        <w:rPr>
          <w:i/>
        </w:rPr>
        <w:t>(Version 10). ISSF Technical Report 2023-02. International Seafood Sustainability Foundation, Pittsburgh, PA, USA</w:t>
      </w:r>
      <w:r>
        <w:rPr>
          <w:i/>
        </w:rPr>
        <w:t>. 429 pp.</w:t>
      </w:r>
    </w:p>
    <w:p w14:paraId="1536E6C4" w14:textId="1B34FE8C" w:rsidR="00804482" w:rsidRPr="005B336A" w:rsidRDefault="00804482" w:rsidP="00AD39A5">
      <w:pPr>
        <w:spacing w:after="120"/>
        <w:rPr>
          <w:i/>
        </w:rPr>
      </w:pPr>
      <w:r w:rsidRPr="005B336A">
        <w:rPr>
          <w:i/>
        </w:rPr>
        <w:t>Merino et al., 2020. Harvest Control Rules for the Indian Ocean Skipjack Fishery. Final Report for- Sustainable Indian Ocean Tuna Initiative, 10 June 2020.</w:t>
      </w:r>
    </w:p>
    <w:p w14:paraId="6B6E6383" w14:textId="4921DF80" w:rsidR="00804482" w:rsidRPr="005B336A" w:rsidRDefault="00804482" w:rsidP="00804482">
      <w:pPr>
        <w:spacing w:after="120"/>
        <w:rPr>
          <w:i/>
        </w:rPr>
      </w:pPr>
      <w:r w:rsidRPr="005B336A">
        <w:rPr>
          <w:i/>
        </w:rPr>
        <w:t>Merino et al., 2022. Study on Options for Integrating Multispecies Catch Limits in Harvest Strategies for Indian Ocean Tropical Tunas. Draft Final Report for- Sustainable Indian Ocean Tuna Initiative 30 April 2022.</w:t>
      </w:r>
    </w:p>
    <w:p w14:paraId="671E11C1" w14:textId="77777777" w:rsidR="009A3D44" w:rsidRPr="005B336A" w:rsidRDefault="00BE1A09">
      <w:pPr>
        <w:spacing w:after="120"/>
        <w:rPr>
          <w:i/>
        </w:rPr>
      </w:pPr>
      <w:r w:rsidRPr="005B336A">
        <w:rPr>
          <w:i/>
        </w:rPr>
        <w:t>MRAG 2023. ISSF Participating Company Compliance. Audit Checklist. Version 2022/3. SAPMER. 25 pp.</w:t>
      </w:r>
    </w:p>
    <w:p w14:paraId="079BFDE5" w14:textId="77777777" w:rsidR="009A3D44" w:rsidRPr="005B336A" w:rsidRDefault="00BE1A09">
      <w:pPr>
        <w:spacing w:after="120"/>
        <w:rPr>
          <w:i/>
          <w:lang w:val="es-ES_tradnl"/>
        </w:rPr>
      </w:pPr>
      <w:r w:rsidRPr="005B336A">
        <w:rPr>
          <w:i/>
        </w:rPr>
        <w:t xml:space="preserve">Nieblas, A-E. 2019. Towards improvement in monitoring, reporting and management of Fish Aggregating Devices in the Indian Ocean Purse Seine Tuna Fishery. </w:t>
      </w:r>
      <w:r w:rsidRPr="005B336A">
        <w:rPr>
          <w:i/>
          <w:lang w:val="es-ES_tradnl"/>
        </w:rPr>
        <w:t>IOTC-2019-WPEB15-37. 26 pp.</w:t>
      </w:r>
    </w:p>
    <w:p w14:paraId="0667F96F" w14:textId="77777777" w:rsidR="009A3D44" w:rsidRPr="005B336A" w:rsidRDefault="00BE1A09">
      <w:pPr>
        <w:spacing w:after="120"/>
        <w:rPr>
          <w:i/>
          <w:lang w:val="fr-FR"/>
        </w:rPr>
      </w:pPr>
      <w:proofErr w:type="spellStart"/>
      <w:r w:rsidRPr="005B336A">
        <w:rPr>
          <w:i/>
          <w:lang w:val="es-ES_tradnl"/>
        </w:rPr>
        <w:t>Onandia</w:t>
      </w:r>
      <w:proofErr w:type="spellEnd"/>
      <w:r w:rsidRPr="005B336A">
        <w:rPr>
          <w:i/>
          <w:lang w:val="es-ES_tradnl"/>
        </w:rPr>
        <w:t xml:space="preserve">, I., M. Grande, J M Galaz, J. Uranga, N. Lezama-Ochoa, J. Murua, J. Ruiz, I. Arregui, H. Murua &amp; J. Santiago (2021). </w:t>
      </w:r>
      <w:r w:rsidRPr="005B336A">
        <w:rPr>
          <w:i/>
        </w:rPr>
        <w:t xml:space="preserve">New assessment on accidentally captured silky shark post-release survival in the Indian Ocean tuna purse seine fishery. </w:t>
      </w:r>
      <w:r w:rsidRPr="005B336A">
        <w:rPr>
          <w:i/>
          <w:lang w:val="fr-FR"/>
        </w:rPr>
        <w:t>IOTC-2021-WPEB17(DP)-13_Rev1.</w:t>
      </w:r>
    </w:p>
    <w:p w14:paraId="5DD8D67D" w14:textId="6693E28F" w:rsidR="009A3D44" w:rsidRPr="005B336A" w:rsidRDefault="00BE1A09">
      <w:pPr>
        <w:spacing w:after="120"/>
        <w:rPr>
          <w:i/>
        </w:rPr>
      </w:pPr>
      <w:r w:rsidRPr="005B336A">
        <w:rPr>
          <w:i/>
          <w:lang w:val="fr-FR"/>
        </w:rPr>
        <w:t xml:space="preserve">Poisson F., Vernet A. L., </w:t>
      </w:r>
      <w:proofErr w:type="spellStart"/>
      <w:r w:rsidRPr="005B336A">
        <w:rPr>
          <w:i/>
          <w:lang w:val="fr-FR"/>
        </w:rPr>
        <w:t>Séret</w:t>
      </w:r>
      <w:proofErr w:type="spellEnd"/>
      <w:r w:rsidRPr="005B336A">
        <w:rPr>
          <w:i/>
          <w:lang w:val="fr-FR"/>
        </w:rPr>
        <w:t xml:space="preserve"> B. &amp; Dagorn L. 2012. </w:t>
      </w:r>
      <w:r w:rsidRPr="005B336A">
        <w:rPr>
          <w:i/>
        </w:rPr>
        <w:t>Good practices to reduce the mortality of sharks and rays caught incidentally by the tropical tuna purse seiners. EU FP7 project #210496 MADE, Deliverable 6.2., 30p</w:t>
      </w:r>
      <w:r w:rsidR="00652289" w:rsidRPr="005B336A">
        <w:rPr>
          <w:i/>
        </w:rPr>
        <w:t>p.</w:t>
      </w:r>
    </w:p>
    <w:p w14:paraId="62A957F8" w14:textId="45CAC2E4" w:rsidR="009A3D44" w:rsidRPr="005B336A" w:rsidRDefault="00BE1A09">
      <w:pPr>
        <w:spacing w:after="120"/>
        <w:rPr>
          <w:i/>
        </w:rPr>
      </w:pPr>
      <w:r w:rsidRPr="005B336A">
        <w:rPr>
          <w:i/>
        </w:rPr>
        <w:t>Poisson, F., Gilman, E., Seret, B. &amp; Fowler, S. 2019. Reviews of bycatch species caught by the SIOTI fleet, codes of practice and other guidance for reducing bycatch mortality. 54 pp.</w:t>
      </w:r>
    </w:p>
    <w:p w14:paraId="15A0A7C7" w14:textId="77777777" w:rsidR="009A3D44" w:rsidRPr="005B336A" w:rsidRDefault="00BE1A09">
      <w:pPr>
        <w:spacing w:after="120"/>
        <w:rPr>
          <w:i/>
        </w:rPr>
      </w:pPr>
      <w:r w:rsidRPr="005B336A">
        <w:rPr>
          <w:i/>
        </w:rPr>
        <w:t>Poseidon (2015).</w:t>
      </w:r>
      <w:r w:rsidRPr="005B336A">
        <w:t xml:space="preserve"> </w:t>
      </w:r>
      <w:r w:rsidRPr="005B336A">
        <w:rPr>
          <w:i/>
        </w:rPr>
        <w:t>Confidential pre-assessment report to the Seychelles Fisheries Authority. Marine Stewardship Council (MSC. Pre-Assessment of the Seychelles flagged tuna purse seine fishery. 128 pp.</w:t>
      </w:r>
    </w:p>
    <w:p w14:paraId="66C9E5EB" w14:textId="77777777" w:rsidR="00652289" w:rsidRPr="005B336A" w:rsidRDefault="00652289" w:rsidP="00652289">
      <w:pPr>
        <w:spacing w:after="120"/>
        <w:rPr>
          <w:i/>
        </w:rPr>
      </w:pPr>
      <w:r w:rsidRPr="005B336A">
        <w:rPr>
          <w:i/>
        </w:rPr>
        <w:t>Poseidon (2023). The Sustainable Indian Ocean Tuna Initiative (SIOTI)’ s action plan. 6-year review. 19 pp.</w:t>
      </w:r>
    </w:p>
    <w:p w14:paraId="4F51393C" w14:textId="77777777" w:rsidR="009A3D44" w:rsidRPr="005B336A" w:rsidRDefault="00BE1A09">
      <w:pPr>
        <w:spacing w:after="120"/>
        <w:rPr>
          <w:i/>
        </w:rPr>
      </w:pPr>
      <w:r w:rsidRPr="005B336A">
        <w:rPr>
          <w:i/>
        </w:rPr>
        <w:t>Preece, A.L., Williams, A. (2022) Consideration of Exceptional Circumstances for the Bigeye Tuna MP 2022. CSIRO, Australia.</w:t>
      </w:r>
    </w:p>
    <w:p w14:paraId="7A0D989F" w14:textId="77777777" w:rsidR="009A3D44" w:rsidRPr="005B336A" w:rsidRDefault="00BE1A09">
      <w:pPr>
        <w:spacing w:after="120"/>
        <w:rPr>
          <w:i/>
        </w:rPr>
      </w:pPr>
      <w:r w:rsidRPr="005B336A">
        <w:rPr>
          <w:i/>
        </w:rPr>
        <w:t>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w:t>
      </w:r>
    </w:p>
    <w:p w14:paraId="76A50631" w14:textId="77777777" w:rsidR="009A3D44" w:rsidRPr="005B336A" w:rsidRDefault="00BE1A09">
      <w:pPr>
        <w:spacing w:after="120"/>
        <w:rPr>
          <w:i/>
        </w:rPr>
      </w:pPr>
      <w:r w:rsidRPr="005B336A">
        <w:rPr>
          <w:i/>
        </w:rPr>
        <w:t>Resolution 12/01 On the implementation of the precautionary approach. 2 pp.</w:t>
      </w:r>
    </w:p>
    <w:p w14:paraId="33EB7E83" w14:textId="77777777" w:rsidR="009A3D44" w:rsidRPr="005B336A" w:rsidRDefault="00BE1A09">
      <w:pPr>
        <w:spacing w:after="120"/>
        <w:rPr>
          <w:i/>
        </w:rPr>
      </w:pPr>
      <w:r w:rsidRPr="005B336A">
        <w:rPr>
          <w:i/>
        </w:rPr>
        <w:t>Resolution 19/01 On an interim plan for rebuilding the Indian Ocean yellowfin tuna stock</w:t>
      </w:r>
      <w:r w:rsidRPr="005B336A">
        <w:t xml:space="preserve"> in the IOTC area of competence. 5 pp.</w:t>
      </w:r>
    </w:p>
    <w:p w14:paraId="6C61330A" w14:textId="77777777" w:rsidR="009A3D44" w:rsidRPr="005B336A" w:rsidRDefault="00BE1A09">
      <w:pPr>
        <w:spacing w:after="120"/>
        <w:rPr>
          <w:i/>
        </w:rPr>
      </w:pPr>
      <w:r w:rsidRPr="005B336A">
        <w:rPr>
          <w:i/>
        </w:rPr>
        <w:t xml:space="preserve">IOTC-2022-S26-PropM&amp;J_Rev1[E]. On an interim plan for rebuilding the </w:t>
      </w:r>
      <w:proofErr w:type="spellStart"/>
      <w:r w:rsidRPr="005B336A">
        <w:rPr>
          <w:i/>
        </w:rPr>
        <w:t>indian</w:t>
      </w:r>
      <w:proofErr w:type="spellEnd"/>
      <w:r w:rsidRPr="005B336A">
        <w:rPr>
          <w:i/>
        </w:rPr>
        <w:t xml:space="preserve"> ocean yellowfin tuna stock in the IOTC area of competence. Submitted by: Maldives. 8 pp.</w:t>
      </w:r>
    </w:p>
    <w:p w14:paraId="67F00376" w14:textId="77777777" w:rsidR="009A3D44" w:rsidRPr="005B336A" w:rsidRDefault="00BE1A09">
      <w:pPr>
        <w:spacing w:after="120"/>
        <w:rPr>
          <w:i/>
        </w:rPr>
      </w:pPr>
      <w:r w:rsidRPr="005B336A">
        <w:rPr>
          <w:i/>
        </w:rPr>
        <w:t>Resolution 15/10 on target and limit reference points and a decision framework. 4 pp.</w:t>
      </w:r>
    </w:p>
    <w:p w14:paraId="7DC1B761" w14:textId="77777777" w:rsidR="009A3D44" w:rsidRPr="005B336A" w:rsidRDefault="00BE1A09">
      <w:pPr>
        <w:spacing w:after="120"/>
        <w:rPr>
          <w:i/>
        </w:rPr>
      </w:pPr>
      <w:r w:rsidRPr="005B336A">
        <w:rPr>
          <w:i/>
        </w:rPr>
        <w:lastRenderedPageBreak/>
        <w:t>Resolution 16/02 on Harvest Control Rules for Skipjack Tuna in the IOTC Area of Competence IOTC Area of Competence. 6 pp.</w:t>
      </w:r>
    </w:p>
    <w:p w14:paraId="0BA50B90" w14:textId="77777777" w:rsidR="009A3D44" w:rsidRDefault="00BE1A09">
      <w:pPr>
        <w:spacing w:after="120"/>
        <w:rPr>
          <w:i/>
        </w:rPr>
      </w:pPr>
      <w:r w:rsidRPr="005B336A">
        <w:rPr>
          <w:i/>
        </w:rPr>
        <w:t>Resolution 21/03 On harvest control rules for skipjack tuna in the IOTC area of competence. 7 pp.</w:t>
      </w:r>
    </w:p>
    <w:p w14:paraId="4AE6152F" w14:textId="3F2005BE" w:rsidR="00874D48" w:rsidRPr="005B336A" w:rsidRDefault="00874D48">
      <w:pPr>
        <w:spacing w:after="120"/>
        <w:rPr>
          <w:i/>
        </w:rPr>
      </w:pPr>
      <w:r w:rsidRPr="00874D48">
        <w:rPr>
          <w:i/>
        </w:rPr>
        <w:t>Resolution 23-04 On establishing catch limits for bigeye tuna in the IOTC area of competence</w:t>
      </w:r>
      <w:r>
        <w:rPr>
          <w:i/>
        </w:rPr>
        <w:t xml:space="preserve">. </w:t>
      </w:r>
      <w:r w:rsidR="003D475F">
        <w:rPr>
          <w:i/>
        </w:rPr>
        <w:t>5 pp.</w:t>
      </w:r>
    </w:p>
    <w:p w14:paraId="55B94896" w14:textId="5798EF95" w:rsidR="009A3D44" w:rsidRPr="005B336A" w:rsidRDefault="00BE1A09">
      <w:pPr>
        <w:spacing w:after="120"/>
        <w:rPr>
          <w:i/>
        </w:rPr>
      </w:pPr>
      <w:r w:rsidRPr="005B336A">
        <w:rPr>
          <w:i/>
        </w:rPr>
        <w:t xml:space="preserve">Ruiz, J., Bach, P., Krug, I., Murua, H., Robinson, J. &amp; Shearlock, C. (2018). SIOTI support for improving information on bycatch for management of the </w:t>
      </w:r>
      <w:r w:rsidR="003D475F" w:rsidRPr="005B336A">
        <w:rPr>
          <w:i/>
        </w:rPr>
        <w:t>Indian Ocean</w:t>
      </w:r>
      <w:r w:rsidRPr="005B336A">
        <w:rPr>
          <w:i/>
        </w:rPr>
        <w:t xml:space="preserve"> purse seine tuna fishery. IOTC–2018–WPEB14–19.</w:t>
      </w:r>
    </w:p>
    <w:p w14:paraId="402281F3" w14:textId="77777777" w:rsidR="009A3D44" w:rsidRPr="00DD3118" w:rsidRDefault="00BE1A09">
      <w:pPr>
        <w:spacing w:after="120"/>
        <w:rPr>
          <w:i/>
          <w:lang w:val="en-GB"/>
        </w:rPr>
      </w:pPr>
      <w:r w:rsidRPr="005B336A">
        <w:rPr>
          <w:i/>
        </w:rPr>
        <w:t xml:space="preserve">Ruiz, J., Abascal, F.J., Bach, P., Baez, J.C., </w:t>
      </w:r>
      <w:proofErr w:type="spellStart"/>
      <w:r w:rsidRPr="005B336A">
        <w:rPr>
          <w:i/>
        </w:rPr>
        <w:t>Cauquil</w:t>
      </w:r>
      <w:proofErr w:type="spellEnd"/>
      <w:r w:rsidRPr="005B336A">
        <w:rPr>
          <w:i/>
        </w:rPr>
        <w:t xml:space="preserve">, P. et al., (2018). Bycatch of the European, and associated flag, purse-seine tuna fishery in the Indian Ocean for the period 2008-2017. </w:t>
      </w:r>
      <w:r w:rsidRPr="00DD3118">
        <w:rPr>
          <w:i/>
          <w:lang w:val="en-GB"/>
        </w:rPr>
        <w:t>IOTC-2018-WPEB14-15.</w:t>
      </w:r>
    </w:p>
    <w:p w14:paraId="07BAF61A" w14:textId="6660B1C3" w:rsidR="00804482" w:rsidRPr="005B336A" w:rsidRDefault="00804482" w:rsidP="00804482">
      <w:pPr>
        <w:spacing w:after="120"/>
        <w:rPr>
          <w:i/>
          <w:lang w:val="en-GB"/>
        </w:rPr>
      </w:pPr>
      <w:r w:rsidRPr="005B336A">
        <w:rPr>
          <w:i/>
          <w:lang w:val="en-GB"/>
        </w:rPr>
        <w:t xml:space="preserve">Sauer, W. </w:t>
      </w:r>
      <w:r w:rsidR="00252F38" w:rsidRPr="005B336A">
        <w:rPr>
          <w:i/>
          <w:lang w:val="en-GB"/>
        </w:rPr>
        <w:t>&amp;</w:t>
      </w:r>
      <w:r w:rsidRPr="005B336A">
        <w:rPr>
          <w:i/>
          <w:lang w:val="en-GB"/>
        </w:rPr>
        <w:t xml:space="preserve"> Bova, C. 2022. A Review of The Options </w:t>
      </w:r>
      <w:proofErr w:type="gramStart"/>
      <w:r w:rsidRPr="005B336A">
        <w:rPr>
          <w:i/>
          <w:lang w:val="en-GB"/>
        </w:rPr>
        <w:t>For</w:t>
      </w:r>
      <w:proofErr w:type="gramEnd"/>
      <w:r w:rsidRPr="005B336A">
        <w:rPr>
          <w:i/>
          <w:lang w:val="en-GB"/>
        </w:rPr>
        <w:t xml:space="preserve"> Harvest Control Tools For Indian Ocean Tuna Fisheries And Recommendations For Consideration By </w:t>
      </w:r>
      <w:proofErr w:type="spellStart"/>
      <w:r w:rsidRPr="005B336A">
        <w:rPr>
          <w:i/>
          <w:lang w:val="en-GB"/>
        </w:rPr>
        <w:t>Sioti</w:t>
      </w:r>
      <w:proofErr w:type="spellEnd"/>
      <w:r w:rsidRPr="005B336A">
        <w:rPr>
          <w:i/>
          <w:lang w:val="en-GB"/>
        </w:rPr>
        <w:t xml:space="preserve">. Prepared For the Sustainable Indian Ocean Tuna Initiative Fishery Improvement Programme. Final Report – 20th June 2022. </w:t>
      </w:r>
    </w:p>
    <w:p w14:paraId="06E030DB" w14:textId="35CCAAA3" w:rsidR="009A3D44" w:rsidRPr="0098534E" w:rsidRDefault="00BE1A09" w:rsidP="00804482">
      <w:pPr>
        <w:spacing w:after="120"/>
        <w:rPr>
          <w:i/>
          <w:lang w:val="es-ES_tradnl"/>
        </w:rPr>
      </w:pPr>
      <w:r w:rsidRPr="005B336A">
        <w:rPr>
          <w:i/>
          <w:lang w:val="en-GB"/>
        </w:rPr>
        <w:t xml:space="preserve">Scarcella, G. &amp; Ríos, J. (2022). </w:t>
      </w:r>
      <w:r w:rsidRPr="00DD3118">
        <w:rPr>
          <w:i/>
          <w:lang w:val="en-GB"/>
        </w:rPr>
        <w:t xml:space="preserve">Echebastar Indian Ocean Skipjack Tuna Purse Seine. </w:t>
      </w:r>
      <w:r w:rsidRPr="005B336A">
        <w:rPr>
          <w:i/>
        </w:rPr>
        <w:t xml:space="preserve">Third Surveillance Report. Prepared by Bureau Veritas. </w:t>
      </w:r>
      <w:proofErr w:type="spellStart"/>
      <w:r w:rsidRPr="0098534E">
        <w:rPr>
          <w:i/>
          <w:lang w:val="es-ES_tradnl"/>
        </w:rPr>
        <w:t>October</w:t>
      </w:r>
      <w:proofErr w:type="spellEnd"/>
      <w:r w:rsidRPr="0098534E">
        <w:rPr>
          <w:i/>
          <w:lang w:val="es-ES_tradnl"/>
        </w:rPr>
        <w:t xml:space="preserve"> 2022. 106 pp.</w:t>
      </w:r>
    </w:p>
    <w:p w14:paraId="61BEF269" w14:textId="77777777" w:rsidR="009A3D44" w:rsidRPr="005B336A" w:rsidRDefault="00BE1A09">
      <w:pPr>
        <w:spacing w:after="120"/>
        <w:rPr>
          <w:i/>
        </w:rPr>
      </w:pPr>
      <w:proofErr w:type="spellStart"/>
      <w:r w:rsidRPr="0098534E">
        <w:rPr>
          <w:i/>
          <w:lang w:val="es-ES_tradnl"/>
        </w:rPr>
        <w:t>Scarcella</w:t>
      </w:r>
      <w:proofErr w:type="spellEnd"/>
      <w:r w:rsidRPr="0098534E">
        <w:rPr>
          <w:i/>
          <w:lang w:val="es-ES_tradnl"/>
        </w:rPr>
        <w:t xml:space="preserve">, G., Ambrosio, L., Solé, D. &amp; Ríos, J. (2023). </w:t>
      </w:r>
      <w:r w:rsidRPr="005B336A">
        <w:rPr>
          <w:i/>
        </w:rPr>
        <w:t>ANABAC Indian Ocean purse seine skipjack tuna fishery. Public Comment Draft Report. Prepared by Bureau Veritas Certification Holding SAS. June 2023. 309 pp.</w:t>
      </w:r>
    </w:p>
    <w:p w14:paraId="75669077" w14:textId="77777777" w:rsidR="009A3D44" w:rsidRPr="005B336A" w:rsidRDefault="00BE1A09">
      <w:pPr>
        <w:spacing w:after="120"/>
        <w:rPr>
          <w:i/>
        </w:rPr>
      </w:pPr>
      <w:r w:rsidRPr="005B336A">
        <w:rPr>
          <w:i/>
        </w:rPr>
        <w:t xml:space="preserve">Sieben, C. &amp; des </w:t>
      </w:r>
      <w:proofErr w:type="spellStart"/>
      <w:r w:rsidRPr="005B336A">
        <w:rPr>
          <w:i/>
        </w:rPr>
        <w:t>Clers</w:t>
      </w:r>
      <w:proofErr w:type="spellEnd"/>
      <w:r w:rsidRPr="005B336A">
        <w:rPr>
          <w:i/>
        </w:rPr>
        <w:t>, S. (2023).</w:t>
      </w:r>
      <w:r w:rsidRPr="005B336A">
        <w:t xml:space="preserve"> CFTO and SAPMER Indian Ocean Purse Seine Skipjack fishery Scope extension for the addition of SAPMER GROUP vessels and new fishing areas. </w:t>
      </w:r>
      <w:r w:rsidRPr="005B336A">
        <w:rPr>
          <w:lang w:val="fr-FR"/>
        </w:rPr>
        <w:t xml:space="preserve">Annoncement Comment Draft Report. </w:t>
      </w:r>
      <w:r w:rsidRPr="005B336A">
        <w:rPr>
          <w:i/>
          <w:lang w:val="fr-FR"/>
        </w:rPr>
        <w:t xml:space="preserve">Compagnie Française du Thon Océanique S.A.S. (CFTO) and SAPMER SA. </w:t>
      </w:r>
      <w:r w:rsidRPr="005B336A">
        <w:rPr>
          <w:i/>
        </w:rPr>
        <w:t>Prepared by Control Union (UK) Limited. May 2023. 208 pp.</w:t>
      </w:r>
    </w:p>
    <w:p w14:paraId="7AC11BC4" w14:textId="77777777" w:rsidR="009A3D44" w:rsidRPr="005B336A" w:rsidRDefault="00BE1A09">
      <w:pPr>
        <w:spacing w:after="120"/>
        <w:rPr>
          <w:i/>
        </w:rPr>
      </w:pPr>
      <w:r w:rsidRPr="005B336A">
        <w:rPr>
          <w:i/>
        </w:rPr>
        <w:t xml:space="preserve">Sieben, C., des </w:t>
      </w:r>
      <w:proofErr w:type="spellStart"/>
      <w:r w:rsidRPr="005B336A">
        <w:rPr>
          <w:i/>
        </w:rPr>
        <w:t>Clers</w:t>
      </w:r>
      <w:proofErr w:type="spellEnd"/>
      <w:r w:rsidRPr="005B336A">
        <w:rPr>
          <w:i/>
        </w:rPr>
        <w:t xml:space="preserve">, S. &amp; McLoughlin, K. (2023). CFTO Indian Ocean Purse Seine Skipjack fishery. Compagnie Française du Thon </w:t>
      </w:r>
      <w:proofErr w:type="spellStart"/>
      <w:r w:rsidRPr="005B336A">
        <w:rPr>
          <w:i/>
        </w:rPr>
        <w:t>Océanique</w:t>
      </w:r>
      <w:proofErr w:type="spellEnd"/>
      <w:r w:rsidRPr="005B336A">
        <w:rPr>
          <w:i/>
        </w:rPr>
        <w:t xml:space="preserve"> S.A.S. (CFTO). Prepared by Control Union (UK) Limited. January 2023. 105 pp.</w:t>
      </w:r>
    </w:p>
    <w:p w14:paraId="5D5315D4" w14:textId="77777777" w:rsidR="009A3D44" w:rsidRPr="005B336A" w:rsidRDefault="00BE1A09">
      <w:pPr>
        <w:spacing w:after="120"/>
        <w:rPr>
          <w:i/>
        </w:rPr>
      </w:pPr>
      <w:r w:rsidRPr="005B336A">
        <w:rPr>
          <w:i/>
        </w:rPr>
        <w:t>SIOTI 2020. Position Paper for the 24th Session of the IOTC. IOTC-2020-S24-INF09. 3 pp.</w:t>
      </w:r>
    </w:p>
    <w:p w14:paraId="577947F2" w14:textId="77777777" w:rsidR="009A3D44" w:rsidRPr="005B336A" w:rsidRDefault="00BE1A09">
      <w:pPr>
        <w:spacing w:after="120"/>
        <w:rPr>
          <w:i/>
        </w:rPr>
      </w:pPr>
      <w:r w:rsidRPr="005B336A">
        <w:rPr>
          <w:i/>
        </w:rPr>
        <w:t>SIOTI (2021).  SIOTI Member fleets - Code for Responsible Tropical Tuna Purse Seine Fisheries. February 2021. 10 pp.</w:t>
      </w:r>
    </w:p>
    <w:p w14:paraId="62C9F843" w14:textId="77777777" w:rsidR="009A3D44" w:rsidRPr="005B336A" w:rsidRDefault="00BE1A09">
      <w:pPr>
        <w:spacing w:after="120"/>
        <w:rPr>
          <w:i/>
        </w:rPr>
      </w:pPr>
      <w:r w:rsidRPr="005B336A">
        <w:rPr>
          <w:i/>
        </w:rPr>
        <w:t>Swan, J. (2019). Draft Act and Regulations - Legal Assistance to Seychelles to Transpose IOTC Resolutions into Domestic Fisheries Legal Instruments. Report to SWIOFish Regional &amp; SWIOFish2. 243 pp.</w:t>
      </w:r>
    </w:p>
    <w:p w14:paraId="79460B03" w14:textId="77777777" w:rsidR="009A3D44" w:rsidRPr="005B336A" w:rsidRDefault="00BE1A09">
      <w:pPr>
        <w:spacing w:after="120"/>
        <w:rPr>
          <w:i/>
        </w:rPr>
      </w:pPr>
      <w:proofErr w:type="spellStart"/>
      <w:r w:rsidRPr="005B336A">
        <w:rPr>
          <w:i/>
        </w:rPr>
        <w:t>Urtizberea</w:t>
      </w:r>
      <w:proofErr w:type="spellEnd"/>
      <w:r w:rsidRPr="005B336A">
        <w:rPr>
          <w:i/>
        </w:rPr>
        <w:t>, A., Fu, D., Schirripa, M., Methot, R., Cardinale, M., Hoyle, S., Merino, G. (2021). Indian Ocean Yellowfin Tuna SS3 Model Projections. IOTC–2021–SC24-INF08.</w:t>
      </w:r>
    </w:p>
    <w:p w14:paraId="0F2168C8" w14:textId="77777777" w:rsidR="009A3D44" w:rsidRDefault="00BE1A09">
      <w:pPr>
        <w:spacing w:after="120"/>
        <w:rPr>
          <w:i/>
        </w:rPr>
      </w:pPr>
      <w:proofErr w:type="spellStart"/>
      <w:r w:rsidRPr="005B336A">
        <w:rPr>
          <w:i/>
          <w:lang w:val="fr-FR"/>
        </w:rPr>
        <w:t>Zudaire</w:t>
      </w:r>
      <w:proofErr w:type="spellEnd"/>
      <w:r w:rsidRPr="005B336A">
        <w:rPr>
          <w:i/>
          <w:lang w:val="fr-FR"/>
        </w:rPr>
        <w:t xml:space="preserve">, I., Santiago, J., Grande, M., Murua, H., Adam, P-A, </w:t>
      </w:r>
      <w:proofErr w:type="spellStart"/>
      <w:r w:rsidRPr="005B336A">
        <w:rPr>
          <w:i/>
          <w:lang w:val="fr-FR"/>
        </w:rPr>
        <w:t>Nogués</w:t>
      </w:r>
      <w:proofErr w:type="spellEnd"/>
      <w:r w:rsidRPr="005B336A">
        <w:rPr>
          <w:i/>
          <w:lang w:val="fr-FR"/>
        </w:rPr>
        <w:t xml:space="preserve">, P., Collier, T., Morgan, M. et al., (2018). </w:t>
      </w:r>
      <w:r w:rsidRPr="005B336A">
        <w:rPr>
          <w:i/>
        </w:rPr>
        <w:t>FAD Watch: a collaborative initiative to minimize the impact of FADs in coastal ecosystems. IOTC-2018-WPEB14-12.</w:t>
      </w:r>
    </w:p>
    <w:p w14:paraId="0FBD6958" w14:textId="77777777" w:rsidR="009A3D44" w:rsidRDefault="00BE1A09">
      <w:pPr>
        <w:rPr>
          <w:i/>
        </w:rPr>
      </w:pPr>
      <w:r>
        <w:br w:type="page"/>
      </w:r>
    </w:p>
    <w:p w14:paraId="707F20A5" w14:textId="77777777" w:rsidR="009A3D44" w:rsidRPr="00652289" w:rsidRDefault="00BE1A09" w:rsidP="00652289">
      <w:pPr>
        <w:pStyle w:val="Heading2"/>
        <w:spacing w:after="120"/>
        <w:rPr>
          <w:rFonts w:ascii="Times New Roman" w:eastAsia="Times New Roman" w:hAnsi="Times New Roman" w:cs="Times New Roman"/>
          <w:sz w:val="32"/>
          <w:szCs w:val="32"/>
        </w:rPr>
      </w:pPr>
      <w:r w:rsidRPr="00652289">
        <w:rPr>
          <w:rFonts w:ascii="Times New Roman" w:eastAsia="Times New Roman" w:hAnsi="Times New Roman" w:cs="Times New Roman"/>
          <w:sz w:val="32"/>
          <w:szCs w:val="32"/>
        </w:rPr>
        <w:lastRenderedPageBreak/>
        <w:t>Annex 1: Supporting tables and figures.</w:t>
      </w:r>
    </w:p>
    <w:p w14:paraId="58144550" w14:textId="77777777" w:rsidR="009A3D44" w:rsidRDefault="00BE1A09">
      <w:pPr>
        <w:spacing w:after="120"/>
        <w:rPr>
          <w:i/>
          <w:u w:val="single"/>
        </w:rPr>
      </w:pPr>
      <w:r>
        <w:rPr>
          <w:i/>
          <w:u w:val="single"/>
        </w:rPr>
        <w:t>Stock status target species</w:t>
      </w:r>
    </w:p>
    <w:p w14:paraId="1CB3F325" w14:textId="77777777" w:rsidR="009A3D44" w:rsidRDefault="00BE1A09">
      <w:pPr>
        <w:spacing w:after="120"/>
        <w:rPr>
          <w:b/>
          <w:i/>
        </w:rPr>
      </w:pPr>
      <w:r>
        <w:rPr>
          <w:b/>
          <w:i/>
        </w:rPr>
        <w:t>Skipjack tuna (SKJ)</w:t>
      </w:r>
    </w:p>
    <w:p w14:paraId="3E838731" w14:textId="77777777" w:rsidR="009A3D44" w:rsidRDefault="00BE1A09">
      <w:pPr>
        <w:keepNext/>
        <w:spacing w:after="120"/>
        <w:jc w:val="center"/>
      </w:pPr>
      <w:r>
        <w:rPr>
          <w:i/>
          <w:noProof/>
        </w:rPr>
        <w:drawing>
          <wp:inline distT="0" distB="0" distL="0" distR="0" wp14:anchorId="07C97BB5" wp14:editId="2121DB97">
            <wp:extent cx="5800725" cy="5057775"/>
            <wp:effectExtent l="0" t="0" r="9525" b="9525"/>
            <wp:docPr id="2" name="image4.jpg" descr="A picture containing text, electronics, screenshot,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text, electronics, screenshot, computer&#10;&#10;Description automatically generated"/>
                    <pic:cNvPicPr preferRelativeResize="0"/>
                  </pic:nvPicPr>
                  <pic:blipFill>
                    <a:blip r:embed="rId8"/>
                    <a:srcRect/>
                    <a:stretch>
                      <a:fillRect/>
                    </a:stretch>
                  </pic:blipFill>
                  <pic:spPr>
                    <a:xfrm>
                      <a:off x="0" y="0"/>
                      <a:ext cx="5801199" cy="5058188"/>
                    </a:xfrm>
                    <a:prstGeom prst="rect">
                      <a:avLst/>
                    </a:prstGeom>
                    <a:ln/>
                  </pic:spPr>
                </pic:pic>
              </a:graphicData>
            </a:graphic>
          </wp:inline>
        </w:drawing>
      </w:r>
    </w:p>
    <w:p w14:paraId="56E637D8" w14:textId="77777777" w:rsidR="009A3D44" w:rsidRDefault="00BE1A09">
      <w:pPr>
        <w:keepNext/>
        <w:pBdr>
          <w:top w:val="nil"/>
          <w:left w:val="nil"/>
          <w:bottom w:val="nil"/>
          <w:right w:val="nil"/>
          <w:between w:val="nil"/>
        </w:pBdr>
        <w:spacing w:before="120" w:after="120"/>
        <w:jc w:val="center"/>
        <w:rPr>
          <w:rFonts w:ascii="Arial" w:eastAsia="Arial" w:hAnsi="Arial" w:cs="Arial"/>
          <w:b/>
          <w:i/>
          <w:color w:val="808080"/>
          <w:sz w:val="18"/>
          <w:szCs w:val="18"/>
        </w:rPr>
      </w:pPr>
      <w:r>
        <w:rPr>
          <w:rFonts w:ascii="Arial" w:eastAsia="Arial" w:hAnsi="Arial" w:cs="Arial"/>
          <w:b/>
          <w:color w:val="808080"/>
          <w:sz w:val="18"/>
          <w:szCs w:val="18"/>
        </w:rPr>
        <w:t>Figure 1 Status of skipjack tuna in the Indian Ocean and Probability of stock status with respect to each of four quadrants of the Kobe plot (Source: adapted from IOTC 2022b)</w:t>
      </w:r>
    </w:p>
    <w:p w14:paraId="58F93987" w14:textId="77777777" w:rsidR="009A3D44" w:rsidRDefault="00BE1A09">
      <w:pPr>
        <w:rPr>
          <w:b/>
          <w:i/>
        </w:rPr>
      </w:pPr>
      <w:r>
        <w:br w:type="page"/>
      </w:r>
    </w:p>
    <w:p w14:paraId="6C20C4A2" w14:textId="77777777" w:rsidR="009A3D44" w:rsidRDefault="00BE1A09">
      <w:pPr>
        <w:spacing w:after="120"/>
        <w:rPr>
          <w:b/>
          <w:i/>
        </w:rPr>
      </w:pPr>
      <w:r>
        <w:rPr>
          <w:b/>
          <w:i/>
        </w:rPr>
        <w:lastRenderedPageBreak/>
        <w:t>Yellowfin tuna (YFT)</w:t>
      </w:r>
    </w:p>
    <w:p w14:paraId="40247DD4" w14:textId="77777777" w:rsidR="009A3D44" w:rsidRDefault="00BE1A09">
      <w:pPr>
        <w:keepNext/>
        <w:spacing w:after="120"/>
        <w:jc w:val="center"/>
      </w:pPr>
      <w:r>
        <w:rPr>
          <w:noProof/>
        </w:rPr>
        <w:drawing>
          <wp:inline distT="0" distB="0" distL="0" distR="0" wp14:anchorId="0247B579" wp14:editId="2D0A9489">
            <wp:extent cx="6238875" cy="3943350"/>
            <wp:effectExtent l="0" t="0" r="9525" b="0"/>
            <wp:docPr id="4" name="image1.jpg" descr="A picture containing text, electronics, screenshot, soft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electronics, screenshot, software&#10;&#10;Description automatically generated"/>
                    <pic:cNvPicPr preferRelativeResize="0"/>
                  </pic:nvPicPr>
                  <pic:blipFill>
                    <a:blip r:embed="rId9"/>
                    <a:srcRect/>
                    <a:stretch>
                      <a:fillRect/>
                    </a:stretch>
                  </pic:blipFill>
                  <pic:spPr>
                    <a:xfrm>
                      <a:off x="0" y="0"/>
                      <a:ext cx="6239331" cy="3943638"/>
                    </a:xfrm>
                    <a:prstGeom prst="rect">
                      <a:avLst/>
                    </a:prstGeom>
                    <a:ln/>
                  </pic:spPr>
                </pic:pic>
              </a:graphicData>
            </a:graphic>
          </wp:inline>
        </w:drawing>
      </w:r>
    </w:p>
    <w:p w14:paraId="52FBF4F9" w14:textId="77777777" w:rsidR="009A3D44" w:rsidRDefault="00BE1A09">
      <w:pPr>
        <w:keepNext/>
        <w:pBdr>
          <w:top w:val="nil"/>
          <w:left w:val="nil"/>
          <w:bottom w:val="nil"/>
          <w:right w:val="nil"/>
          <w:between w:val="nil"/>
        </w:pBdr>
        <w:spacing w:before="120" w:after="120"/>
        <w:jc w:val="center"/>
        <w:rPr>
          <w:rFonts w:ascii="Arial" w:eastAsia="Arial" w:hAnsi="Arial" w:cs="Arial"/>
          <w:b/>
          <w:i/>
          <w:color w:val="808080"/>
          <w:sz w:val="18"/>
          <w:szCs w:val="18"/>
        </w:rPr>
      </w:pPr>
      <w:r>
        <w:rPr>
          <w:rFonts w:ascii="Arial" w:eastAsia="Arial" w:hAnsi="Arial" w:cs="Arial"/>
          <w:b/>
          <w:color w:val="808080"/>
          <w:sz w:val="18"/>
          <w:szCs w:val="18"/>
        </w:rPr>
        <w:t>Figure 2 Status of yellowfin tuna in the Indian Ocean and Probability of stock status with respect to each of four quadrants of the Kobe plot (Source: adapted from IOTC 2022c)</w:t>
      </w:r>
    </w:p>
    <w:p w14:paraId="26F1CED3" w14:textId="77777777" w:rsidR="009A3D44" w:rsidRDefault="009A3D44">
      <w:pPr>
        <w:spacing w:after="120"/>
        <w:rPr>
          <w:b/>
          <w:i/>
        </w:rPr>
      </w:pPr>
    </w:p>
    <w:p w14:paraId="25982A61" w14:textId="77777777" w:rsidR="009A3D44" w:rsidRDefault="00BE1A09">
      <w:pPr>
        <w:keepNext/>
        <w:jc w:val="center"/>
      </w:pPr>
      <w:r>
        <w:br w:type="page"/>
      </w:r>
      <w:r>
        <w:rPr>
          <w:b/>
          <w:i/>
          <w:noProof/>
        </w:rPr>
        <w:lastRenderedPageBreak/>
        <w:drawing>
          <wp:inline distT="0" distB="0" distL="0" distR="0" wp14:anchorId="504161F6" wp14:editId="43BD9610">
            <wp:extent cx="5467350" cy="5238750"/>
            <wp:effectExtent l="0" t="0" r="0" b="0"/>
            <wp:docPr id="3" name="image5.jpg" descr="A picture containing text, screenshot, line, plo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icture containing text, screenshot, line, plot&#10;&#10;Description automatically generated"/>
                    <pic:cNvPicPr preferRelativeResize="0"/>
                  </pic:nvPicPr>
                  <pic:blipFill>
                    <a:blip r:embed="rId10"/>
                    <a:srcRect/>
                    <a:stretch>
                      <a:fillRect/>
                    </a:stretch>
                  </pic:blipFill>
                  <pic:spPr>
                    <a:xfrm>
                      <a:off x="0" y="0"/>
                      <a:ext cx="5467350" cy="5238750"/>
                    </a:xfrm>
                    <a:prstGeom prst="rect">
                      <a:avLst/>
                    </a:prstGeom>
                    <a:ln/>
                  </pic:spPr>
                </pic:pic>
              </a:graphicData>
            </a:graphic>
          </wp:inline>
        </w:drawing>
      </w:r>
    </w:p>
    <w:p w14:paraId="599E87C7" w14:textId="77777777" w:rsidR="009A3D44" w:rsidRDefault="00BE1A09">
      <w:pPr>
        <w:keepNext/>
        <w:pBdr>
          <w:top w:val="nil"/>
          <w:left w:val="nil"/>
          <w:bottom w:val="nil"/>
          <w:right w:val="nil"/>
          <w:between w:val="nil"/>
        </w:pBdr>
        <w:spacing w:before="120" w:after="120"/>
        <w:jc w:val="center"/>
        <w:rPr>
          <w:rFonts w:ascii="Arial" w:eastAsia="Arial" w:hAnsi="Arial" w:cs="Arial"/>
          <w:i/>
          <w:color w:val="808080"/>
          <w:sz w:val="18"/>
          <w:szCs w:val="18"/>
        </w:rPr>
      </w:pPr>
      <w:r>
        <w:rPr>
          <w:rFonts w:ascii="Arial" w:eastAsia="Arial" w:hAnsi="Arial" w:cs="Arial"/>
          <w:b/>
          <w:color w:val="808080"/>
          <w:sz w:val="18"/>
          <w:szCs w:val="18"/>
        </w:rPr>
        <w:t>Figure 3 Average trajectories of relative biomass (SSB/</w:t>
      </w:r>
      <w:proofErr w:type="spellStart"/>
      <w:r>
        <w:rPr>
          <w:rFonts w:ascii="Arial" w:eastAsia="Arial" w:hAnsi="Arial" w:cs="Arial"/>
          <w:b/>
          <w:color w:val="808080"/>
          <w:sz w:val="18"/>
          <w:szCs w:val="18"/>
        </w:rPr>
        <w:t>SSBmsy</w:t>
      </w:r>
      <w:proofErr w:type="spellEnd"/>
      <w:r>
        <w:rPr>
          <w:rFonts w:ascii="Arial" w:eastAsia="Arial" w:hAnsi="Arial" w:cs="Arial"/>
          <w:b/>
          <w:color w:val="808080"/>
          <w:sz w:val="18"/>
          <w:szCs w:val="18"/>
        </w:rPr>
        <w:t>) and fishing mortality (F/</w:t>
      </w:r>
      <w:proofErr w:type="spellStart"/>
      <w:r>
        <w:rPr>
          <w:rFonts w:ascii="Arial" w:eastAsia="Arial" w:hAnsi="Arial" w:cs="Arial"/>
          <w:b/>
          <w:color w:val="808080"/>
          <w:sz w:val="18"/>
          <w:szCs w:val="18"/>
        </w:rPr>
        <w:t>Fmsy</w:t>
      </w:r>
      <w:proofErr w:type="spellEnd"/>
      <w:r>
        <w:rPr>
          <w:rFonts w:ascii="Arial" w:eastAsia="Arial" w:hAnsi="Arial" w:cs="Arial"/>
          <w:b/>
          <w:color w:val="808080"/>
          <w:sz w:val="18"/>
          <w:szCs w:val="18"/>
        </w:rPr>
        <w:t xml:space="preserve">) for yellowfin tuna (Source: </w:t>
      </w:r>
      <w:proofErr w:type="spellStart"/>
      <w:r>
        <w:rPr>
          <w:rFonts w:ascii="Arial" w:eastAsia="Arial" w:hAnsi="Arial" w:cs="Arial"/>
          <w:b/>
          <w:color w:val="808080"/>
          <w:sz w:val="18"/>
          <w:szCs w:val="18"/>
        </w:rPr>
        <w:t>Urtizberea</w:t>
      </w:r>
      <w:proofErr w:type="spellEnd"/>
      <w:r>
        <w:rPr>
          <w:rFonts w:ascii="Arial" w:eastAsia="Arial" w:hAnsi="Arial" w:cs="Arial"/>
          <w:b/>
          <w:color w:val="808080"/>
          <w:sz w:val="18"/>
          <w:szCs w:val="18"/>
        </w:rPr>
        <w:t xml:space="preserve"> et al., 2021)</w:t>
      </w:r>
    </w:p>
    <w:p w14:paraId="430A53B4" w14:textId="77777777" w:rsidR="00652289" w:rsidRDefault="00652289">
      <w:pPr>
        <w:rPr>
          <w:b/>
          <w:i/>
        </w:rPr>
      </w:pPr>
      <w:r>
        <w:rPr>
          <w:b/>
          <w:i/>
        </w:rPr>
        <w:br w:type="page"/>
      </w:r>
    </w:p>
    <w:p w14:paraId="31CBD481" w14:textId="5B32B303" w:rsidR="009A3D44" w:rsidRDefault="00BE1A09">
      <w:pPr>
        <w:tabs>
          <w:tab w:val="left" w:pos="2410"/>
        </w:tabs>
        <w:spacing w:after="120"/>
        <w:rPr>
          <w:b/>
          <w:i/>
        </w:rPr>
      </w:pPr>
      <w:r>
        <w:rPr>
          <w:b/>
          <w:i/>
        </w:rPr>
        <w:lastRenderedPageBreak/>
        <w:t>Bigeye tuna (BET)</w:t>
      </w:r>
      <w:r>
        <w:rPr>
          <w:b/>
          <w:i/>
        </w:rPr>
        <w:tab/>
      </w:r>
    </w:p>
    <w:p w14:paraId="73A43253" w14:textId="77777777" w:rsidR="009A3D44" w:rsidRDefault="00BE1A09">
      <w:pPr>
        <w:keepNext/>
        <w:tabs>
          <w:tab w:val="left" w:pos="2410"/>
        </w:tabs>
        <w:spacing w:after="120"/>
        <w:jc w:val="center"/>
      </w:pPr>
      <w:r>
        <w:rPr>
          <w:b/>
          <w:i/>
          <w:noProof/>
        </w:rPr>
        <w:drawing>
          <wp:inline distT="0" distB="0" distL="0" distR="0" wp14:anchorId="05CA3536" wp14:editId="2DDA9BCA">
            <wp:extent cx="6762750" cy="3933825"/>
            <wp:effectExtent l="0" t="0" r="0" b="9525"/>
            <wp:docPr id="6" name="image2.jpg" descr="A picture containing text, screenshot, number, fon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screenshot, number, font&#10;&#10;Description automatically generated"/>
                    <pic:cNvPicPr preferRelativeResize="0"/>
                  </pic:nvPicPr>
                  <pic:blipFill>
                    <a:blip r:embed="rId11"/>
                    <a:srcRect/>
                    <a:stretch>
                      <a:fillRect/>
                    </a:stretch>
                  </pic:blipFill>
                  <pic:spPr>
                    <a:xfrm>
                      <a:off x="0" y="0"/>
                      <a:ext cx="6763317" cy="3934155"/>
                    </a:xfrm>
                    <a:prstGeom prst="rect">
                      <a:avLst/>
                    </a:prstGeom>
                    <a:ln/>
                  </pic:spPr>
                </pic:pic>
              </a:graphicData>
            </a:graphic>
          </wp:inline>
        </w:drawing>
      </w:r>
    </w:p>
    <w:p w14:paraId="7D2B95B5" w14:textId="224B03A5" w:rsidR="009A3D44" w:rsidRDefault="00BE1A09">
      <w:pPr>
        <w:keepNext/>
        <w:pBdr>
          <w:top w:val="nil"/>
          <w:left w:val="nil"/>
          <w:bottom w:val="nil"/>
          <w:right w:val="nil"/>
          <w:between w:val="nil"/>
        </w:pBdr>
        <w:spacing w:before="120" w:after="120"/>
        <w:jc w:val="center"/>
        <w:rPr>
          <w:rFonts w:ascii="Arial" w:eastAsia="Arial" w:hAnsi="Arial" w:cs="Arial"/>
          <w:b/>
          <w:color w:val="808080"/>
          <w:sz w:val="18"/>
          <w:szCs w:val="18"/>
        </w:rPr>
      </w:pPr>
      <w:r>
        <w:rPr>
          <w:rFonts w:ascii="Arial" w:eastAsia="Arial" w:hAnsi="Arial" w:cs="Arial"/>
          <w:b/>
          <w:color w:val="808080"/>
          <w:sz w:val="18"/>
          <w:szCs w:val="18"/>
        </w:rPr>
        <w:t xml:space="preserve">Figure 4 Status of bigeye tuna in the Indian Ocean and Probability of stock status with respect to each of four quadrants of the Kobe plot (Source: </w:t>
      </w:r>
      <w:r w:rsidR="00E11A32">
        <w:rPr>
          <w:rFonts w:ascii="Arial" w:eastAsia="Arial" w:hAnsi="Arial" w:cs="Arial"/>
          <w:b/>
          <w:color w:val="808080"/>
          <w:sz w:val="18"/>
          <w:szCs w:val="18"/>
        </w:rPr>
        <w:t xml:space="preserve">adapted from </w:t>
      </w:r>
      <w:r>
        <w:rPr>
          <w:rFonts w:ascii="Arial" w:eastAsia="Arial" w:hAnsi="Arial" w:cs="Arial"/>
          <w:b/>
          <w:color w:val="808080"/>
          <w:sz w:val="18"/>
          <w:szCs w:val="18"/>
        </w:rPr>
        <w:t>IOTC 2022a)</w:t>
      </w:r>
    </w:p>
    <w:p w14:paraId="12CB86B6" w14:textId="77777777" w:rsidR="00EA5513" w:rsidRDefault="00EA5513">
      <w:pPr>
        <w:keepNext/>
        <w:pBdr>
          <w:top w:val="nil"/>
          <w:left w:val="nil"/>
          <w:bottom w:val="nil"/>
          <w:right w:val="nil"/>
          <w:between w:val="nil"/>
        </w:pBdr>
        <w:spacing w:before="120" w:after="120"/>
        <w:jc w:val="center"/>
        <w:rPr>
          <w:rFonts w:ascii="Arial" w:eastAsia="Arial" w:hAnsi="Arial" w:cs="Arial"/>
          <w:b/>
          <w:color w:val="808080"/>
          <w:sz w:val="18"/>
          <w:szCs w:val="18"/>
        </w:rPr>
      </w:pPr>
    </w:p>
    <w:p w14:paraId="62F9D4EB" w14:textId="78910A84" w:rsidR="00EA5513" w:rsidRPr="00EA5513" w:rsidRDefault="00EA5513" w:rsidP="00EA5513">
      <w:pPr>
        <w:keepNext/>
        <w:pBdr>
          <w:top w:val="nil"/>
          <w:left w:val="nil"/>
          <w:bottom w:val="nil"/>
          <w:right w:val="nil"/>
          <w:between w:val="nil"/>
        </w:pBdr>
        <w:spacing w:before="120" w:after="120"/>
        <w:jc w:val="center"/>
        <w:rPr>
          <w:rFonts w:ascii="Arial" w:eastAsia="Arial" w:hAnsi="Arial" w:cs="Arial"/>
          <w:b/>
          <w:color w:val="808080"/>
          <w:sz w:val="18"/>
          <w:szCs w:val="18"/>
        </w:rPr>
      </w:pPr>
      <w:r w:rsidRPr="00EA5513">
        <w:rPr>
          <w:rFonts w:ascii="Arial" w:eastAsia="Arial" w:hAnsi="Arial" w:cs="Arial"/>
          <w:b/>
          <w:color w:val="808080"/>
          <w:sz w:val="18"/>
          <w:szCs w:val="18"/>
        </w:rPr>
        <w:t xml:space="preserve">Table </w:t>
      </w:r>
      <w:r w:rsidRPr="00EA5513">
        <w:rPr>
          <w:rFonts w:ascii="Arial" w:eastAsia="Arial" w:hAnsi="Arial" w:cs="Arial"/>
          <w:b/>
          <w:color w:val="808080"/>
          <w:sz w:val="18"/>
          <w:szCs w:val="18"/>
        </w:rPr>
        <w:fldChar w:fldCharType="begin"/>
      </w:r>
      <w:r w:rsidRPr="00EA5513">
        <w:rPr>
          <w:rFonts w:ascii="Arial" w:eastAsia="Arial" w:hAnsi="Arial" w:cs="Arial"/>
          <w:b/>
          <w:color w:val="808080"/>
          <w:sz w:val="18"/>
          <w:szCs w:val="18"/>
        </w:rPr>
        <w:instrText xml:space="preserve"> SEQ Table \* ARABIC </w:instrText>
      </w:r>
      <w:r w:rsidRPr="00EA5513">
        <w:rPr>
          <w:rFonts w:ascii="Arial" w:eastAsia="Arial" w:hAnsi="Arial" w:cs="Arial"/>
          <w:b/>
          <w:color w:val="808080"/>
          <w:sz w:val="18"/>
          <w:szCs w:val="18"/>
        </w:rPr>
        <w:fldChar w:fldCharType="separate"/>
      </w:r>
      <w:r w:rsidRPr="00EA5513">
        <w:rPr>
          <w:rFonts w:ascii="Arial" w:eastAsia="Arial" w:hAnsi="Arial" w:cs="Arial"/>
          <w:b/>
          <w:color w:val="808080"/>
          <w:sz w:val="18"/>
          <w:szCs w:val="18"/>
        </w:rPr>
        <w:t>1</w:t>
      </w:r>
      <w:r w:rsidRPr="00EA5513">
        <w:rPr>
          <w:rFonts w:ascii="Arial" w:eastAsia="Arial" w:hAnsi="Arial" w:cs="Arial"/>
          <w:b/>
          <w:color w:val="808080"/>
          <w:sz w:val="18"/>
          <w:szCs w:val="18"/>
        </w:rPr>
        <w:fldChar w:fldCharType="end"/>
      </w:r>
      <w:r w:rsidRPr="00EA5513">
        <w:rPr>
          <w:rFonts w:ascii="Arial" w:eastAsia="Arial" w:hAnsi="Arial" w:cs="Arial"/>
          <w:b/>
          <w:color w:val="808080"/>
          <w:sz w:val="18"/>
          <w:szCs w:val="18"/>
        </w:rPr>
        <w:t xml:space="preserve"> Bigeye tuna: Stock Synthesis base case Indian Ocean assessment Kobe II Strategy Matrix. Probability (percentage) of violating the MSY-based target (top) and limit (bottom) reference points for constant catch projections (relative to average catch level from 2018 (81,413 t); -10%, -20%, -30%, -40%) projected for 3 and 10 years</w:t>
      </w:r>
      <w:r>
        <w:rPr>
          <w:rFonts w:ascii="Arial" w:eastAsia="Arial" w:hAnsi="Arial" w:cs="Arial"/>
          <w:b/>
          <w:color w:val="808080"/>
          <w:sz w:val="18"/>
          <w:szCs w:val="18"/>
        </w:rPr>
        <w:t xml:space="preserve"> (Source: </w:t>
      </w:r>
      <w:r w:rsidR="00E11A32">
        <w:rPr>
          <w:rFonts w:ascii="Arial" w:eastAsia="Arial" w:hAnsi="Arial" w:cs="Arial"/>
          <w:b/>
          <w:color w:val="808080"/>
          <w:sz w:val="18"/>
          <w:szCs w:val="18"/>
        </w:rPr>
        <w:t>IOTC-2019-SC22-ES02)</w:t>
      </w:r>
    </w:p>
    <w:tbl>
      <w:tblPr>
        <w:tblW w:w="9400" w:type="dxa"/>
        <w:jc w:val="center"/>
        <w:tblCellMar>
          <w:left w:w="0" w:type="dxa"/>
          <w:right w:w="0" w:type="dxa"/>
        </w:tblCellMar>
        <w:tblLook w:val="0600" w:firstRow="0" w:lastRow="0" w:firstColumn="0" w:lastColumn="0" w:noHBand="1" w:noVBand="1"/>
      </w:tblPr>
      <w:tblGrid>
        <w:gridCol w:w="2759"/>
        <w:gridCol w:w="1234"/>
        <w:gridCol w:w="1250"/>
        <w:gridCol w:w="1277"/>
        <w:gridCol w:w="1414"/>
        <w:gridCol w:w="1466"/>
      </w:tblGrid>
      <w:tr w:rsidR="00EA5513" w:rsidRPr="00EA5513" w14:paraId="4B9CB824" w14:textId="77777777" w:rsidTr="00DA1BB9">
        <w:trPr>
          <w:trHeight w:val="567"/>
          <w:jc w:val="center"/>
        </w:trPr>
        <w:tc>
          <w:tcPr>
            <w:tcW w:w="2759" w:type="dxa"/>
            <w:tcBorders>
              <w:top w:val="single" w:sz="4" w:space="0" w:color="auto"/>
              <w:left w:val="nil"/>
              <w:bottom w:val="single" w:sz="4" w:space="0" w:color="auto"/>
              <w:right w:val="nil"/>
            </w:tcBorders>
            <w:tcMar>
              <w:top w:w="15" w:type="dxa"/>
              <w:left w:w="108" w:type="dxa"/>
              <w:bottom w:w="0" w:type="dxa"/>
              <w:right w:w="108" w:type="dxa"/>
            </w:tcMar>
            <w:vAlign w:val="center"/>
            <w:hideMark/>
          </w:tcPr>
          <w:p w14:paraId="7BCB75BD" w14:textId="77777777" w:rsidR="00EA5513" w:rsidRPr="00EA5513" w:rsidRDefault="00EA5513" w:rsidP="00EA5513">
            <w:pPr>
              <w:jc w:val="center"/>
              <w:rPr>
                <w:rFonts w:ascii="Calibri" w:hAnsi="Calibri" w:cs="Calibri"/>
                <w:b/>
                <w:color w:val="000000"/>
                <w:sz w:val="22"/>
                <w:szCs w:val="20"/>
                <w:lang w:val="en-AU" w:eastAsia="en-AU"/>
              </w:rPr>
            </w:pPr>
            <w:r w:rsidRPr="00EA5513">
              <w:rPr>
                <w:rFonts w:ascii="Calibri" w:hAnsi="Calibri" w:cs="Calibri"/>
                <w:b/>
                <w:color w:val="000000"/>
                <w:sz w:val="20"/>
                <w:szCs w:val="20"/>
                <w:lang w:val="en-AU" w:eastAsia="en-AU"/>
              </w:rPr>
              <w:t>Reference point and projection timeframe</w:t>
            </w:r>
          </w:p>
        </w:tc>
        <w:tc>
          <w:tcPr>
            <w:tcW w:w="6641" w:type="dxa"/>
            <w:gridSpan w:val="5"/>
            <w:tcBorders>
              <w:top w:val="single" w:sz="4" w:space="0" w:color="auto"/>
              <w:left w:val="nil"/>
              <w:bottom w:val="single" w:sz="4" w:space="0" w:color="auto"/>
              <w:right w:val="nil"/>
            </w:tcBorders>
            <w:tcMar>
              <w:top w:w="15" w:type="dxa"/>
              <w:left w:w="108" w:type="dxa"/>
              <w:bottom w:w="0" w:type="dxa"/>
              <w:right w:w="108" w:type="dxa"/>
            </w:tcMar>
            <w:vAlign w:val="center"/>
            <w:hideMark/>
          </w:tcPr>
          <w:p w14:paraId="4770C0AE" w14:textId="77777777" w:rsidR="00EA5513" w:rsidRPr="00EA5513" w:rsidRDefault="00EA5513" w:rsidP="00EA5513">
            <w:pPr>
              <w:jc w:val="center"/>
              <w:rPr>
                <w:rFonts w:ascii="Calibri" w:hAnsi="Calibri" w:cs="Calibri"/>
                <w:b/>
                <w:color w:val="000000"/>
                <w:sz w:val="22"/>
                <w:szCs w:val="20"/>
                <w:lang w:val="en-AU" w:eastAsia="en-AU"/>
              </w:rPr>
            </w:pPr>
            <w:r w:rsidRPr="00EA5513">
              <w:rPr>
                <w:rFonts w:ascii="Calibri" w:hAnsi="Calibri" w:cs="Calibri"/>
                <w:b/>
                <w:color w:val="000000"/>
                <w:sz w:val="20"/>
                <w:szCs w:val="20"/>
                <w:lang w:val="en-AU" w:eastAsia="en-AU"/>
              </w:rPr>
              <w:t>Alternative catch projections (relative to the catch level from 2018) and weighted probability (%) scenarios that violate reference point</w:t>
            </w:r>
          </w:p>
        </w:tc>
      </w:tr>
      <w:tr w:rsidR="00EA5513" w:rsidRPr="00EA5513" w14:paraId="0C28A95A" w14:textId="77777777" w:rsidTr="00DA1BB9">
        <w:trPr>
          <w:trHeight w:val="283"/>
          <w:jc w:val="center"/>
        </w:trPr>
        <w:tc>
          <w:tcPr>
            <w:tcW w:w="2759" w:type="dxa"/>
            <w:tcBorders>
              <w:top w:val="single" w:sz="4" w:space="0" w:color="auto"/>
              <w:left w:val="nil"/>
              <w:bottom w:val="nil"/>
              <w:right w:val="nil"/>
            </w:tcBorders>
            <w:tcMar>
              <w:top w:w="15" w:type="dxa"/>
              <w:left w:w="108" w:type="dxa"/>
              <w:bottom w:w="0" w:type="dxa"/>
              <w:right w:w="108" w:type="dxa"/>
            </w:tcMar>
            <w:vAlign w:val="center"/>
            <w:hideMark/>
          </w:tcPr>
          <w:p w14:paraId="56510A41" w14:textId="77777777" w:rsidR="00EA5513" w:rsidRPr="00EA5513" w:rsidRDefault="00EA5513" w:rsidP="00EA5513">
            <w:pPr>
              <w:rPr>
                <w:rFonts w:ascii="Calibri" w:eastAsia="MS Mincho" w:hAnsi="Calibri" w:cs="Calibri"/>
                <w:sz w:val="18"/>
                <w:szCs w:val="20"/>
                <w:lang w:val="en-GB" w:eastAsia="en-GB"/>
              </w:rPr>
            </w:pPr>
          </w:p>
        </w:tc>
        <w:tc>
          <w:tcPr>
            <w:tcW w:w="1234" w:type="dxa"/>
            <w:tcBorders>
              <w:top w:val="single" w:sz="4" w:space="0" w:color="auto"/>
              <w:left w:val="nil"/>
              <w:bottom w:val="single" w:sz="4" w:space="0" w:color="auto"/>
              <w:right w:val="nil"/>
            </w:tcBorders>
            <w:tcMar>
              <w:top w:w="15" w:type="dxa"/>
              <w:left w:w="108" w:type="dxa"/>
              <w:bottom w:w="0" w:type="dxa"/>
              <w:right w:w="108" w:type="dxa"/>
            </w:tcMar>
            <w:vAlign w:val="center"/>
            <w:hideMark/>
          </w:tcPr>
          <w:p w14:paraId="7E033CE5" w14:textId="77777777" w:rsidR="00EA5513" w:rsidRPr="00EA5513" w:rsidRDefault="00EA5513" w:rsidP="00EA5513">
            <w:pPr>
              <w:jc w:val="center"/>
              <w:rPr>
                <w:rFonts w:ascii="Calibri" w:hAnsi="Calibri" w:cs="Calibri"/>
                <w:b/>
                <w:bCs/>
                <w:color w:val="000000"/>
                <w:kern w:val="24"/>
                <w:sz w:val="18"/>
                <w:szCs w:val="20"/>
                <w:lang w:val="en-AU" w:eastAsia="en-AU"/>
              </w:rPr>
            </w:pPr>
            <w:r w:rsidRPr="00EA5513">
              <w:rPr>
                <w:rFonts w:ascii="Calibri" w:hAnsi="Calibri" w:cs="Calibri"/>
                <w:b/>
                <w:bCs/>
                <w:color w:val="000000"/>
                <w:kern w:val="24"/>
                <w:sz w:val="18"/>
                <w:szCs w:val="20"/>
                <w:lang w:val="en-AU" w:eastAsia="en-AU"/>
              </w:rPr>
              <w:t>60%</w:t>
            </w:r>
          </w:p>
          <w:p w14:paraId="5D4422DD" w14:textId="77777777" w:rsidR="00EA5513" w:rsidRPr="00EA5513" w:rsidRDefault="00EA5513" w:rsidP="00EA5513">
            <w:pPr>
              <w:jc w:val="center"/>
              <w:rPr>
                <w:rFonts w:ascii="Calibri" w:hAnsi="Calibri" w:cs="Calibri"/>
                <w:color w:val="000000"/>
                <w:sz w:val="18"/>
                <w:szCs w:val="20"/>
                <w:lang w:val="en-AU" w:eastAsia="en-AU"/>
              </w:rPr>
            </w:pPr>
            <w:r w:rsidRPr="00EA5513">
              <w:rPr>
                <w:rFonts w:ascii="Calibri" w:hAnsi="Calibri" w:cs="Calibri"/>
                <w:bCs/>
                <w:color w:val="000000"/>
                <w:kern w:val="24"/>
                <w:sz w:val="18"/>
                <w:szCs w:val="20"/>
                <w:lang w:val="en-AU" w:eastAsia="en-AU"/>
              </w:rPr>
              <w:t>(48,848t)</w:t>
            </w:r>
          </w:p>
        </w:tc>
        <w:tc>
          <w:tcPr>
            <w:tcW w:w="1250" w:type="dxa"/>
            <w:tcBorders>
              <w:top w:val="single" w:sz="4" w:space="0" w:color="auto"/>
              <w:left w:val="nil"/>
              <w:bottom w:val="single" w:sz="4" w:space="0" w:color="auto"/>
              <w:right w:val="nil"/>
            </w:tcBorders>
            <w:tcMar>
              <w:top w:w="15" w:type="dxa"/>
              <w:left w:w="108" w:type="dxa"/>
              <w:bottom w:w="0" w:type="dxa"/>
              <w:right w:w="108" w:type="dxa"/>
            </w:tcMar>
            <w:vAlign w:val="center"/>
            <w:hideMark/>
          </w:tcPr>
          <w:p w14:paraId="19FA53ED" w14:textId="77777777" w:rsidR="00EA5513" w:rsidRPr="00EA5513" w:rsidRDefault="00EA5513" w:rsidP="00EA5513">
            <w:pPr>
              <w:jc w:val="center"/>
              <w:rPr>
                <w:rFonts w:ascii="Calibri" w:hAnsi="Calibri" w:cs="Calibri"/>
                <w:b/>
                <w:bCs/>
                <w:color w:val="000000"/>
                <w:kern w:val="24"/>
                <w:sz w:val="18"/>
                <w:szCs w:val="20"/>
                <w:lang w:val="en-AU" w:eastAsia="en-AU"/>
              </w:rPr>
            </w:pPr>
            <w:r w:rsidRPr="00EA5513">
              <w:rPr>
                <w:rFonts w:ascii="Calibri" w:hAnsi="Calibri" w:cs="Calibri"/>
                <w:b/>
                <w:bCs/>
                <w:color w:val="000000"/>
                <w:kern w:val="24"/>
                <w:sz w:val="18"/>
                <w:szCs w:val="20"/>
                <w:lang w:val="en-AU" w:eastAsia="en-AU"/>
              </w:rPr>
              <w:t>70%</w:t>
            </w:r>
          </w:p>
          <w:p w14:paraId="33726432" w14:textId="77777777" w:rsidR="00EA5513" w:rsidRPr="00EA5513" w:rsidRDefault="00EA5513" w:rsidP="00EA5513">
            <w:pPr>
              <w:jc w:val="center"/>
              <w:rPr>
                <w:rFonts w:ascii="Calibri" w:hAnsi="Calibri" w:cs="Calibri"/>
                <w:color w:val="000000"/>
                <w:sz w:val="18"/>
                <w:szCs w:val="20"/>
                <w:lang w:val="en-AU" w:eastAsia="en-AU"/>
              </w:rPr>
            </w:pPr>
            <w:r w:rsidRPr="00EA5513">
              <w:rPr>
                <w:rFonts w:ascii="Calibri" w:hAnsi="Calibri" w:cs="Calibri"/>
                <w:bCs/>
                <w:color w:val="000000"/>
                <w:kern w:val="24"/>
                <w:sz w:val="18"/>
                <w:szCs w:val="20"/>
                <w:lang w:val="en-AU" w:eastAsia="en-AU"/>
              </w:rPr>
              <w:t>(56,990t)</w:t>
            </w:r>
          </w:p>
        </w:tc>
        <w:tc>
          <w:tcPr>
            <w:tcW w:w="1277" w:type="dxa"/>
            <w:tcBorders>
              <w:top w:val="single" w:sz="4" w:space="0" w:color="auto"/>
              <w:left w:val="nil"/>
              <w:bottom w:val="single" w:sz="4" w:space="0" w:color="auto"/>
              <w:right w:val="nil"/>
            </w:tcBorders>
            <w:tcMar>
              <w:top w:w="15" w:type="dxa"/>
              <w:left w:w="108" w:type="dxa"/>
              <w:bottom w:w="0" w:type="dxa"/>
              <w:right w:w="108" w:type="dxa"/>
            </w:tcMar>
            <w:vAlign w:val="center"/>
            <w:hideMark/>
          </w:tcPr>
          <w:p w14:paraId="467A9560" w14:textId="77777777" w:rsidR="00EA5513" w:rsidRPr="00EA5513" w:rsidRDefault="00EA5513" w:rsidP="00EA5513">
            <w:pPr>
              <w:jc w:val="center"/>
              <w:rPr>
                <w:rFonts w:ascii="Calibri" w:hAnsi="Calibri" w:cs="Calibri"/>
                <w:b/>
                <w:bCs/>
                <w:color w:val="000000"/>
                <w:kern w:val="24"/>
                <w:sz w:val="18"/>
                <w:szCs w:val="20"/>
                <w:lang w:val="en-AU" w:eastAsia="en-AU"/>
              </w:rPr>
            </w:pPr>
            <w:r w:rsidRPr="00EA5513">
              <w:rPr>
                <w:rFonts w:ascii="Calibri" w:hAnsi="Calibri" w:cs="Calibri"/>
                <w:b/>
                <w:bCs/>
                <w:color w:val="000000"/>
                <w:kern w:val="24"/>
                <w:sz w:val="18"/>
                <w:szCs w:val="20"/>
                <w:lang w:val="en-AU" w:eastAsia="en-AU"/>
              </w:rPr>
              <w:t>80%</w:t>
            </w:r>
          </w:p>
          <w:p w14:paraId="67C15B17" w14:textId="77777777" w:rsidR="00EA5513" w:rsidRPr="00EA5513" w:rsidRDefault="00EA5513" w:rsidP="00EA5513">
            <w:pPr>
              <w:jc w:val="center"/>
              <w:rPr>
                <w:rFonts w:ascii="Calibri" w:hAnsi="Calibri" w:cs="Calibri"/>
                <w:color w:val="000000"/>
                <w:sz w:val="18"/>
                <w:szCs w:val="20"/>
                <w:lang w:val="en-AU" w:eastAsia="en-AU"/>
              </w:rPr>
            </w:pPr>
            <w:r w:rsidRPr="00EA5513">
              <w:rPr>
                <w:rFonts w:ascii="Calibri" w:hAnsi="Calibri" w:cs="Calibri"/>
                <w:bCs/>
                <w:color w:val="000000"/>
                <w:kern w:val="24"/>
                <w:sz w:val="18"/>
                <w:szCs w:val="20"/>
                <w:lang w:val="en-AU" w:eastAsia="en-AU"/>
              </w:rPr>
              <w:t>(65,130t)</w:t>
            </w:r>
          </w:p>
        </w:tc>
        <w:tc>
          <w:tcPr>
            <w:tcW w:w="1414" w:type="dxa"/>
            <w:tcBorders>
              <w:top w:val="single" w:sz="4" w:space="0" w:color="auto"/>
              <w:left w:val="nil"/>
              <w:bottom w:val="single" w:sz="4" w:space="0" w:color="auto"/>
              <w:right w:val="nil"/>
            </w:tcBorders>
            <w:tcMar>
              <w:top w:w="15" w:type="dxa"/>
              <w:left w:w="108" w:type="dxa"/>
              <w:bottom w:w="0" w:type="dxa"/>
              <w:right w:w="108" w:type="dxa"/>
            </w:tcMar>
            <w:vAlign w:val="center"/>
            <w:hideMark/>
          </w:tcPr>
          <w:p w14:paraId="7FD06BAD" w14:textId="77777777" w:rsidR="00EA5513" w:rsidRPr="00EA5513" w:rsidRDefault="00EA5513" w:rsidP="00EA5513">
            <w:pPr>
              <w:jc w:val="center"/>
              <w:rPr>
                <w:rFonts w:ascii="Calibri" w:hAnsi="Calibri" w:cs="Calibri"/>
                <w:b/>
                <w:bCs/>
                <w:color w:val="000000"/>
                <w:kern w:val="24"/>
                <w:sz w:val="18"/>
                <w:szCs w:val="20"/>
                <w:lang w:val="en-AU" w:eastAsia="en-AU"/>
              </w:rPr>
            </w:pPr>
            <w:r w:rsidRPr="00EA5513">
              <w:rPr>
                <w:rFonts w:ascii="Calibri" w:hAnsi="Calibri" w:cs="Calibri"/>
                <w:b/>
                <w:bCs/>
                <w:color w:val="000000"/>
                <w:kern w:val="24"/>
                <w:sz w:val="18"/>
                <w:szCs w:val="20"/>
                <w:lang w:val="en-AU" w:eastAsia="en-AU"/>
              </w:rPr>
              <w:t>90%</w:t>
            </w:r>
          </w:p>
          <w:p w14:paraId="79BFC262" w14:textId="77777777" w:rsidR="00EA5513" w:rsidRPr="00EA5513" w:rsidRDefault="00EA5513" w:rsidP="00EA5513">
            <w:pPr>
              <w:jc w:val="center"/>
              <w:rPr>
                <w:rFonts w:ascii="Calibri" w:hAnsi="Calibri" w:cs="Calibri"/>
                <w:color w:val="000000"/>
                <w:sz w:val="18"/>
                <w:szCs w:val="20"/>
                <w:lang w:val="en-AU" w:eastAsia="en-AU"/>
              </w:rPr>
            </w:pPr>
            <w:r w:rsidRPr="00EA5513">
              <w:rPr>
                <w:rFonts w:ascii="Calibri" w:hAnsi="Calibri" w:cs="Calibri"/>
                <w:bCs/>
                <w:color w:val="000000"/>
                <w:kern w:val="24"/>
                <w:sz w:val="18"/>
                <w:szCs w:val="20"/>
                <w:lang w:val="en-AU" w:eastAsia="en-AU"/>
              </w:rPr>
              <w:t>(73,272t)</w:t>
            </w:r>
          </w:p>
        </w:tc>
        <w:tc>
          <w:tcPr>
            <w:tcW w:w="1466" w:type="dxa"/>
            <w:tcBorders>
              <w:top w:val="single" w:sz="4" w:space="0" w:color="auto"/>
              <w:left w:val="nil"/>
              <w:bottom w:val="single" w:sz="4" w:space="0" w:color="auto"/>
              <w:right w:val="nil"/>
            </w:tcBorders>
            <w:tcMar>
              <w:top w:w="15" w:type="dxa"/>
              <w:left w:w="108" w:type="dxa"/>
              <w:bottom w:w="0" w:type="dxa"/>
              <w:right w:w="108" w:type="dxa"/>
            </w:tcMar>
            <w:vAlign w:val="center"/>
          </w:tcPr>
          <w:p w14:paraId="4C91113A" w14:textId="77777777" w:rsidR="00EA5513" w:rsidRPr="00EA5513" w:rsidRDefault="00EA5513" w:rsidP="00EA5513">
            <w:pPr>
              <w:jc w:val="center"/>
              <w:rPr>
                <w:rFonts w:ascii="Calibri" w:hAnsi="Calibri" w:cs="Calibri"/>
                <w:b/>
                <w:bCs/>
                <w:color w:val="000000"/>
                <w:kern w:val="24"/>
                <w:sz w:val="18"/>
                <w:szCs w:val="20"/>
                <w:lang w:val="en-AU" w:eastAsia="en-AU"/>
              </w:rPr>
            </w:pPr>
            <w:r w:rsidRPr="00EA5513">
              <w:rPr>
                <w:rFonts w:ascii="Calibri" w:hAnsi="Calibri" w:cs="Calibri"/>
                <w:b/>
                <w:bCs/>
                <w:color w:val="000000"/>
                <w:kern w:val="24"/>
                <w:sz w:val="18"/>
                <w:szCs w:val="20"/>
                <w:lang w:val="en-AU" w:eastAsia="en-AU"/>
              </w:rPr>
              <w:t>100%</w:t>
            </w:r>
          </w:p>
          <w:p w14:paraId="744EC000" w14:textId="77777777" w:rsidR="00EA5513" w:rsidRPr="00EA5513" w:rsidRDefault="00EA5513" w:rsidP="00EA5513">
            <w:pPr>
              <w:jc w:val="center"/>
              <w:rPr>
                <w:rFonts w:ascii="Calibri" w:hAnsi="Calibri" w:cs="Calibri"/>
                <w:color w:val="000000"/>
                <w:sz w:val="22"/>
                <w:szCs w:val="20"/>
                <w:lang w:val="en-AU" w:eastAsia="en-AU"/>
              </w:rPr>
            </w:pPr>
            <w:r w:rsidRPr="00EA5513">
              <w:rPr>
                <w:rFonts w:ascii="Calibri" w:hAnsi="Calibri" w:cs="Calibri"/>
                <w:bCs/>
                <w:color w:val="000000"/>
                <w:kern w:val="24"/>
                <w:sz w:val="18"/>
                <w:szCs w:val="20"/>
                <w:lang w:val="en-AU" w:eastAsia="en-AU"/>
              </w:rPr>
              <w:t>(81,413t)</w:t>
            </w:r>
          </w:p>
        </w:tc>
      </w:tr>
      <w:tr w:rsidR="00EA5513" w:rsidRPr="00EA5513" w14:paraId="024CF6A8" w14:textId="77777777" w:rsidTr="00DA1BB9">
        <w:trPr>
          <w:trHeight w:val="283"/>
          <w:jc w:val="center"/>
        </w:trPr>
        <w:tc>
          <w:tcPr>
            <w:tcW w:w="2759" w:type="dxa"/>
            <w:tcMar>
              <w:top w:w="15" w:type="dxa"/>
              <w:left w:w="108" w:type="dxa"/>
              <w:bottom w:w="0" w:type="dxa"/>
              <w:right w:w="108" w:type="dxa"/>
            </w:tcMar>
            <w:vAlign w:val="center"/>
            <w:hideMark/>
          </w:tcPr>
          <w:p w14:paraId="0EF5A429" w14:textId="77777777" w:rsidR="00EA5513" w:rsidRPr="00EA5513" w:rsidRDefault="00EA5513" w:rsidP="00EA5513">
            <w:pPr>
              <w:jc w:val="center"/>
              <w:rPr>
                <w:rFonts w:ascii="Calibri" w:hAnsi="Calibri" w:cs="Calibri"/>
                <w:color w:val="000000"/>
                <w:sz w:val="18"/>
                <w:szCs w:val="20"/>
                <w:lang w:val="en-AU" w:eastAsia="en-AU"/>
              </w:rPr>
            </w:pPr>
            <w:r w:rsidRPr="00EA5513">
              <w:rPr>
                <w:rFonts w:ascii="Calibri" w:eastAsia="PMingLiU" w:hAnsi="Calibri" w:cs="Calibri"/>
                <w:bCs/>
                <w:color w:val="000000"/>
                <w:sz w:val="18"/>
                <w:szCs w:val="20"/>
                <w:lang w:val="en-GB" w:eastAsia="fr-FR"/>
              </w:rPr>
              <w:t>B</w:t>
            </w:r>
            <w:r w:rsidRPr="00EA5513">
              <w:rPr>
                <w:rFonts w:ascii="Calibri" w:eastAsia="PMingLiU" w:hAnsi="Calibri" w:cs="Calibri"/>
                <w:bCs/>
                <w:color w:val="000000"/>
                <w:sz w:val="18"/>
                <w:szCs w:val="20"/>
                <w:vertAlign w:val="subscript"/>
                <w:lang w:val="en-GB" w:eastAsia="fr-FR"/>
              </w:rPr>
              <w:t>2021</w:t>
            </w:r>
            <w:r w:rsidRPr="00EA5513">
              <w:rPr>
                <w:rFonts w:ascii="Calibri" w:hAnsi="Calibri" w:cs="Calibri"/>
                <w:color w:val="000000"/>
                <w:kern w:val="24"/>
                <w:sz w:val="18"/>
                <w:szCs w:val="20"/>
                <w:lang w:val="en-AU" w:eastAsia="en-AU"/>
              </w:rPr>
              <w:t xml:space="preserve"> &lt; </w:t>
            </w:r>
            <w:r w:rsidRPr="00EA5513">
              <w:rPr>
                <w:rFonts w:ascii="Calibri" w:eastAsia="PMingLiU" w:hAnsi="Calibri" w:cs="Calibri"/>
                <w:bCs/>
                <w:color w:val="000000"/>
                <w:sz w:val="18"/>
                <w:szCs w:val="20"/>
                <w:lang w:val="en-GB" w:eastAsia="fr-FR"/>
              </w:rPr>
              <w:t>B</w:t>
            </w:r>
            <w:r w:rsidRPr="00EA5513">
              <w:rPr>
                <w:rFonts w:ascii="Calibri" w:eastAsia="PMingLiU" w:hAnsi="Calibri" w:cs="Calibri"/>
                <w:bCs/>
                <w:color w:val="000000"/>
                <w:sz w:val="18"/>
                <w:szCs w:val="20"/>
                <w:vertAlign w:val="subscript"/>
                <w:lang w:val="en-GB" w:eastAsia="fr-FR"/>
              </w:rPr>
              <w:t>MSY</w:t>
            </w:r>
          </w:p>
        </w:tc>
        <w:tc>
          <w:tcPr>
            <w:tcW w:w="1234" w:type="dxa"/>
            <w:tcBorders>
              <w:top w:val="single" w:sz="4" w:space="0" w:color="auto"/>
              <w:left w:val="nil"/>
              <w:bottom w:val="nil"/>
              <w:right w:val="nil"/>
            </w:tcBorders>
            <w:tcMar>
              <w:top w:w="15" w:type="dxa"/>
              <w:left w:w="15" w:type="dxa"/>
              <w:bottom w:w="0" w:type="dxa"/>
              <w:right w:w="15" w:type="dxa"/>
            </w:tcMar>
            <w:vAlign w:val="bottom"/>
          </w:tcPr>
          <w:p w14:paraId="00A770CC"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51.1</w:t>
            </w:r>
          </w:p>
        </w:tc>
        <w:tc>
          <w:tcPr>
            <w:tcW w:w="1250" w:type="dxa"/>
            <w:tcBorders>
              <w:top w:val="single" w:sz="4" w:space="0" w:color="auto"/>
              <w:left w:val="nil"/>
              <w:bottom w:val="nil"/>
              <w:right w:val="nil"/>
            </w:tcBorders>
            <w:tcMar>
              <w:top w:w="15" w:type="dxa"/>
              <w:left w:w="15" w:type="dxa"/>
              <w:bottom w:w="0" w:type="dxa"/>
              <w:right w:w="15" w:type="dxa"/>
            </w:tcMar>
            <w:vAlign w:val="bottom"/>
          </w:tcPr>
          <w:p w14:paraId="329EE28E"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53.3</w:t>
            </w:r>
          </w:p>
        </w:tc>
        <w:tc>
          <w:tcPr>
            <w:tcW w:w="1277" w:type="dxa"/>
            <w:tcBorders>
              <w:top w:val="single" w:sz="4" w:space="0" w:color="auto"/>
              <w:left w:val="nil"/>
              <w:bottom w:val="nil"/>
              <w:right w:val="nil"/>
            </w:tcBorders>
            <w:tcMar>
              <w:top w:w="15" w:type="dxa"/>
              <w:left w:w="15" w:type="dxa"/>
              <w:bottom w:w="0" w:type="dxa"/>
              <w:right w:w="15" w:type="dxa"/>
            </w:tcMar>
            <w:vAlign w:val="bottom"/>
          </w:tcPr>
          <w:p w14:paraId="14662E04"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54.2</w:t>
            </w:r>
          </w:p>
        </w:tc>
        <w:tc>
          <w:tcPr>
            <w:tcW w:w="1414" w:type="dxa"/>
            <w:tcBorders>
              <w:top w:val="single" w:sz="4" w:space="0" w:color="auto"/>
              <w:left w:val="nil"/>
              <w:bottom w:val="nil"/>
              <w:right w:val="nil"/>
            </w:tcBorders>
            <w:tcMar>
              <w:top w:w="15" w:type="dxa"/>
              <w:left w:w="15" w:type="dxa"/>
              <w:bottom w:w="0" w:type="dxa"/>
              <w:right w:w="15" w:type="dxa"/>
            </w:tcMar>
            <w:vAlign w:val="bottom"/>
          </w:tcPr>
          <w:p w14:paraId="2F0018EC"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57.1</w:t>
            </w:r>
          </w:p>
        </w:tc>
        <w:tc>
          <w:tcPr>
            <w:tcW w:w="1466" w:type="dxa"/>
            <w:tcBorders>
              <w:top w:val="single" w:sz="4" w:space="0" w:color="auto"/>
              <w:left w:val="nil"/>
              <w:bottom w:val="nil"/>
              <w:right w:val="nil"/>
            </w:tcBorders>
            <w:tcMar>
              <w:top w:w="15" w:type="dxa"/>
              <w:left w:w="15" w:type="dxa"/>
              <w:bottom w:w="0" w:type="dxa"/>
              <w:right w:w="15" w:type="dxa"/>
            </w:tcMar>
            <w:vAlign w:val="bottom"/>
          </w:tcPr>
          <w:p w14:paraId="31C8E02D" w14:textId="77777777" w:rsidR="00EA5513" w:rsidRPr="00EA5513" w:rsidRDefault="00EA5513" w:rsidP="00EA5513">
            <w:pPr>
              <w:jc w:val="center"/>
              <w:textAlignment w:val="bottom"/>
              <w:rPr>
                <w:rFonts w:ascii="Calibri" w:hAnsi="Calibri" w:cs="Calibri"/>
                <w:color w:val="000000"/>
                <w:sz w:val="22"/>
                <w:szCs w:val="20"/>
                <w:lang w:val="en-AU" w:eastAsia="en-AU"/>
              </w:rPr>
            </w:pPr>
            <w:r w:rsidRPr="00EA5513">
              <w:rPr>
                <w:rFonts w:ascii="Calibri" w:hAnsi="Calibri" w:cs="Calibri"/>
                <w:color w:val="000000"/>
                <w:sz w:val="22"/>
                <w:szCs w:val="22"/>
                <w:lang w:eastAsia="fr-FR"/>
              </w:rPr>
              <w:t>58.9</w:t>
            </w:r>
          </w:p>
        </w:tc>
      </w:tr>
      <w:tr w:rsidR="00EA5513" w:rsidRPr="00EA5513" w14:paraId="3FA7DB04" w14:textId="77777777" w:rsidTr="00DA1BB9">
        <w:trPr>
          <w:trHeight w:val="283"/>
          <w:jc w:val="center"/>
        </w:trPr>
        <w:tc>
          <w:tcPr>
            <w:tcW w:w="2759" w:type="dxa"/>
            <w:tcMar>
              <w:top w:w="15" w:type="dxa"/>
              <w:left w:w="108" w:type="dxa"/>
              <w:bottom w:w="0" w:type="dxa"/>
              <w:right w:w="108" w:type="dxa"/>
            </w:tcMar>
            <w:vAlign w:val="center"/>
            <w:hideMark/>
          </w:tcPr>
          <w:p w14:paraId="5D9F2DC2" w14:textId="77777777" w:rsidR="00EA5513" w:rsidRPr="00EA5513" w:rsidRDefault="00EA5513" w:rsidP="00EA5513">
            <w:pPr>
              <w:jc w:val="center"/>
              <w:rPr>
                <w:rFonts w:ascii="Calibri" w:hAnsi="Calibri" w:cs="Calibri"/>
                <w:color w:val="000000"/>
                <w:kern w:val="24"/>
                <w:sz w:val="18"/>
                <w:szCs w:val="20"/>
                <w:lang w:val="en-AU" w:eastAsia="en-AU"/>
              </w:rPr>
            </w:pPr>
            <w:r w:rsidRPr="00EA5513">
              <w:rPr>
                <w:rFonts w:ascii="Calibri" w:eastAsia="PMingLiU" w:hAnsi="Calibri" w:cs="Calibri"/>
                <w:bCs/>
                <w:color w:val="000000"/>
                <w:sz w:val="18"/>
                <w:szCs w:val="20"/>
                <w:lang w:val="en-GB" w:eastAsia="fr-FR"/>
              </w:rPr>
              <w:t>F</w:t>
            </w:r>
            <w:r w:rsidRPr="00EA5513">
              <w:rPr>
                <w:rFonts w:ascii="Calibri" w:eastAsia="PMingLiU" w:hAnsi="Calibri" w:cs="Calibri"/>
                <w:bCs/>
                <w:color w:val="000000"/>
                <w:sz w:val="18"/>
                <w:szCs w:val="20"/>
                <w:vertAlign w:val="subscript"/>
                <w:lang w:val="en-GB" w:eastAsia="fr-FR"/>
              </w:rPr>
              <w:t>2021</w:t>
            </w:r>
            <w:r w:rsidRPr="00EA5513">
              <w:rPr>
                <w:rFonts w:ascii="Calibri" w:hAnsi="Calibri" w:cs="Calibri"/>
                <w:color w:val="000000"/>
                <w:kern w:val="24"/>
                <w:sz w:val="18"/>
                <w:szCs w:val="20"/>
                <w:lang w:val="en-AU" w:eastAsia="en-AU"/>
              </w:rPr>
              <w:t xml:space="preserve"> &gt; F</w:t>
            </w:r>
            <w:r w:rsidRPr="00EA5513">
              <w:rPr>
                <w:rFonts w:ascii="Calibri" w:eastAsia="PMingLiU" w:hAnsi="Calibri" w:cs="Calibri"/>
                <w:bCs/>
                <w:color w:val="000000"/>
                <w:sz w:val="18"/>
                <w:szCs w:val="20"/>
                <w:vertAlign w:val="subscript"/>
                <w:lang w:val="en-GB" w:eastAsia="fr-FR"/>
              </w:rPr>
              <w:t>MSY</w:t>
            </w:r>
          </w:p>
        </w:tc>
        <w:tc>
          <w:tcPr>
            <w:tcW w:w="1234" w:type="dxa"/>
            <w:tcMar>
              <w:top w:w="15" w:type="dxa"/>
              <w:left w:w="15" w:type="dxa"/>
              <w:bottom w:w="0" w:type="dxa"/>
              <w:right w:w="15" w:type="dxa"/>
            </w:tcMar>
            <w:vAlign w:val="bottom"/>
          </w:tcPr>
          <w:p w14:paraId="3EAB5FCE"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7.3</w:t>
            </w:r>
          </w:p>
        </w:tc>
        <w:tc>
          <w:tcPr>
            <w:tcW w:w="1250" w:type="dxa"/>
            <w:tcMar>
              <w:top w:w="15" w:type="dxa"/>
              <w:left w:w="15" w:type="dxa"/>
              <w:bottom w:w="0" w:type="dxa"/>
              <w:right w:w="15" w:type="dxa"/>
            </w:tcMar>
            <w:vAlign w:val="bottom"/>
          </w:tcPr>
          <w:p w14:paraId="4F873F59"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17.8</w:t>
            </w:r>
          </w:p>
        </w:tc>
        <w:tc>
          <w:tcPr>
            <w:tcW w:w="1277" w:type="dxa"/>
            <w:tcMar>
              <w:top w:w="15" w:type="dxa"/>
              <w:left w:w="15" w:type="dxa"/>
              <w:bottom w:w="0" w:type="dxa"/>
              <w:right w:w="15" w:type="dxa"/>
            </w:tcMar>
            <w:vAlign w:val="bottom"/>
          </w:tcPr>
          <w:p w14:paraId="12960730"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32</w:t>
            </w:r>
          </w:p>
        </w:tc>
        <w:tc>
          <w:tcPr>
            <w:tcW w:w="1414" w:type="dxa"/>
            <w:tcMar>
              <w:top w:w="15" w:type="dxa"/>
              <w:left w:w="15" w:type="dxa"/>
              <w:bottom w:w="0" w:type="dxa"/>
              <w:right w:w="15" w:type="dxa"/>
            </w:tcMar>
            <w:vAlign w:val="bottom"/>
          </w:tcPr>
          <w:p w14:paraId="209E655A"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47.9</w:t>
            </w:r>
          </w:p>
        </w:tc>
        <w:tc>
          <w:tcPr>
            <w:tcW w:w="1466" w:type="dxa"/>
            <w:tcMar>
              <w:top w:w="15" w:type="dxa"/>
              <w:left w:w="15" w:type="dxa"/>
              <w:bottom w:w="0" w:type="dxa"/>
              <w:right w:w="15" w:type="dxa"/>
            </w:tcMar>
            <w:vAlign w:val="bottom"/>
          </w:tcPr>
          <w:p w14:paraId="77A2E7E9" w14:textId="77777777" w:rsidR="00EA5513" w:rsidRPr="00EA5513" w:rsidRDefault="00EA5513" w:rsidP="00EA5513">
            <w:pPr>
              <w:jc w:val="center"/>
              <w:textAlignment w:val="bottom"/>
              <w:rPr>
                <w:rFonts w:ascii="Calibri" w:hAnsi="Calibri" w:cs="Calibri"/>
                <w:color w:val="000000"/>
                <w:sz w:val="22"/>
                <w:szCs w:val="20"/>
                <w:lang w:val="en-AU" w:eastAsia="en-AU"/>
              </w:rPr>
            </w:pPr>
            <w:r w:rsidRPr="00EA5513">
              <w:rPr>
                <w:rFonts w:ascii="Calibri" w:hAnsi="Calibri" w:cs="Calibri"/>
                <w:color w:val="000000"/>
                <w:sz w:val="22"/>
                <w:szCs w:val="22"/>
                <w:lang w:eastAsia="fr-FR"/>
              </w:rPr>
              <w:t>62.8</w:t>
            </w:r>
          </w:p>
        </w:tc>
      </w:tr>
      <w:tr w:rsidR="00EA5513" w:rsidRPr="00EA5513" w14:paraId="466C4AE7" w14:textId="77777777" w:rsidTr="00DA1BB9">
        <w:trPr>
          <w:trHeight w:val="102"/>
          <w:jc w:val="center"/>
        </w:trPr>
        <w:tc>
          <w:tcPr>
            <w:tcW w:w="2759" w:type="dxa"/>
            <w:tcMar>
              <w:top w:w="15" w:type="dxa"/>
              <w:left w:w="108" w:type="dxa"/>
              <w:bottom w:w="0" w:type="dxa"/>
              <w:right w:w="108" w:type="dxa"/>
            </w:tcMar>
            <w:vAlign w:val="center"/>
            <w:hideMark/>
          </w:tcPr>
          <w:p w14:paraId="258A0E95" w14:textId="77777777" w:rsidR="00EA5513" w:rsidRPr="00EA5513" w:rsidRDefault="00EA5513" w:rsidP="00EA5513">
            <w:pPr>
              <w:rPr>
                <w:rFonts w:ascii="Calibri" w:eastAsia="MS Mincho" w:hAnsi="Calibri" w:cs="Calibri"/>
                <w:sz w:val="18"/>
                <w:szCs w:val="20"/>
                <w:lang w:val="en-GB" w:eastAsia="en-GB"/>
              </w:rPr>
            </w:pPr>
          </w:p>
        </w:tc>
        <w:tc>
          <w:tcPr>
            <w:tcW w:w="1234" w:type="dxa"/>
            <w:tcMar>
              <w:top w:w="15" w:type="dxa"/>
              <w:left w:w="15" w:type="dxa"/>
              <w:bottom w:w="0" w:type="dxa"/>
              <w:right w:w="15" w:type="dxa"/>
            </w:tcMar>
            <w:vAlign w:val="center"/>
          </w:tcPr>
          <w:p w14:paraId="3C5E33B6" w14:textId="77777777" w:rsidR="00EA5513" w:rsidRPr="00EA5513" w:rsidRDefault="00EA5513" w:rsidP="00EA5513">
            <w:pPr>
              <w:jc w:val="center"/>
              <w:rPr>
                <w:rFonts w:ascii="Calibri" w:hAnsi="Calibri" w:cs="Calibri"/>
                <w:color w:val="000000"/>
                <w:sz w:val="18"/>
                <w:szCs w:val="16"/>
                <w:lang w:val="en-AU" w:eastAsia="en-AU"/>
              </w:rPr>
            </w:pPr>
          </w:p>
        </w:tc>
        <w:tc>
          <w:tcPr>
            <w:tcW w:w="1250" w:type="dxa"/>
            <w:tcMar>
              <w:top w:w="15" w:type="dxa"/>
              <w:left w:w="15" w:type="dxa"/>
              <w:bottom w:w="0" w:type="dxa"/>
              <w:right w:w="15" w:type="dxa"/>
            </w:tcMar>
            <w:vAlign w:val="center"/>
          </w:tcPr>
          <w:p w14:paraId="04F28ED5" w14:textId="77777777" w:rsidR="00EA5513" w:rsidRPr="00EA5513" w:rsidRDefault="00EA5513" w:rsidP="00EA5513">
            <w:pPr>
              <w:jc w:val="center"/>
              <w:rPr>
                <w:rFonts w:ascii="Calibri" w:hAnsi="Calibri" w:cs="Calibri"/>
                <w:color w:val="000000"/>
                <w:sz w:val="18"/>
                <w:szCs w:val="16"/>
                <w:lang w:val="en-AU" w:eastAsia="en-AU"/>
              </w:rPr>
            </w:pPr>
          </w:p>
        </w:tc>
        <w:tc>
          <w:tcPr>
            <w:tcW w:w="1277" w:type="dxa"/>
            <w:tcMar>
              <w:top w:w="15" w:type="dxa"/>
              <w:left w:w="15" w:type="dxa"/>
              <w:bottom w:w="0" w:type="dxa"/>
              <w:right w:w="15" w:type="dxa"/>
            </w:tcMar>
            <w:vAlign w:val="center"/>
          </w:tcPr>
          <w:p w14:paraId="685E4051" w14:textId="77777777" w:rsidR="00EA5513" w:rsidRPr="00EA5513" w:rsidRDefault="00EA5513" w:rsidP="00EA5513">
            <w:pPr>
              <w:jc w:val="center"/>
              <w:rPr>
                <w:rFonts w:ascii="Calibri" w:hAnsi="Calibri" w:cs="Calibri"/>
                <w:color w:val="FF0000"/>
                <w:sz w:val="18"/>
                <w:szCs w:val="16"/>
                <w:lang w:val="en-AU" w:eastAsia="en-AU"/>
              </w:rPr>
            </w:pPr>
          </w:p>
        </w:tc>
        <w:tc>
          <w:tcPr>
            <w:tcW w:w="1414" w:type="dxa"/>
            <w:tcMar>
              <w:top w:w="15" w:type="dxa"/>
              <w:left w:w="15" w:type="dxa"/>
              <w:bottom w:w="0" w:type="dxa"/>
              <w:right w:w="15" w:type="dxa"/>
            </w:tcMar>
            <w:vAlign w:val="center"/>
          </w:tcPr>
          <w:p w14:paraId="02D65373" w14:textId="77777777" w:rsidR="00EA5513" w:rsidRPr="00EA5513" w:rsidRDefault="00EA5513" w:rsidP="00EA5513">
            <w:pPr>
              <w:jc w:val="center"/>
              <w:rPr>
                <w:rFonts w:ascii="Calibri" w:hAnsi="Calibri" w:cs="Calibri"/>
                <w:color w:val="FF0000"/>
                <w:sz w:val="18"/>
                <w:szCs w:val="16"/>
                <w:lang w:val="en-AU" w:eastAsia="en-AU"/>
              </w:rPr>
            </w:pPr>
          </w:p>
        </w:tc>
        <w:tc>
          <w:tcPr>
            <w:tcW w:w="1466" w:type="dxa"/>
            <w:tcMar>
              <w:top w:w="15" w:type="dxa"/>
              <w:left w:w="15" w:type="dxa"/>
              <w:bottom w:w="0" w:type="dxa"/>
              <w:right w:w="15" w:type="dxa"/>
            </w:tcMar>
            <w:vAlign w:val="center"/>
          </w:tcPr>
          <w:p w14:paraId="734C0517" w14:textId="77777777" w:rsidR="00EA5513" w:rsidRPr="00EA5513" w:rsidRDefault="00EA5513" w:rsidP="00EA5513">
            <w:pPr>
              <w:jc w:val="center"/>
              <w:rPr>
                <w:rFonts w:ascii="Calibri" w:hAnsi="Calibri" w:cs="Calibri"/>
                <w:color w:val="FF0000"/>
                <w:sz w:val="16"/>
                <w:szCs w:val="16"/>
                <w:lang w:val="en-AU" w:eastAsia="en-AU"/>
              </w:rPr>
            </w:pPr>
          </w:p>
        </w:tc>
      </w:tr>
      <w:tr w:rsidR="00EA5513" w:rsidRPr="00EA5513" w14:paraId="1159CB4D" w14:textId="77777777" w:rsidTr="00DA1BB9">
        <w:trPr>
          <w:trHeight w:val="283"/>
          <w:jc w:val="center"/>
        </w:trPr>
        <w:tc>
          <w:tcPr>
            <w:tcW w:w="2759" w:type="dxa"/>
            <w:tcMar>
              <w:top w:w="15" w:type="dxa"/>
              <w:left w:w="108" w:type="dxa"/>
              <w:bottom w:w="0" w:type="dxa"/>
              <w:right w:w="108" w:type="dxa"/>
            </w:tcMar>
            <w:vAlign w:val="center"/>
            <w:hideMark/>
          </w:tcPr>
          <w:p w14:paraId="438260F3" w14:textId="77777777" w:rsidR="00EA5513" w:rsidRPr="00EA5513" w:rsidRDefault="00EA5513" w:rsidP="00EA5513">
            <w:pPr>
              <w:jc w:val="center"/>
              <w:rPr>
                <w:rFonts w:ascii="Calibri" w:hAnsi="Calibri" w:cs="Calibri"/>
                <w:color w:val="000000"/>
                <w:sz w:val="18"/>
                <w:szCs w:val="20"/>
                <w:lang w:val="en-AU" w:eastAsia="en-AU"/>
              </w:rPr>
            </w:pPr>
            <w:r w:rsidRPr="00EA5513">
              <w:rPr>
                <w:rFonts w:ascii="Calibri" w:eastAsia="PMingLiU" w:hAnsi="Calibri" w:cs="Calibri"/>
                <w:bCs/>
                <w:color w:val="000000"/>
                <w:sz w:val="18"/>
                <w:szCs w:val="20"/>
                <w:lang w:val="en-GB" w:eastAsia="fr-FR"/>
              </w:rPr>
              <w:t>B</w:t>
            </w:r>
            <w:r w:rsidRPr="00EA5513">
              <w:rPr>
                <w:rFonts w:ascii="Calibri" w:eastAsia="PMingLiU" w:hAnsi="Calibri" w:cs="Calibri"/>
                <w:bCs/>
                <w:color w:val="000000"/>
                <w:sz w:val="18"/>
                <w:szCs w:val="20"/>
                <w:vertAlign w:val="subscript"/>
                <w:lang w:val="en-GB" w:eastAsia="fr-FR"/>
              </w:rPr>
              <w:t>2028</w:t>
            </w:r>
            <w:r w:rsidRPr="00EA5513">
              <w:rPr>
                <w:rFonts w:ascii="Calibri" w:hAnsi="Calibri" w:cs="Calibri"/>
                <w:color w:val="000000"/>
                <w:kern w:val="24"/>
                <w:sz w:val="18"/>
                <w:szCs w:val="20"/>
                <w:lang w:val="en-AU" w:eastAsia="en-AU"/>
              </w:rPr>
              <w:t xml:space="preserve"> &lt; </w:t>
            </w:r>
            <w:r w:rsidRPr="00EA5513">
              <w:rPr>
                <w:rFonts w:ascii="Calibri" w:eastAsia="PMingLiU" w:hAnsi="Calibri" w:cs="Calibri"/>
                <w:bCs/>
                <w:color w:val="000000"/>
                <w:sz w:val="18"/>
                <w:szCs w:val="20"/>
                <w:lang w:val="en-GB" w:eastAsia="fr-FR"/>
              </w:rPr>
              <w:t>B</w:t>
            </w:r>
            <w:r w:rsidRPr="00EA5513">
              <w:rPr>
                <w:rFonts w:ascii="Calibri" w:eastAsia="PMingLiU" w:hAnsi="Calibri" w:cs="Calibri"/>
                <w:bCs/>
                <w:color w:val="000000"/>
                <w:sz w:val="18"/>
                <w:szCs w:val="20"/>
                <w:vertAlign w:val="subscript"/>
                <w:lang w:val="en-GB" w:eastAsia="fr-FR"/>
              </w:rPr>
              <w:t>MSY</w:t>
            </w:r>
          </w:p>
        </w:tc>
        <w:tc>
          <w:tcPr>
            <w:tcW w:w="1234" w:type="dxa"/>
            <w:tcMar>
              <w:top w:w="15" w:type="dxa"/>
              <w:left w:w="15" w:type="dxa"/>
              <w:bottom w:w="0" w:type="dxa"/>
              <w:right w:w="15" w:type="dxa"/>
            </w:tcMar>
            <w:vAlign w:val="bottom"/>
          </w:tcPr>
          <w:p w14:paraId="7BCE2CBB"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8</w:t>
            </w:r>
          </w:p>
        </w:tc>
        <w:tc>
          <w:tcPr>
            <w:tcW w:w="1250" w:type="dxa"/>
            <w:tcMar>
              <w:top w:w="15" w:type="dxa"/>
              <w:left w:w="15" w:type="dxa"/>
              <w:bottom w:w="0" w:type="dxa"/>
              <w:right w:w="15" w:type="dxa"/>
            </w:tcMar>
            <w:vAlign w:val="bottom"/>
          </w:tcPr>
          <w:p w14:paraId="2F96F5B3"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19.5</w:t>
            </w:r>
          </w:p>
        </w:tc>
        <w:tc>
          <w:tcPr>
            <w:tcW w:w="1277" w:type="dxa"/>
            <w:tcMar>
              <w:top w:w="15" w:type="dxa"/>
              <w:left w:w="15" w:type="dxa"/>
              <w:bottom w:w="0" w:type="dxa"/>
              <w:right w:w="15" w:type="dxa"/>
            </w:tcMar>
            <w:vAlign w:val="bottom"/>
          </w:tcPr>
          <w:p w14:paraId="4D5C9FEE"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35.1</w:t>
            </w:r>
          </w:p>
        </w:tc>
        <w:tc>
          <w:tcPr>
            <w:tcW w:w="1414" w:type="dxa"/>
            <w:tcMar>
              <w:top w:w="15" w:type="dxa"/>
              <w:left w:w="15" w:type="dxa"/>
              <w:bottom w:w="0" w:type="dxa"/>
              <w:right w:w="15" w:type="dxa"/>
            </w:tcMar>
            <w:vAlign w:val="bottom"/>
          </w:tcPr>
          <w:p w14:paraId="7570475F"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49.1</w:t>
            </w:r>
          </w:p>
        </w:tc>
        <w:tc>
          <w:tcPr>
            <w:tcW w:w="1466" w:type="dxa"/>
            <w:tcMar>
              <w:top w:w="15" w:type="dxa"/>
              <w:left w:w="15" w:type="dxa"/>
              <w:bottom w:w="0" w:type="dxa"/>
              <w:right w:w="15" w:type="dxa"/>
            </w:tcMar>
            <w:vAlign w:val="bottom"/>
          </w:tcPr>
          <w:p w14:paraId="6F6F0683" w14:textId="77777777" w:rsidR="00EA5513" w:rsidRPr="00EA5513" w:rsidRDefault="00EA5513" w:rsidP="00EA5513">
            <w:pPr>
              <w:jc w:val="center"/>
              <w:textAlignment w:val="bottom"/>
              <w:rPr>
                <w:rFonts w:ascii="Calibri" w:hAnsi="Calibri" w:cs="Calibri"/>
                <w:color w:val="000000"/>
                <w:sz w:val="22"/>
                <w:szCs w:val="20"/>
                <w:lang w:val="en-AU" w:eastAsia="en-AU"/>
              </w:rPr>
            </w:pPr>
            <w:r w:rsidRPr="00EA5513">
              <w:rPr>
                <w:rFonts w:ascii="Calibri" w:hAnsi="Calibri" w:cs="Calibri"/>
                <w:color w:val="000000"/>
                <w:sz w:val="22"/>
                <w:szCs w:val="22"/>
                <w:lang w:eastAsia="fr-FR"/>
              </w:rPr>
              <w:t>60.8</w:t>
            </w:r>
          </w:p>
        </w:tc>
      </w:tr>
      <w:tr w:rsidR="00EA5513" w:rsidRPr="00EA5513" w14:paraId="495616D4" w14:textId="77777777" w:rsidTr="00DA1BB9">
        <w:trPr>
          <w:trHeight w:val="283"/>
          <w:jc w:val="center"/>
        </w:trPr>
        <w:tc>
          <w:tcPr>
            <w:tcW w:w="2759" w:type="dxa"/>
            <w:tcBorders>
              <w:top w:val="nil"/>
              <w:left w:val="nil"/>
              <w:bottom w:val="single" w:sz="4" w:space="0" w:color="auto"/>
              <w:right w:val="nil"/>
            </w:tcBorders>
            <w:tcMar>
              <w:top w:w="15" w:type="dxa"/>
              <w:left w:w="108" w:type="dxa"/>
              <w:bottom w:w="0" w:type="dxa"/>
              <w:right w:w="108" w:type="dxa"/>
            </w:tcMar>
            <w:vAlign w:val="center"/>
            <w:hideMark/>
          </w:tcPr>
          <w:p w14:paraId="3CD8F841" w14:textId="77777777" w:rsidR="00EA5513" w:rsidRPr="00EA5513" w:rsidRDefault="00EA5513" w:rsidP="00EA5513">
            <w:pPr>
              <w:jc w:val="center"/>
              <w:rPr>
                <w:rFonts w:ascii="Calibri" w:hAnsi="Calibri" w:cs="Calibri"/>
                <w:color w:val="000000"/>
                <w:kern w:val="24"/>
                <w:sz w:val="18"/>
                <w:szCs w:val="20"/>
                <w:lang w:val="en-AU" w:eastAsia="en-AU"/>
              </w:rPr>
            </w:pPr>
            <w:r w:rsidRPr="00EA5513">
              <w:rPr>
                <w:rFonts w:ascii="Calibri" w:eastAsia="PMingLiU" w:hAnsi="Calibri" w:cs="Calibri"/>
                <w:bCs/>
                <w:color w:val="000000"/>
                <w:sz w:val="18"/>
                <w:szCs w:val="20"/>
                <w:lang w:val="en-GB" w:eastAsia="fr-FR"/>
              </w:rPr>
              <w:lastRenderedPageBreak/>
              <w:t>F</w:t>
            </w:r>
            <w:r w:rsidRPr="00EA5513">
              <w:rPr>
                <w:rFonts w:ascii="Calibri" w:eastAsia="PMingLiU" w:hAnsi="Calibri" w:cs="Calibri"/>
                <w:bCs/>
                <w:color w:val="000000"/>
                <w:sz w:val="18"/>
                <w:szCs w:val="20"/>
                <w:vertAlign w:val="subscript"/>
                <w:lang w:val="en-GB" w:eastAsia="fr-FR"/>
              </w:rPr>
              <w:t>2028</w:t>
            </w:r>
            <w:r w:rsidRPr="00EA5513">
              <w:rPr>
                <w:rFonts w:ascii="Calibri" w:hAnsi="Calibri" w:cs="Calibri"/>
                <w:color w:val="000000"/>
                <w:kern w:val="24"/>
                <w:sz w:val="18"/>
                <w:szCs w:val="20"/>
                <w:lang w:val="en-AU" w:eastAsia="en-AU"/>
              </w:rPr>
              <w:t xml:space="preserve"> &gt; F</w:t>
            </w:r>
            <w:r w:rsidRPr="00EA5513">
              <w:rPr>
                <w:rFonts w:ascii="Calibri" w:eastAsia="PMingLiU" w:hAnsi="Calibri" w:cs="Calibri"/>
                <w:bCs/>
                <w:color w:val="000000"/>
                <w:sz w:val="18"/>
                <w:szCs w:val="20"/>
                <w:vertAlign w:val="subscript"/>
                <w:lang w:val="en-GB" w:eastAsia="fr-FR"/>
              </w:rPr>
              <w:t>MSY</w:t>
            </w:r>
          </w:p>
        </w:tc>
        <w:tc>
          <w:tcPr>
            <w:tcW w:w="1234" w:type="dxa"/>
            <w:tcBorders>
              <w:top w:val="nil"/>
              <w:left w:val="nil"/>
              <w:bottom w:val="single" w:sz="4" w:space="0" w:color="auto"/>
              <w:right w:val="nil"/>
            </w:tcBorders>
            <w:tcMar>
              <w:top w:w="15" w:type="dxa"/>
              <w:left w:w="15" w:type="dxa"/>
              <w:bottom w:w="0" w:type="dxa"/>
              <w:right w:w="15" w:type="dxa"/>
            </w:tcMar>
            <w:vAlign w:val="bottom"/>
          </w:tcPr>
          <w:p w14:paraId="6AB8A0B0"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1.1</w:t>
            </w:r>
          </w:p>
        </w:tc>
        <w:tc>
          <w:tcPr>
            <w:tcW w:w="1250" w:type="dxa"/>
            <w:tcBorders>
              <w:top w:val="nil"/>
              <w:left w:val="nil"/>
              <w:bottom w:val="single" w:sz="4" w:space="0" w:color="auto"/>
              <w:right w:val="nil"/>
            </w:tcBorders>
            <w:tcMar>
              <w:top w:w="15" w:type="dxa"/>
              <w:left w:w="15" w:type="dxa"/>
              <w:bottom w:w="0" w:type="dxa"/>
              <w:right w:w="15" w:type="dxa"/>
            </w:tcMar>
            <w:vAlign w:val="bottom"/>
          </w:tcPr>
          <w:p w14:paraId="47F9804A"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6.9</w:t>
            </w:r>
          </w:p>
        </w:tc>
        <w:tc>
          <w:tcPr>
            <w:tcW w:w="1277" w:type="dxa"/>
            <w:tcBorders>
              <w:top w:val="nil"/>
              <w:left w:val="nil"/>
              <w:bottom w:val="single" w:sz="4" w:space="0" w:color="auto"/>
              <w:right w:val="nil"/>
            </w:tcBorders>
            <w:tcMar>
              <w:top w:w="15" w:type="dxa"/>
              <w:left w:w="15" w:type="dxa"/>
              <w:bottom w:w="0" w:type="dxa"/>
              <w:right w:w="15" w:type="dxa"/>
            </w:tcMar>
            <w:vAlign w:val="bottom"/>
          </w:tcPr>
          <w:p w14:paraId="49BB767E"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19.8</w:t>
            </w:r>
          </w:p>
        </w:tc>
        <w:tc>
          <w:tcPr>
            <w:tcW w:w="1414" w:type="dxa"/>
            <w:tcBorders>
              <w:top w:val="nil"/>
              <w:left w:val="nil"/>
              <w:bottom w:val="single" w:sz="4" w:space="0" w:color="auto"/>
              <w:right w:val="nil"/>
            </w:tcBorders>
            <w:tcMar>
              <w:top w:w="15" w:type="dxa"/>
              <w:left w:w="15" w:type="dxa"/>
              <w:bottom w:w="0" w:type="dxa"/>
              <w:right w:w="15" w:type="dxa"/>
            </w:tcMar>
            <w:vAlign w:val="bottom"/>
          </w:tcPr>
          <w:p w14:paraId="37BD90EC"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37.7</w:t>
            </w:r>
          </w:p>
        </w:tc>
        <w:tc>
          <w:tcPr>
            <w:tcW w:w="1466" w:type="dxa"/>
            <w:tcBorders>
              <w:top w:val="nil"/>
              <w:left w:val="nil"/>
              <w:bottom w:val="single" w:sz="4" w:space="0" w:color="auto"/>
              <w:right w:val="nil"/>
            </w:tcBorders>
            <w:tcMar>
              <w:top w:w="15" w:type="dxa"/>
              <w:left w:w="15" w:type="dxa"/>
              <w:bottom w:w="0" w:type="dxa"/>
              <w:right w:w="15" w:type="dxa"/>
            </w:tcMar>
            <w:vAlign w:val="bottom"/>
          </w:tcPr>
          <w:p w14:paraId="7E6D7CB5" w14:textId="77777777" w:rsidR="00EA5513" w:rsidRPr="00EA5513" w:rsidRDefault="00EA5513" w:rsidP="00EA5513">
            <w:pPr>
              <w:jc w:val="center"/>
              <w:textAlignment w:val="bottom"/>
              <w:rPr>
                <w:rFonts w:ascii="Calibri" w:hAnsi="Calibri" w:cs="Calibri"/>
                <w:color w:val="000000"/>
                <w:sz w:val="22"/>
                <w:szCs w:val="20"/>
                <w:lang w:val="en-AU" w:eastAsia="en-AU"/>
              </w:rPr>
            </w:pPr>
            <w:r w:rsidRPr="00EA5513">
              <w:rPr>
                <w:rFonts w:ascii="Calibri" w:hAnsi="Calibri" w:cs="Calibri"/>
                <w:color w:val="000000"/>
                <w:sz w:val="22"/>
                <w:szCs w:val="22"/>
                <w:lang w:eastAsia="fr-FR"/>
              </w:rPr>
              <w:t>55.6</w:t>
            </w:r>
          </w:p>
        </w:tc>
      </w:tr>
      <w:tr w:rsidR="00EA5513" w:rsidRPr="00EA5513" w14:paraId="529CD6DD" w14:textId="77777777" w:rsidTr="00DA1BB9">
        <w:trPr>
          <w:trHeight w:val="567"/>
          <w:jc w:val="center"/>
        </w:trPr>
        <w:tc>
          <w:tcPr>
            <w:tcW w:w="2759" w:type="dxa"/>
            <w:tcBorders>
              <w:top w:val="single" w:sz="4" w:space="0" w:color="auto"/>
              <w:left w:val="nil"/>
              <w:bottom w:val="single" w:sz="4" w:space="0" w:color="auto"/>
              <w:right w:val="nil"/>
            </w:tcBorders>
            <w:tcMar>
              <w:top w:w="15" w:type="dxa"/>
              <w:left w:w="108" w:type="dxa"/>
              <w:bottom w:w="0" w:type="dxa"/>
              <w:right w:w="108" w:type="dxa"/>
            </w:tcMar>
            <w:vAlign w:val="center"/>
            <w:hideMark/>
          </w:tcPr>
          <w:p w14:paraId="06B68C39" w14:textId="77777777" w:rsidR="00EA5513" w:rsidRPr="00EA5513" w:rsidRDefault="00EA5513" w:rsidP="00EA5513">
            <w:pPr>
              <w:jc w:val="center"/>
              <w:rPr>
                <w:rFonts w:ascii="Calibri" w:hAnsi="Calibri" w:cs="Calibri"/>
                <w:b/>
                <w:color w:val="000000"/>
                <w:sz w:val="22"/>
                <w:szCs w:val="20"/>
                <w:lang w:val="en-AU" w:eastAsia="en-AU"/>
              </w:rPr>
            </w:pPr>
            <w:r w:rsidRPr="00EA5513">
              <w:rPr>
                <w:rFonts w:ascii="Calibri" w:hAnsi="Calibri" w:cs="Calibri"/>
                <w:b/>
                <w:color w:val="000000"/>
                <w:sz w:val="20"/>
                <w:szCs w:val="20"/>
                <w:lang w:val="en-AU" w:eastAsia="en-AU"/>
              </w:rPr>
              <w:t>Reference point and projection timeframe</w:t>
            </w:r>
          </w:p>
        </w:tc>
        <w:tc>
          <w:tcPr>
            <w:tcW w:w="6641" w:type="dxa"/>
            <w:gridSpan w:val="5"/>
            <w:tcBorders>
              <w:top w:val="single" w:sz="4" w:space="0" w:color="auto"/>
              <w:left w:val="nil"/>
              <w:bottom w:val="single" w:sz="4" w:space="0" w:color="auto"/>
              <w:right w:val="nil"/>
            </w:tcBorders>
            <w:tcMar>
              <w:top w:w="15" w:type="dxa"/>
              <w:left w:w="108" w:type="dxa"/>
              <w:bottom w:w="0" w:type="dxa"/>
              <w:right w:w="108" w:type="dxa"/>
            </w:tcMar>
            <w:vAlign w:val="center"/>
            <w:hideMark/>
          </w:tcPr>
          <w:p w14:paraId="242E2BF1" w14:textId="77777777" w:rsidR="00EA5513" w:rsidRPr="00EA5513" w:rsidRDefault="00EA5513" w:rsidP="00EA5513">
            <w:pPr>
              <w:jc w:val="center"/>
              <w:rPr>
                <w:rFonts w:ascii="Calibri" w:hAnsi="Calibri" w:cs="Calibri"/>
                <w:b/>
                <w:color w:val="000000"/>
                <w:sz w:val="20"/>
                <w:szCs w:val="20"/>
                <w:lang w:val="en-AU" w:eastAsia="en-AU"/>
              </w:rPr>
            </w:pPr>
            <w:r w:rsidRPr="00EA5513">
              <w:rPr>
                <w:rFonts w:ascii="Calibri" w:hAnsi="Calibri" w:cs="Calibri"/>
                <w:b/>
                <w:color w:val="000000"/>
                <w:sz w:val="20"/>
                <w:szCs w:val="20"/>
                <w:lang w:val="en-AU" w:eastAsia="en-AU"/>
              </w:rPr>
              <w:t>Alternative catch projections (relative to the catch level from 2018) and probability (%) of violating MSY-based limit reference points</w:t>
            </w:r>
          </w:p>
          <w:p w14:paraId="1A589019" w14:textId="77777777" w:rsidR="00EA5513" w:rsidRPr="00EA5513" w:rsidRDefault="00EA5513" w:rsidP="00EA5513">
            <w:pPr>
              <w:jc w:val="center"/>
              <w:rPr>
                <w:rFonts w:ascii="Calibri" w:hAnsi="Calibri" w:cs="Calibri"/>
                <w:b/>
                <w:color w:val="000000"/>
                <w:sz w:val="22"/>
                <w:szCs w:val="20"/>
                <w:lang w:val="en-AU" w:eastAsia="en-AU"/>
              </w:rPr>
            </w:pPr>
            <w:r w:rsidRPr="00EA5513">
              <w:rPr>
                <w:rFonts w:ascii="Calibri" w:hAnsi="Calibri" w:cs="Calibri"/>
                <w:b/>
                <w:color w:val="000000"/>
                <w:sz w:val="20"/>
                <w:szCs w:val="20"/>
                <w:lang w:val="en-AU" w:eastAsia="en-AU"/>
              </w:rPr>
              <w:t>(B</w:t>
            </w:r>
            <w:r w:rsidRPr="00EA5513">
              <w:rPr>
                <w:rFonts w:ascii="Calibri" w:hAnsi="Calibri" w:cs="Calibri"/>
                <w:b/>
                <w:color w:val="000000"/>
                <w:sz w:val="20"/>
                <w:szCs w:val="20"/>
                <w:vertAlign w:val="subscript"/>
                <w:lang w:val="en-AU" w:eastAsia="en-AU"/>
              </w:rPr>
              <w:t>lim</w:t>
            </w:r>
            <w:r w:rsidRPr="00EA5513">
              <w:rPr>
                <w:rFonts w:ascii="Calibri" w:hAnsi="Calibri" w:cs="Calibri"/>
                <w:b/>
                <w:color w:val="000000"/>
                <w:sz w:val="20"/>
                <w:szCs w:val="20"/>
                <w:lang w:val="en-AU" w:eastAsia="en-AU"/>
              </w:rPr>
              <w:t xml:space="preserve"> = 0.5 B</w:t>
            </w:r>
            <w:r w:rsidRPr="00EA5513">
              <w:rPr>
                <w:rFonts w:ascii="Calibri" w:hAnsi="Calibri" w:cs="Calibri"/>
                <w:b/>
                <w:color w:val="000000"/>
                <w:sz w:val="20"/>
                <w:szCs w:val="20"/>
                <w:vertAlign w:val="subscript"/>
                <w:lang w:val="en-AU" w:eastAsia="en-AU"/>
              </w:rPr>
              <w:t>MSY</w:t>
            </w:r>
            <w:r w:rsidRPr="00EA5513">
              <w:rPr>
                <w:rFonts w:ascii="Calibri" w:hAnsi="Calibri" w:cs="Calibri"/>
                <w:b/>
                <w:color w:val="000000"/>
                <w:sz w:val="20"/>
                <w:szCs w:val="20"/>
                <w:lang w:val="en-AU" w:eastAsia="en-AU"/>
              </w:rPr>
              <w:t>; F</w:t>
            </w:r>
            <w:r w:rsidRPr="00EA5513">
              <w:rPr>
                <w:rFonts w:ascii="Calibri" w:hAnsi="Calibri" w:cs="Calibri"/>
                <w:b/>
                <w:color w:val="000000"/>
                <w:sz w:val="20"/>
                <w:szCs w:val="20"/>
                <w:vertAlign w:val="subscript"/>
                <w:lang w:val="en-AU" w:eastAsia="en-AU"/>
              </w:rPr>
              <w:t>Lim</w:t>
            </w:r>
            <w:r w:rsidRPr="00EA5513">
              <w:rPr>
                <w:rFonts w:ascii="Calibri" w:hAnsi="Calibri" w:cs="Calibri"/>
                <w:b/>
                <w:color w:val="000000"/>
                <w:sz w:val="20"/>
                <w:szCs w:val="20"/>
                <w:lang w:val="en-AU" w:eastAsia="en-AU"/>
              </w:rPr>
              <w:t xml:space="preserve"> = 1.3 F</w:t>
            </w:r>
            <w:r w:rsidRPr="00EA5513">
              <w:rPr>
                <w:rFonts w:ascii="Calibri" w:hAnsi="Calibri" w:cs="Calibri"/>
                <w:b/>
                <w:color w:val="000000"/>
                <w:sz w:val="20"/>
                <w:szCs w:val="20"/>
                <w:vertAlign w:val="subscript"/>
                <w:lang w:val="en-AU" w:eastAsia="en-AU"/>
              </w:rPr>
              <w:t>MSY</w:t>
            </w:r>
            <w:r w:rsidRPr="00EA5513">
              <w:rPr>
                <w:rFonts w:ascii="Calibri" w:hAnsi="Calibri" w:cs="Calibri"/>
                <w:b/>
                <w:color w:val="000000"/>
                <w:sz w:val="20"/>
                <w:szCs w:val="20"/>
                <w:lang w:val="en-AU" w:eastAsia="en-AU"/>
              </w:rPr>
              <w:t>)</w:t>
            </w:r>
          </w:p>
        </w:tc>
      </w:tr>
      <w:tr w:rsidR="00EA5513" w:rsidRPr="00EA5513" w14:paraId="003BD243" w14:textId="77777777" w:rsidTr="00DA1BB9">
        <w:trPr>
          <w:trHeight w:val="283"/>
          <w:jc w:val="center"/>
        </w:trPr>
        <w:tc>
          <w:tcPr>
            <w:tcW w:w="2759" w:type="dxa"/>
            <w:tcBorders>
              <w:top w:val="single" w:sz="4" w:space="0" w:color="auto"/>
              <w:left w:val="nil"/>
              <w:bottom w:val="nil"/>
              <w:right w:val="nil"/>
            </w:tcBorders>
            <w:tcMar>
              <w:top w:w="15" w:type="dxa"/>
              <w:left w:w="108" w:type="dxa"/>
              <w:bottom w:w="0" w:type="dxa"/>
              <w:right w:w="108" w:type="dxa"/>
            </w:tcMar>
            <w:vAlign w:val="center"/>
            <w:hideMark/>
          </w:tcPr>
          <w:p w14:paraId="65EBB692" w14:textId="77777777" w:rsidR="00EA5513" w:rsidRPr="00EA5513" w:rsidRDefault="00EA5513" w:rsidP="00EA5513">
            <w:pPr>
              <w:rPr>
                <w:rFonts w:ascii="Calibri" w:eastAsia="MS Mincho" w:hAnsi="Calibri" w:cs="Calibri"/>
                <w:sz w:val="18"/>
                <w:szCs w:val="20"/>
                <w:lang w:val="en-GB" w:eastAsia="en-GB"/>
              </w:rPr>
            </w:pPr>
          </w:p>
        </w:tc>
        <w:tc>
          <w:tcPr>
            <w:tcW w:w="1234" w:type="dxa"/>
            <w:tcBorders>
              <w:top w:val="single" w:sz="4" w:space="0" w:color="auto"/>
              <w:left w:val="nil"/>
              <w:bottom w:val="single" w:sz="4" w:space="0" w:color="auto"/>
              <w:right w:val="nil"/>
            </w:tcBorders>
            <w:tcMar>
              <w:top w:w="15" w:type="dxa"/>
              <w:left w:w="108" w:type="dxa"/>
              <w:bottom w:w="0" w:type="dxa"/>
              <w:right w:w="108" w:type="dxa"/>
            </w:tcMar>
            <w:vAlign w:val="center"/>
            <w:hideMark/>
          </w:tcPr>
          <w:p w14:paraId="1EC7FA86" w14:textId="77777777" w:rsidR="00EA5513" w:rsidRPr="00EA5513" w:rsidRDefault="00EA5513" w:rsidP="00EA5513">
            <w:pPr>
              <w:jc w:val="center"/>
              <w:rPr>
                <w:rFonts w:ascii="Calibri" w:hAnsi="Calibri" w:cs="Calibri"/>
                <w:b/>
                <w:bCs/>
                <w:color w:val="000000"/>
                <w:kern w:val="24"/>
                <w:sz w:val="18"/>
                <w:szCs w:val="20"/>
                <w:lang w:val="en-AU" w:eastAsia="en-AU"/>
              </w:rPr>
            </w:pPr>
            <w:r w:rsidRPr="00EA5513">
              <w:rPr>
                <w:rFonts w:ascii="Calibri" w:hAnsi="Calibri" w:cs="Calibri"/>
                <w:b/>
                <w:bCs/>
                <w:color w:val="000000"/>
                <w:kern w:val="24"/>
                <w:sz w:val="18"/>
                <w:szCs w:val="20"/>
                <w:lang w:val="en-AU" w:eastAsia="en-AU"/>
              </w:rPr>
              <w:t>60%</w:t>
            </w:r>
          </w:p>
          <w:p w14:paraId="78E2A757" w14:textId="77777777" w:rsidR="00EA5513" w:rsidRPr="00EA5513" w:rsidRDefault="00EA5513" w:rsidP="00EA5513">
            <w:pPr>
              <w:jc w:val="center"/>
              <w:rPr>
                <w:rFonts w:ascii="Calibri" w:hAnsi="Calibri" w:cs="Calibri"/>
                <w:color w:val="000000"/>
                <w:sz w:val="18"/>
                <w:szCs w:val="20"/>
                <w:lang w:val="en-AU" w:eastAsia="en-AU"/>
              </w:rPr>
            </w:pPr>
            <w:r w:rsidRPr="00EA5513">
              <w:rPr>
                <w:rFonts w:ascii="Calibri" w:hAnsi="Calibri" w:cs="Calibri"/>
                <w:bCs/>
                <w:color w:val="000000"/>
                <w:kern w:val="24"/>
                <w:sz w:val="18"/>
                <w:szCs w:val="20"/>
                <w:lang w:val="en-AU" w:eastAsia="en-AU"/>
              </w:rPr>
              <w:t>(48,848t)</w:t>
            </w:r>
          </w:p>
        </w:tc>
        <w:tc>
          <w:tcPr>
            <w:tcW w:w="1250" w:type="dxa"/>
            <w:tcBorders>
              <w:top w:val="single" w:sz="4" w:space="0" w:color="auto"/>
              <w:left w:val="nil"/>
              <w:bottom w:val="single" w:sz="4" w:space="0" w:color="auto"/>
              <w:right w:val="nil"/>
            </w:tcBorders>
            <w:tcMar>
              <w:top w:w="15" w:type="dxa"/>
              <w:left w:w="108" w:type="dxa"/>
              <w:bottom w:w="0" w:type="dxa"/>
              <w:right w:w="108" w:type="dxa"/>
            </w:tcMar>
            <w:vAlign w:val="center"/>
            <w:hideMark/>
          </w:tcPr>
          <w:p w14:paraId="2A3AAB72" w14:textId="77777777" w:rsidR="00EA5513" w:rsidRPr="00EA5513" w:rsidRDefault="00EA5513" w:rsidP="00EA5513">
            <w:pPr>
              <w:jc w:val="center"/>
              <w:rPr>
                <w:rFonts w:ascii="Calibri" w:hAnsi="Calibri" w:cs="Calibri"/>
                <w:b/>
                <w:bCs/>
                <w:color w:val="000000"/>
                <w:kern w:val="24"/>
                <w:sz w:val="18"/>
                <w:szCs w:val="20"/>
                <w:lang w:val="en-AU" w:eastAsia="en-AU"/>
              </w:rPr>
            </w:pPr>
            <w:r w:rsidRPr="00EA5513">
              <w:rPr>
                <w:rFonts w:ascii="Calibri" w:hAnsi="Calibri" w:cs="Calibri"/>
                <w:b/>
                <w:bCs/>
                <w:color w:val="000000"/>
                <w:kern w:val="24"/>
                <w:sz w:val="18"/>
                <w:szCs w:val="20"/>
                <w:lang w:val="en-AU" w:eastAsia="en-AU"/>
              </w:rPr>
              <w:t>70%</w:t>
            </w:r>
          </w:p>
          <w:p w14:paraId="27CFEB30" w14:textId="77777777" w:rsidR="00EA5513" w:rsidRPr="00EA5513" w:rsidRDefault="00EA5513" w:rsidP="00EA5513">
            <w:pPr>
              <w:jc w:val="center"/>
              <w:rPr>
                <w:rFonts w:ascii="Calibri" w:hAnsi="Calibri" w:cs="Calibri"/>
                <w:color w:val="000000"/>
                <w:sz w:val="18"/>
                <w:szCs w:val="20"/>
                <w:lang w:val="en-AU" w:eastAsia="en-AU"/>
              </w:rPr>
            </w:pPr>
            <w:r w:rsidRPr="00EA5513">
              <w:rPr>
                <w:rFonts w:ascii="Calibri" w:hAnsi="Calibri" w:cs="Calibri"/>
                <w:bCs/>
                <w:color w:val="000000"/>
                <w:kern w:val="24"/>
                <w:sz w:val="18"/>
                <w:szCs w:val="20"/>
                <w:lang w:val="en-AU" w:eastAsia="en-AU"/>
              </w:rPr>
              <w:t>(56,990t)</w:t>
            </w:r>
          </w:p>
        </w:tc>
        <w:tc>
          <w:tcPr>
            <w:tcW w:w="1277" w:type="dxa"/>
            <w:tcBorders>
              <w:top w:val="single" w:sz="4" w:space="0" w:color="auto"/>
              <w:left w:val="nil"/>
              <w:bottom w:val="single" w:sz="4" w:space="0" w:color="auto"/>
              <w:right w:val="nil"/>
            </w:tcBorders>
            <w:tcMar>
              <w:top w:w="15" w:type="dxa"/>
              <w:left w:w="108" w:type="dxa"/>
              <w:bottom w:w="0" w:type="dxa"/>
              <w:right w:w="108" w:type="dxa"/>
            </w:tcMar>
            <w:vAlign w:val="center"/>
            <w:hideMark/>
          </w:tcPr>
          <w:p w14:paraId="6E7E61CF" w14:textId="77777777" w:rsidR="00EA5513" w:rsidRPr="00EA5513" w:rsidRDefault="00EA5513" w:rsidP="00EA5513">
            <w:pPr>
              <w:jc w:val="center"/>
              <w:rPr>
                <w:rFonts w:ascii="Calibri" w:hAnsi="Calibri" w:cs="Calibri"/>
                <w:b/>
                <w:bCs/>
                <w:color w:val="000000"/>
                <w:kern w:val="24"/>
                <w:sz w:val="18"/>
                <w:szCs w:val="20"/>
                <w:lang w:val="en-AU" w:eastAsia="en-AU"/>
              </w:rPr>
            </w:pPr>
            <w:r w:rsidRPr="00EA5513">
              <w:rPr>
                <w:rFonts w:ascii="Calibri" w:hAnsi="Calibri" w:cs="Calibri"/>
                <w:b/>
                <w:bCs/>
                <w:color w:val="000000"/>
                <w:kern w:val="24"/>
                <w:sz w:val="18"/>
                <w:szCs w:val="20"/>
                <w:lang w:val="en-AU" w:eastAsia="en-AU"/>
              </w:rPr>
              <w:t>80%</w:t>
            </w:r>
          </w:p>
          <w:p w14:paraId="017B2615" w14:textId="77777777" w:rsidR="00EA5513" w:rsidRPr="00EA5513" w:rsidRDefault="00EA5513" w:rsidP="00EA5513">
            <w:pPr>
              <w:jc w:val="center"/>
              <w:rPr>
                <w:rFonts w:ascii="Calibri" w:hAnsi="Calibri" w:cs="Calibri"/>
                <w:color w:val="000000"/>
                <w:sz w:val="18"/>
                <w:szCs w:val="20"/>
                <w:lang w:val="en-AU" w:eastAsia="en-AU"/>
              </w:rPr>
            </w:pPr>
            <w:r w:rsidRPr="00EA5513">
              <w:rPr>
                <w:rFonts w:ascii="Calibri" w:hAnsi="Calibri" w:cs="Calibri"/>
                <w:bCs/>
                <w:color w:val="000000"/>
                <w:kern w:val="24"/>
                <w:sz w:val="18"/>
                <w:szCs w:val="20"/>
                <w:lang w:val="en-AU" w:eastAsia="en-AU"/>
              </w:rPr>
              <w:t>(65,130t)</w:t>
            </w:r>
          </w:p>
        </w:tc>
        <w:tc>
          <w:tcPr>
            <w:tcW w:w="1414" w:type="dxa"/>
            <w:tcBorders>
              <w:top w:val="single" w:sz="4" w:space="0" w:color="auto"/>
              <w:left w:val="nil"/>
              <w:bottom w:val="single" w:sz="4" w:space="0" w:color="auto"/>
              <w:right w:val="nil"/>
            </w:tcBorders>
            <w:tcMar>
              <w:top w:w="15" w:type="dxa"/>
              <w:left w:w="108" w:type="dxa"/>
              <w:bottom w:w="0" w:type="dxa"/>
              <w:right w:w="108" w:type="dxa"/>
            </w:tcMar>
            <w:vAlign w:val="center"/>
            <w:hideMark/>
          </w:tcPr>
          <w:p w14:paraId="6C70AC0C" w14:textId="77777777" w:rsidR="00EA5513" w:rsidRPr="00EA5513" w:rsidRDefault="00EA5513" w:rsidP="00EA5513">
            <w:pPr>
              <w:jc w:val="center"/>
              <w:rPr>
                <w:rFonts w:ascii="Calibri" w:hAnsi="Calibri" w:cs="Calibri"/>
                <w:b/>
                <w:bCs/>
                <w:color w:val="000000"/>
                <w:kern w:val="24"/>
                <w:sz w:val="18"/>
                <w:szCs w:val="20"/>
                <w:lang w:val="en-AU" w:eastAsia="en-AU"/>
              </w:rPr>
            </w:pPr>
            <w:r w:rsidRPr="00EA5513">
              <w:rPr>
                <w:rFonts w:ascii="Calibri" w:hAnsi="Calibri" w:cs="Calibri"/>
                <w:b/>
                <w:bCs/>
                <w:color w:val="000000"/>
                <w:kern w:val="24"/>
                <w:sz w:val="18"/>
                <w:szCs w:val="20"/>
                <w:lang w:val="en-AU" w:eastAsia="en-AU"/>
              </w:rPr>
              <w:t>90%</w:t>
            </w:r>
          </w:p>
          <w:p w14:paraId="39853FF2" w14:textId="77777777" w:rsidR="00EA5513" w:rsidRPr="00EA5513" w:rsidRDefault="00EA5513" w:rsidP="00EA5513">
            <w:pPr>
              <w:jc w:val="center"/>
              <w:rPr>
                <w:rFonts w:ascii="Calibri" w:hAnsi="Calibri" w:cs="Calibri"/>
                <w:color w:val="000000"/>
                <w:sz w:val="18"/>
                <w:szCs w:val="20"/>
                <w:lang w:val="en-AU" w:eastAsia="en-AU"/>
              </w:rPr>
            </w:pPr>
            <w:r w:rsidRPr="00EA5513">
              <w:rPr>
                <w:rFonts w:ascii="Calibri" w:hAnsi="Calibri" w:cs="Calibri"/>
                <w:bCs/>
                <w:color w:val="000000"/>
                <w:kern w:val="24"/>
                <w:sz w:val="18"/>
                <w:szCs w:val="20"/>
                <w:lang w:val="en-AU" w:eastAsia="en-AU"/>
              </w:rPr>
              <w:t>(73,272t)</w:t>
            </w:r>
          </w:p>
        </w:tc>
        <w:tc>
          <w:tcPr>
            <w:tcW w:w="1466" w:type="dxa"/>
            <w:tcBorders>
              <w:top w:val="single" w:sz="4" w:space="0" w:color="auto"/>
              <w:left w:val="nil"/>
              <w:bottom w:val="single" w:sz="4" w:space="0" w:color="auto"/>
              <w:right w:val="nil"/>
            </w:tcBorders>
            <w:tcMar>
              <w:top w:w="15" w:type="dxa"/>
              <w:left w:w="108" w:type="dxa"/>
              <w:bottom w:w="0" w:type="dxa"/>
              <w:right w:w="108" w:type="dxa"/>
            </w:tcMar>
            <w:vAlign w:val="center"/>
          </w:tcPr>
          <w:p w14:paraId="47F30865" w14:textId="77777777" w:rsidR="00EA5513" w:rsidRPr="00EA5513" w:rsidRDefault="00EA5513" w:rsidP="00EA5513">
            <w:pPr>
              <w:jc w:val="center"/>
              <w:rPr>
                <w:rFonts w:ascii="Calibri" w:hAnsi="Calibri" w:cs="Calibri"/>
                <w:b/>
                <w:bCs/>
                <w:color w:val="000000"/>
                <w:kern w:val="24"/>
                <w:sz w:val="18"/>
                <w:szCs w:val="20"/>
                <w:lang w:val="en-AU" w:eastAsia="en-AU"/>
              </w:rPr>
            </w:pPr>
            <w:r w:rsidRPr="00EA5513">
              <w:rPr>
                <w:rFonts w:ascii="Calibri" w:hAnsi="Calibri" w:cs="Calibri"/>
                <w:b/>
                <w:bCs/>
                <w:color w:val="000000"/>
                <w:kern w:val="24"/>
                <w:sz w:val="18"/>
                <w:szCs w:val="20"/>
                <w:lang w:val="en-AU" w:eastAsia="en-AU"/>
              </w:rPr>
              <w:t>100%</w:t>
            </w:r>
          </w:p>
          <w:p w14:paraId="5195F098" w14:textId="77777777" w:rsidR="00EA5513" w:rsidRPr="00EA5513" w:rsidRDefault="00EA5513" w:rsidP="00EA5513">
            <w:pPr>
              <w:jc w:val="center"/>
              <w:rPr>
                <w:rFonts w:ascii="Calibri" w:hAnsi="Calibri" w:cs="Calibri"/>
                <w:color w:val="000000"/>
                <w:sz w:val="18"/>
                <w:szCs w:val="20"/>
                <w:lang w:val="en-AU" w:eastAsia="en-AU"/>
              </w:rPr>
            </w:pPr>
            <w:r w:rsidRPr="00EA5513">
              <w:rPr>
                <w:rFonts w:ascii="Calibri" w:hAnsi="Calibri" w:cs="Calibri"/>
                <w:bCs/>
                <w:color w:val="000000"/>
                <w:kern w:val="24"/>
                <w:sz w:val="18"/>
                <w:szCs w:val="20"/>
                <w:lang w:val="en-AU" w:eastAsia="en-AU"/>
              </w:rPr>
              <w:t>(81,413t)</w:t>
            </w:r>
          </w:p>
        </w:tc>
      </w:tr>
      <w:tr w:rsidR="00EA5513" w:rsidRPr="00EA5513" w14:paraId="4BA32876" w14:textId="77777777" w:rsidTr="00DA1BB9">
        <w:trPr>
          <w:trHeight w:val="283"/>
          <w:jc w:val="center"/>
        </w:trPr>
        <w:tc>
          <w:tcPr>
            <w:tcW w:w="2759" w:type="dxa"/>
            <w:tcMar>
              <w:top w:w="15" w:type="dxa"/>
              <w:left w:w="108" w:type="dxa"/>
              <w:bottom w:w="0" w:type="dxa"/>
              <w:right w:w="108" w:type="dxa"/>
            </w:tcMar>
            <w:vAlign w:val="center"/>
            <w:hideMark/>
          </w:tcPr>
          <w:p w14:paraId="11FDFC0E" w14:textId="77777777" w:rsidR="00EA5513" w:rsidRPr="00EA5513" w:rsidRDefault="00EA5513" w:rsidP="00EA5513">
            <w:pPr>
              <w:jc w:val="center"/>
              <w:rPr>
                <w:rFonts w:ascii="Calibri" w:hAnsi="Calibri" w:cs="Calibri"/>
                <w:color w:val="000000"/>
                <w:sz w:val="18"/>
                <w:szCs w:val="20"/>
                <w:lang w:val="en-AU" w:eastAsia="en-AU"/>
              </w:rPr>
            </w:pPr>
            <w:r w:rsidRPr="00EA5513">
              <w:rPr>
                <w:rFonts w:ascii="Calibri" w:eastAsia="PMingLiU" w:hAnsi="Calibri" w:cs="Calibri"/>
                <w:bCs/>
                <w:color w:val="000000"/>
                <w:sz w:val="18"/>
                <w:szCs w:val="20"/>
                <w:lang w:val="en-GB" w:eastAsia="fr-FR"/>
              </w:rPr>
              <w:t>B</w:t>
            </w:r>
            <w:r w:rsidRPr="00EA5513">
              <w:rPr>
                <w:rFonts w:ascii="Calibri" w:eastAsia="PMingLiU" w:hAnsi="Calibri" w:cs="Calibri"/>
                <w:bCs/>
                <w:color w:val="000000"/>
                <w:sz w:val="18"/>
                <w:szCs w:val="20"/>
                <w:vertAlign w:val="subscript"/>
                <w:lang w:val="en-GB" w:eastAsia="fr-FR"/>
              </w:rPr>
              <w:t>2021</w:t>
            </w:r>
            <w:r w:rsidRPr="00EA5513">
              <w:rPr>
                <w:rFonts w:ascii="Calibri" w:hAnsi="Calibri" w:cs="Calibri"/>
                <w:color w:val="000000"/>
                <w:kern w:val="24"/>
                <w:sz w:val="18"/>
                <w:szCs w:val="20"/>
                <w:lang w:val="en-AU" w:eastAsia="en-AU"/>
              </w:rPr>
              <w:t xml:space="preserve"> &lt; </w:t>
            </w:r>
            <w:r w:rsidRPr="00EA5513">
              <w:rPr>
                <w:rFonts w:ascii="Calibri" w:eastAsia="PMingLiU" w:hAnsi="Calibri" w:cs="Calibri"/>
                <w:bCs/>
                <w:color w:val="000000"/>
                <w:sz w:val="18"/>
                <w:szCs w:val="20"/>
                <w:lang w:val="en-GB" w:eastAsia="fr-FR"/>
              </w:rPr>
              <w:t>B</w:t>
            </w:r>
            <w:r w:rsidRPr="00EA5513">
              <w:rPr>
                <w:rFonts w:ascii="Calibri" w:eastAsia="PMingLiU" w:hAnsi="Calibri" w:cs="Calibri"/>
                <w:bCs/>
                <w:color w:val="000000"/>
                <w:sz w:val="18"/>
                <w:szCs w:val="20"/>
                <w:vertAlign w:val="subscript"/>
                <w:lang w:val="en-GB" w:eastAsia="fr-FR"/>
              </w:rPr>
              <w:t>LIM</w:t>
            </w:r>
          </w:p>
        </w:tc>
        <w:tc>
          <w:tcPr>
            <w:tcW w:w="1234" w:type="dxa"/>
            <w:tcBorders>
              <w:top w:val="single" w:sz="4" w:space="0" w:color="auto"/>
              <w:left w:val="nil"/>
              <w:bottom w:val="nil"/>
              <w:right w:val="nil"/>
            </w:tcBorders>
            <w:tcMar>
              <w:top w:w="15" w:type="dxa"/>
              <w:left w:w="15" w:type="dxa"/>
              <w:bottom w:w="0" w:type="dxa"/>
              <w:right w:w="15" w:type="dxa"/>
            </w:tcMar>
            <w:vAlign w:val="bottom"/>
          </w:tcPr>
          <w:p w14:paraId="57BB62E7"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0</w:t>
            </w:r>
          </w:p>
        </w:tc>
        <w:tc>
          <w:tcPr>
            <w:tcW w:w="1250" w:type="dxa"/>
            <w:tcBorders>
              <w:top w:val="single" w:sz="4" w:space="0" w:color="auto"/>
              <w:left w:val="nil"/>
              <w:bottom w:val="nil"/>
              <w:right w:val="nil"/>
            </w:tcBorders>
            <w:tcMar>
              <w:top w:w="15" w:type="dxa"/>
              <w:left w:w="15" w:type="dxa"/>
              <w:bottom w:w="0" w:type="dxa"/>
              <w:right w:w="15" w:type="dxa"/>
            </w:tcMar>
            <w:vAlign w:val="bottom"/>
          </w:tcPr>
          <w:p w14:paraId="4ACE1A81"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0</w:t>
            </w:r>
          </w:p>
        </w:tc>
        <w:tc>
          <w:tcPr>
            <w:tcW w:w="1277" w:type="dxa"/>
            <w:tcBorders>
              <w:top w:val="single" w:sz="4" w:space="0" w:color="auto"/>
              <w:left w:val="nil"/>
              <w:bottom w:val="nil"/>
              <w:right w:val="nil"/>
            </w:tcBorders>
            <w:tcMar>
              <w:top w:w="15" w:type="dxa"/>
              <w:left w:w="15" w:type="dxa"/>
              <w:bottom w:w="0" w:type="dxa"/>
              <w:right w:w="15" w:type="dxa"/>
            </w:tcMar>
            <w:vAlign w:val="bottom"/>
          </w:tcPr>
          <w:p w14:paraId="5FDBAA11"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0</w:t>
            </w:r>
          </w:p>
        </w:tc>
        <w:tc>
          <w:tcPr>
            <w:tcW w:w="1414" w:type="dxa"/>
            <w:tcBorders>
              <w:top w:val="single" w:sz="4" w:space="0" w:color="auto"/>
              <w:left w:val="nil"/>
              <w:bottom w:val="nil"/>
              <w:right w:val="nil"/>
            </w:tcBorders>
            <w:tcMar>
              <w:top w:w="15" w:type="dxa"/>
              <w:left w:w="15" w:type="dxa"/>
              <w:bottom w:w="0" w:type="dxa"/>
              <w:right w:w="15" w:type="dxa"/>
            </w:tcMar>
            <w:vAlign w:val="bottom"/>
          </w:tcPr>
          <w:p w14:paraId="09183AE7"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0</w:t>
            </w:r>
          </w:p>
        </w:tc>
        <w:tc>
          <w:tcPr>
            <w:tcW w:w="1466" w:type="dxa"/>
            <w:tcBorders>
              <w:top w:val="single" w:sz="4" w:space="0" w:color="auto"/>
              <w:left w:val="nil"/>
              <w:bottom w:val="nil"/>
              <w:right w:val="nil"/>
            </w:tcBorders>
            <w:tcMar>
              <w:top w:w="15" w:type="dxa"/>
              <w:left w:w="15" w:type="dxa"/>
              <w:bottom w:w="0" w:type="dxa"/>
              <w:right w:w="15" w:type="dxa"/>
            </w:tcMar>
            <w:vAlign w:val="bottom"/>
          </w:tcPr>
          <w:p w14:paraId="0198528A"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0</w:t>
            </w:r>
          </w:p>
        </w:tc>
      </w:tr>
      <w:tr w:rsidR="00EA5513" w:rsidRPr="00EA5513" w14:paraId="2AC5FB6B" w14:textId="77777777" w:rsidTr="00DA1BB9">
        <w:trPr>
          <w:trHeight w:val="283"/>
          <w:jc w:val="center"/>
        </w:trPr>
        <w:tc>
          <w:tcPr>
            <w:tcW w:w="2759" w:type="dxa"/>
            <w:tcMar>
              <w:top w:w="15" w:type="dxa"/>
              <w:left w:w="108" w:type="dxa"/>
              <w:bottom w:w="0" w:type="dxa"/>
              <w:right w:w="108" w:type="dxa"/>
            </w:tcMar>
            <w:vAlign w:val="center"/>
            <w:hideMark/>
          </w:tcPr>
          <w:p w14:paraId="4D5416C7" w14:textId="77777777" w:rsidR="00EA5513" w:rsidRPr="00EA5513" w:rsidRDefault="00EA5513" w:rsidP="00EA5513">
            <w:pPr>
              <w:jc w:val="center"/>
              <w:rPr>
                <w:rFonts w:ascii="Calibri" w:hAnsi="Calibri" w:cs="Calibri"/>
                <w:color w:val="000000"/>
                <w:kern w:val="24"/>
                <w:sz w:val="18"/>
                <w:szCs w:val="20"/>
                <w:lang w:val="en-AU" w:eastAsia="en-AU"/>
              </w:rPr>
            </w:pPr>
            <w:r w:rsidRPr="00EA5513">
              <w:rPr>
                <w:rFonts w:ascii="Calibri" w:eastAsia="PMingLiU" w:hAnsi="Calibri" w:cs="Calibri"/>
                <w:bCs/>
                <w:color w:val="000000"/>
                <w:sz w:val="18"/>
                <w:szCs w:val="20"/>
                <w:lang w:val="en-GB" w:eastAsia="fr-FR"/>
              </w:rPr>
              <w:t>F</w:t>
            </w:r>
            <w:r w:rsidRPr="00EA5513">
              <w:rPr>
                <w:rFonts w:ascii="Calibri" w:eastAsia="PMingLiU" w:hAnsi="Calibri" w:cs="Calibri"/>
                <w:bCs/>
                <w:color w:val="000000"/>
                <w:sz w:val="18"/>
                <w:szCs w:val="20"/>
                <w:vertAlign w:val="subscript"/>
                <w:lang w:val="en-GB" w:eastAsia="fr-FR"/>
              </w:rPr>
              <w:t>2021</w:t>
            </w:r>
            <w:r w:rsidRPr="00EA5513">
              <w:rPr>
                <w:rFonts w:ascii="Calibri" w:hAnsi="Calibri" w:cs="Calibri"/>
                <w:color w:val="000000"/>
                <w:kern w:val="24"/>
                <w:sz w:val="18"/>
                <w:szCs w:val="20"/>
                <w:lang w:val="en-AU" w:eastAsia="en-AU"/>
              </w:rPr>
              <w:t xml:space="preserve"> &gt; F</w:t>
            </w:r>
            <w:r w:rsidRPr="00EA5513">
              <w:rPr>
                <w:rFonts w:ascii="Calibri" w:eastAsia="PMingLiU" w:hAnsi="Calibri" w:cs="Calibri"/>
                <w:bCs/>
                <w:color w:val="000000"/>
                <w:sz w:val="18"/>
                <w:szCs w:val="20"/>
                <w:vertAlign w:val="subscript"/>
                <w:lang w:val="en-GB" w:eastAsia="fr-FR"/>
              </w:rPr>
              <w:t>LIM</w:t>
            </w:r>
          </w:p>
        </w:tc>
        <w:tc>
          <w:tcPr>
            <w:tcW w:w="1234" w:type="dxa"/>
            <w:tcMar>
              <w:top w:w="15" w:type="dxa"/>
              <w:left w:w="15" w:type="dxa"/>
              <w:bottom w:w="0" w:type="dxa"/>
              <w:right w:w="15" w:type="dxa"/>
            </w:tcMar>
            <w:vAlign w:val="bottom"/>
          </w:tcPr>
          <w:p w14:paraId="2DFAA26A"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6.0</w:t>
            </w:r>
          </w:p>
        </w:tc>
        <w:tc>
          <w:tcPr>
            <w:tcW w:w="1250" w:type="dxa"/>
            <w:tcMar>
              <w:top w:w="15" w:type="dxa"/>
              <w:left w:w="15" w:type="dxa"/>
              <w:bottom w:w="0" w:type="dxa"/>
              <w:right w:w="15" w:type="dxa"/>
            </w:tcMar>
            <w:vAlign w:val="bottom"/>
          </w:tcPr>
          <w:p w14:paraId="03359959"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11.0</w:t>
            </w:r>
          </w:p>
        </w:tc>
        <w:tc>
          <w:tcPr>
            <w:tcW w:w="1277" w:type="dxa"/>
            <w:tcMar>
              <w:top w:w="15" w:type="dxa"/>
              <w:left w:w="15" w:type="dxa"/>
              <w:bottom w:w="0" w:type="dxa"/>
              <w:right w:w="15" w:type="dxa"/>
            </w:tcMar>
            <w:vAlign w:val="bottom"/>
          </w:tcPr>
          <w:p w14:paraId="3A48A0D5"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17.0</w:t>
            </w:r>
          </w:p>
        </w:tc>
        <w:tc>
          <w:tcPr>
            <w:tcW w:w="1414" w:type="dxa"/>
            <w:tcMar>
              <w:top w:w="15" w:type="dxa"/>
              <w:left w:w="15" w:type="dxa"/>
              <w:bottom w:w="0" w:type="dxa"/>
              <w:right w:w="15" w:type="dxa"/>
            </w:tcMar>
            <w:vAlign w:val="bottom"/>
          </w:tcPr>
          <w:p w14:paraId="0F4ED963"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28.0</w:t>
            </w:r>
          </w:p>
        </w:tc>
        <w:tc>
          <w:tcPr>
            <w:tcW w:w="1466" w:type="dxa"/>
            <w:tcMar>
              <w:top w:w="15" w:type="dxa"/>
              <w:left w:w="15" w:type="dxa"/>
              <w:bottom w:w="0" w:type="dxa"/>
              <w:right w:w="15" w:type="dxa"/>
            </w:tcMar>
            <w:vAlign w:val="bottom"/>
          </w:tcPr>
          <w:p w14:paraId="5EF65273"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39.0</w:t>
            </w:r>
          </w:p>
        </w:tc>
      </w:tr>
      <w:tr w:rsidR="00EA5513" w:rsidRPr="00EA5513" w14:paraId="50E4E1D6" w14:textId="77777777" w:rsidTr="00DA1BB9">
        <w:trPr>
          <w:trHeight w:val="102"/>
          <w:jc w:val="center"/>
        </w:trPr>
        <w:tc>
          <w:tcPr>
            <w:tcW w:w="2759" w:type="dxa"/>
            <w:tcMar>
              <w:top w:w="15" w:type="dxa"/>
              <w:left w:w="108" w:type="dxa"/>
              <w:bottom w:w="0" w:type="dxa"/>
              <w:right w:w="108" w:type="dxa"/>
            </w:tcMar>
            <w:vAlign w:val="center"/>
            <w:hideMark/>
          </w:tcPr>
          <w:p w14:paraId="084AF218" w14:textId="77777777" w:rsidR="00EA5513" w:rsidRPr="00EA5513" w:rsidRDefault="00EA5513" w:rsidP="00EA5513">
            <w:pPr>
              <w:rPr>
                <w:rFonts w:ascii="Calibri" w:eastAsia="MS Mincho" w:hAnsi="Calibri" w:cs="Calibri"/>
                <w:sz w:val="18"/>
                <w:szCs w:val="20"/>
                <w:lang w:val="en-GB" w:eastAsia="en-GB"/>
              </w:rPr>
            </w:pPr>
          </w:p>
        </w:tc>
        <w:tc>
          <w:tcPr>
            <w:tcW w:w="1234" w:type="dxa"/>
            <w:tcMar>
              <w:top w:w="15" w:type="dxa"/>
              <w:left w:w="15" w:type="dxa"/>
              <w:bottom w:w="0" w:type="dxa"/>
              <w:right w:w="15" w:type="dxa"/>
            </w:tcMar>
            <w:vAlign w:val="center"/>
          </w:tcPr>
          <w:p w14:paraId="3E363B5D" w14:textId="77777777" w:rsidR="00EA5513" w:rsidRPr="00EA5513" w:rsidRDefault="00EA5513" w:rsidP="00EA5513">
            <w:pPr>
              <w:jc w:val="center"/>
              <w:rPr>
                <w:rFonts w:ascii="Calibri" w:hAnsi="Calibri" w:cs="Calibri"/>
                <w:color w:val="000000"/>
                <w:sz w:val="18"/>
                <w:szCs w:val="20"/>
                <w:lang w:val="en-AU" w:eastAsia="en-AU"/>
              </w:rPr>
            </w:pPr>
          </w:p>
        </w:tc>
        <w:tc>
          <w:tcPr>
            <w:tcW w:w="1250" w:type="dxa"/>
            <w:tcMar>
              <w:top w:w="15" w:type="dxa"/>
              <w:left w:w="15" w:type="dxa"/>
              <w:bottom w:w="0" w:type="dxa"/>
              <w:right w:w="15" w:type="dxa"/>
            </w:tcMar>
            <w:vAlign w:val="center"/>
          </w:tcPr>
          <w:p w14:paraId="419044EA" w14:textId="77777777" w:rsidR="00EA5513" w:rsidRPr="00EA5513" w:rsidRDefault="00EA5513" w:rsidP="00EA5513">
            <w:pPr>
              <w:jc w:val="center"/>
              <w:rPr>
                <w:rFonts w:ascii="Calibri" w:hAnsi="Calibri" w:cs="Calibri"/>
                <w:color w:val="000000"/>
                <w:sz w:val="18"/>
                <w:szCs w:val="20"/>
                <w:lang w:val="en-AU" w:eastAsia="en-AU"/>
              </w:rPr>
            </w:pPr>
          </w:p>
        </w:tc>
        <w:tc>
          <w:tcPr>
            <w:tcW w:w="1277" w:type="dxa"/>
            <w:tcMar>
              <w:top w:w="15" w:type="dxa"/>
              <w:left w:w="15" w:type="dxa"/>
              <w:bottom w:w="0" w:type="dxa"/>
              <w:right w:w="15" w:type="dxa"/>
            </w:tcMar>
            <w:vAlign w:val="center"/>
          </w:tcPr>
          <w:p w14:paraId="56B08E96" w14:textId="77777777" w:rsidR="00EA5513" w:rsidRPr="00EA5513" w:rsidRDefault="00EA5513" w:rsidP="00EA5513">
            <w:pPr>
              <w:jc w:val="center"/>
              <w:rPr>
                <w:rFonts w:ascii="Calibri" w:hAnsi="Calibri" w:cs="Calibri"/>
                <w:color w:val="FF0000"/>
                <w:sz w:val="18"/>
                <w:szCs w:val="20"/>
                <w:lang w:val="en-AU" w:eastAsia="en-AU"/>
              </w:rPr>
            </w:pPr>
          </w:p>
        </w:tc>
        <w:tc>
          <w:tcPr>
            <w:tcW w:w="1414" w:type="dxa"/>
            <w:tcMar>
              <w:top w:w="15" w:type="dxa"/>
              <w:left w:w="15" w:type="dxa"/>
              <w:bottom w:w="0" w:type="dxa"/>
              <w:right w:w="15" w:type="dxa"/>
            </w:tcMar>
            <w:vAlign w:val="center"/>
          </w:tcPr>
          <w:p w14:paraId="4E5AF891" w14:textId="77777777" w:rsidR="00EA5513" w:rsidRPr="00EA5513" w:rsidRDefault="00EA5513" w:rsidP="00EA5513">
            <w:pPr>
              <w:jc w:val="center"/>
              <w:rPr>
                <w:rFonts w:ascii="Calibri" w:hAnsi="Calibri" w:cs="Calibri"/>
                <w:color w:val="FF0000"/>
                <w:sz w:val="18"/>
                <w:szCs w:val="20"/>
                <w:lang w:val="en-AU" w:eastAsia="en-AU"/>
              </w:rPr>
            </w:pPr>
          </w:p>
        </w:tc>
        <w:tc>
          <w:tcPr>
            <w:tcW w:w="1466" w:type="dxa"/>
            <w:tcMar>
              <w:top w:w="15" w:type="dxa"/>
              <w:left w:w="15" w:type="dxa"/>
              <w:bottom w:w="0" w:type="dxa"/>
              <w:right w:w="15" w:type="dxa"/>
            </w:tcMar>
            <w:vAlign w:val="center"/>
          </w:tcPr>
          <w:p w14:paraId="12FEB7FB" w14:textId="77777777" w:rsidR="00EA5513" w:rsidRPr="00EA5513" w:rsidRDefault="00EA5513" w:rsidP="00EA5513">
            <w:pPr>
              <w:jc w:val="center"/>
              <w:rPr>
                <w:rFonts w:ascii="Calibri" w:hAnsi="Calibri" w:cs="Calibri"/>
                <w:color w:val="FF0000"/>
                <w:sz w:val="18"/>
                <w:szCs w:val="20"/>
                <w:lang w:val="en-AU" w:eastAsia="en-AU"/>
              </w:rPr>
            </w:pPr>
          </w:p>
        </w:tc>
      </w:tr>
      <w:tr w:rsidR="00EA5513" w:rsidRPr="00EA5513" w14:paraId="4DCED1E0" w14:textId="77777777" w:rsidTr="00DA1BB9">
        <w:trPr>
          <w:trHeight w:val="283"/>
          <w:jc w:val="center"/>
        </w:trPr>
        <w:tc>
          <w:tcPr>
            <w:tcW w:w="2759" w:type="dxa"/>
            <w:tcMar>
              <w:top w:w="15" w:type="dxa"/>
              <w:left w:w="108" w:type="dxa"/>
              <w:bottom w:w="0" w:type="dxa"/>
              <w:right w:w="108" w:type="dxa"/>
            </w:tcMar>
            <w:vAlign w:val="center"/>
            <w:hideMark/>
          </w:tcPr>
          <w:p w14:paraId="77B8BDC8" w14:textId="77777777" w:rsidR="00EA5513" w:rsidRPr="00EA5513" w:rsidRDefault="00EA5513" w:rsidP="00EA5513">
            <w:pPr>
              <w:jc w:val="center"/>
              <w:rPr>
                <w:rFonts w:ascii="Calibri" w:hAnsi="Calibri" w:cs="Calibri"/>
                <w:color w:val="000000"/>
                <w:sz w:val="18"/>
                <w:szCs w:val="20"/>
                <w:lang w:val="en-AU" w:eastAsia="en-AU"/>
              </w:rPr>
            </w:pPr>
            <w:r w:rsidRPr="00EA5513">
              <w:rPr>
                <w:rFonts w:ascii="Calibri" w:eastAsia="PMingLiU" w:hAnsi="Calibri" w:cs="Calibri"/>
                <w:bCs/>
                <w:color w:val="000000"/>
                <w:sz w:val="18"/>
                <w:szCs w:val="20"/>
                <w:lang w:val="en-GB" w:eastAsia="fr-FR"/>
              </w:rPr>
              <w:t>B</w:t>
            </w:r>
            <w:r w:rsidRPr="00EA5513">
              <w:rPr>
                <w:rFonts w:ascii="Calibri" w:eastAsia="PMingLiU" w:hAnsi="Calibri" w:cs="Calibri"/>
                <w:bCs/>
                <w:color w:val="000000"/>
                <w:sz w:val="18"/>
                <w:szCs w:val="20"/>
                <w:vertAlign w:val="subscript"/>
                <w:lang w:val="en-GB" w:eastAsia="fr-FR"/>
              </w:rPr>
              <w:t>2028</w:t>
            </w:r>
            <w:r w:rsidRPr="00EA5513">
              <w:rPr>
                <w:rFonts w:ascii="Calibri" w:hAnsi="Calibri" w:cs="Calibri"/>
                <w:color w:val="000000"/>
                <w:kern w:val="24"/>
                <w:sz w:val="18"/>
                <w:szCs w:val="20"/>
                <w:lang w:val="en-AU" w:eastAsia="en-AU"/>
              </w:rPr>
              <w:t xml:space="preserve"> &lt; </w:t>
            </w:r>
            <w:r w:rsidRPr="00EA5513">
              <w:rPr>
                <w:rFonts w:ascii="Calibri" w:eastAsia="PMingLiU" w:hAnsi="Calibri" w:cs="Calibri"/>
                <w:bCs/>
                <w:color w:val="000000"/>
                <w:sz w:val="18"/>
                <w:szCs w:val="20"/>
                <w:lang w:val="en-GB" w:eastAsia="fr-FR"/>
              </w:rPr>
              <w:t>B</w:t>
            </w:r>
            <w:r w:rsidRPr="00EA5513">
              <w:rPr>
                <w:rFonts w:ascii="Calibri" w:eastAsia="PMingLiU" w:hAnsi="Calibri" w:cs="Calibri"/>
                <w:bCs/>
                <w:color w:val="000000"/>
                <w:sz w:val="18"/>
                <w:szCs w:val="20"/>
                <w:vertAlign w:val="subscript"/>
                <w:lang w:val="en-GB" w:eastAsia="fr-FR"/>
              </w:rPr>
              <w:t>LIM</w:t>
            </w:r>
          </w:p>
        </w:tc>
        <w:tc>
          <w:tcPr>
            <w:tcW w:w="1234" w:type="dxa"/>
            <w:tcMar>
              <w:top w:w="15" w:type="dxa"/>
              <w:left w:w="15" w:type="dxa"/>
              <w:bottom w:w="0" w:type="dxa"/>
              <w:right w:w="15" w:type="dxa"/>
            </w:tcMar>
            <w:vAlign w:val="bottom"/>
          </w:tcPr>
          <w:p w14:paraId="0555A935"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0.0</w:t>
            </w:r>
          </w:p>
        </w:tc>
        <w:tc>
          <w:tcPr>
            <w:tcW w:w="1250" w:type="dxa"/>
            <w:tcMar>
              <w:top w:w="15" w:type="dxa"/>
              <w:left w:w="15" w:type="dxa"/>
              <w:bottom w:w="0" w:type="dxa"/>
              <w:right w:w="15" w:type="dxa"/>
            </w:tcMar>
            <w:vAlign w:val="bottom"/>
          </w:tcPr>
          <w:p w14:paraId="4248F9FF"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0.0</w:t>
            </w:r>
          </w:p>
        </w:tc>
        <w:tc>
          <w:tcPr>
            <w:tcW w:w="1277" w:type="dxa"/>
            <w:tcMar>
              <w:top w:w="15" w:type="dxa"/>
              <w:left w:w="15" w:type="dxa"/>
              <w:bottom w:w="0" w:type="dxa"/>
              <w:right w:w="15" w:type="dxa"/>
            </w:tcMar>
            <w:vAlign w:val="bottom"/>
          </w:tcPr>
          <w:p w14:paraId="04AB77C5"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6.0</w:t>
            </w:r>
          </w:p>
        </w:tc>
        <w:tc>
          <w:tcPr>
            <w:tcW w:w="1414" w:type="dxa"/>
            <w:tcMar>
              <w:top w:w="15" w:type="dxa"/>
              <w:left w:w="15" w:type="dxa"/>
              <w:bottom w:w="0" w:type="dxa"/>
              <w:right w:w="15" w:type="dxa"/>
            </w:tcMar>
            <w:vAlign w:val="bottom"/>
          </w:tcPr>
          <w:p w14:paraId="411E62A9"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11.0</w:t>
            </w:r>
          </w:p>
        </w:tc>
        <w:tc>
          <w:tcPr>
            <w:tcW w:w="1466" w:type="dxa"/>
            <w:tcMar>
              <w:top w:w="15" w:type="dxa"/>
              <w:left w:w="15" w:type="dxa"/>
              <w:bottom w:w="0" w:type="dxa"/>
              <w:right w:w="15" w:type="dxa"/>
            </w:tcMar>
            <w:vAlign w:val="bottom"/>
          </w:tcPr>
          <w:p w14:paraId="45BBB9AC"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22.0</w:t>
            </w:r>
          </w:p>
        </w:tc>
      </w:tr>
      <w:tr w:rsidR="00EA5513" w:rsidRPr="00EA5513" w14:paraId="076B37C1" w14:textId="77777777" w:rsidTr="00DA1BB9">
        <w:trPr>
          <w:trHeight w:val="283"/>
          <w:jc w:val="center"/>
        </w:trPr>
        <w:tc>
          <w:tcPr>
            <w:tcW w:w="2759" w:type="dxa"/>
            <w:tcBorders>
              <w:top w:val="nil"/>
              <w:left w:val="nil"/>
              <w:bottom w:val="single" w:sz="4" w:space="0" w:color="auto"/>
              <w:right w:val="nil"/>
            </w:tcBorders>
            <w:tcMar>
              <w:top w:w="15" w:type="dxa"/>
              <w:left w:w="108" w:type="dxa"/>
              <w:bottom w:w="0" w:type="dxa"/>
              <w:right w:w="108" w:type="dxa"/>
            </w:tcMar>
            <w:vAlign w:val="center"/>
            <w:hideMark/>
          </w:tcPr>
          <w:p w14:paraId="125668C7" w14:textId="77777777" w:rsidR="00EA5513" w:rsidRPr="00EA5513" w:rsidRDefault="00EA5513" w:rsidP="00EA5513">
            <w:pPr>
              <w:jc w:val="center"/>
              <w:rPr>
                <w:rFonts w:ascii="Calibri" w:hAnsi="Calibri" w:cs="Calibri"/>
                <w:color w:val="000000"/>
                <w:kern w:val="24"/>
                <w:sz w:val="18"/>
                <w:szCs w:val="20"/>
                <w:lang w:val="en-AU" w:eastAsia="en-AU"/>
              </w:rPr>
            </w:pPr>
            <w:r w:rsidRPr="00EA5513">
              <w:rPr>
                <w:rFonts w:ascii="Calibri" w:eastAsia="PMingLiU" w:hAnsi="Calibri" w:cs="Calibri"/>
                <w:bCs/>
                <w:color w:val="000000"/>
                <w:sz w:val="18"/>
                <w:szCs w:val="20"/>
                <w:lang w:val="en-GB" w:eastAsia="fr-FR"/>
              </w:rPr>
              <w:t>F</w:t>
            </w:r>
            <w:r w:rsidRPr="00EA5513">
              <w:rPr>
                <w:rFonts w:ascii="Calibri" w:eastAsia="PMingLiU" w:hAnsi="Calibri" w:cs="Calibri"/>
                <w:bCs/>
                <w:color w:val="000000"/>
                <w:sz w:val="18"/>
                <w:szCs w:val="20"/>
                <w:vertAlign w:val="subscript"/>
                <w:lang w:val="en-GB" w:eastAsia="fr-FR"/>
              </w:rPr>
              <w:t>2028</w:t>
            </w:r>
            <w:r w:rsidRPr="00EA5513">
              <w:rPr>
                <w:rFonts w:ascii="Calibri" w:hAnsi="Calibri" w:cs="Calibri"/>
                <w:color w:val="000000"/>
                <w:kern w:val="24"/>
                <w:sz w:val="18"/>
                <w:szCs w:val="20"/>
                <w:lang w:val="en-AU" w:eastAsia="en-AU"/>
              </w:rPr>
              <w:t xml:space="preserve"> &gt; F</w:t>
            </w:r>
            <w:r w:rsidRPr="00EA5513">
              <w:rPr>
                <w:rFonts w:ascii="Calibri" w:eastAsia="PMingLiU" w:hAnsi="Calibri" w:cs="Calibri"/>
                <w:bCs/>
                <w:color w:val="000000"/>
                <w:sz w:val="18"/>
                <w:szCs w:val="20"/>
                <w:vertAlign w:val="subscript"/>
                <w:lang w:val="en-GB" w:eastAsia="fr-FR"/>
              </w:rPr>
              <w:t>LIM</w:t>
            </w:r>
          </w:p>
        </w:tc>
        <w:tc>
          <w:tcPr>
            <w:tcW w:w="1234" w:type="dxa"/>
            <w:tcBorders>
              <w:top w:val="nil"/>
              <w:left w:val="nil"/>
              <w:bottom w:val="single" w:sz="4" w:space="0" w:color="auto"/>
              <w:right w:val="nil"/>
            </w:tcBorders>
            <w:tcMar>
              <w:top w:w="15" w:type="dxa"/>
              <w:left w:w="15" w:type="dxa"/>
              <w:bottom w:w="0" w:type="dxa"/>
              <w:right w:w="15" w:type="dxa"/>
            </w:tcMar>
            <w:vAlign w:val="bottom"/>
          </w:tcPr>
          <w:p w14:paraId="17FE4B13"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0.0</w:t>
            </w:r>
          </w:p>
        </w:tc>
        <w:tc>
          <w:tcPr>
            <w:tcW w:w="1250" w:type="dxa"/>
            <w:tcBorders>
              <w:top w:val="nil"/>
              <w:left w:val="nil"/>
              <w:bottom w:val="single" w:sz="4" w:space="0" w:color="auto"/>
              <w:right w:val="nil"/>
            </w:tcBorders>
            <w:tcMar>
              <w:top w:w="15" w:type="dxa"/>
              <w:left w:w="15" w:type="dxa"/>
              <w:bottom w:w="0" w:type="dxa"/>
              <w:right w:w="15" w:type="dxa"/>
            </w:tcMar>
            <w:vAlign w:val="bottom"/>
          </w:tcPr>
          <w:p w14:paraId="1192D4E6"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6.0</w:t>
            </w:r>
          </w:p>
        </w:tc>
        <w:tc>
          <w:tcPr>
            <w:tcW w:w="1277" w:type="dxa"/>
            <w:tcBorders>
              <w:top w:val="nil"/>
              <w:left w:val="nil"/>
              <w:bottom w:val="single" w:sz="4" w:space="0" w:color="auto"/>
              <w:right w:val="nil"/>
            </w:tcBorders>
            <w:tcMar>
              <w:top w:w="15" w:type="dxa"/>
              <w:left w:w="15" w:type="dxa"/>
              <w:bottom w:w="0" w:type="dxa"/>
              <w:right w:w="15" w:type="dxa"/>
            </w:tcMar>
            <w:vAlign w:val="bottom"/>
          </w:tcPr>
          <w:p w14:paraId="48FE297C"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17.0</w:t>
            </w:r>
          </w:p>
        </w:tc>
        <w:tc>
          <w:tcPr>
            <w:tcW w:w="1414" w:type="dxa"/>
            <w:tcBorders>
              <w:top w:val="nil"/>
              <w:left w:val="nil"/>
              <w:bottom w:val="single" w:sz="4" w:space="0" w:color="auto"/>
              <w:right w:val="nil"/>
            </w:tcBorders>
            <w:tcMar>
              <w:top w:w="15" w:type="dxa"/>
              <w:left w:w="15" w:type="dxa"/>
              <w:bottom w:w="0" w:type="dxa"/>
              <w:right w:w="15" w:type="dxa"/>
            </w:tcMar>
            <w:vAlign w:val="bottom"/>
          </w:tcPr>
          <w:p w14:paraId="598A6126"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22.0</w:t>
            </w:r>
          </w:p>
        </w:tc>
        <w:tc>
          <w:tcPr>
            <w:tcW w:w="1466" w:type="dxa"/>
            <w:tcBorders>
              <w:top w:val="nil"/>
              <w:left w:val="nil"/>
              <w:bottom w:val="single" w:sz="4" w:space="0" w:color="auto"/>
              <w:right w:val="nil"/>
            </w:tcBorders>
            <w:tcMar>
              <w:top w:w="15" w:type="dxa"/>
              <w:left w:w="15" w:type="dxa"/>
              <w:bottom w:w="0" w:type="dxa"/>
              <w:right w:w="15" w:type="dxa"/>
            </w:tcMar>
            <w:vAlign w:val="bottom"/>
          </w:tcPr>
          <w:p w14:paraId="2CBDC63F" w14:textId="77777777" w:rsidR="00EA5513" w:rsidRPr="00EA5513" w:rsidRDefault="00EA5513" w:rsidP="00EA5513">
            <w:pPr>
              <w:jc w:val="center"/>
              <w:textAlignment w:val="bottom"/>
              <w:rPr>
                <w:rFonts w:ascii="Calibri" w:hAnsi="Calibri" w:cs="Calibri"/>
                <w:color w:val="000000"/>
                <w:sz w:val="18"/>
                <w:szCs w:val="20"/>
                <w:lang w:val="en-AU" w:eastAsia="en-AU"/>
              </w:rPr>
            </w:pPr>
            <w:r w:rsidRPr="00EA5513">
              <w:rPr>
                <w:rFonts w:ascii="Calibri" w:hAnsi="Calibri" w:cs="Calibri"/>
                <w:color w:val="000000"/>
                <w:sz w:val="22"/>
                <w:szCs w:val="22"/>
                <w:lang w:eastAsia="fr-FR"/>
              </w:rPr>
              <w:t>39.0</w:t>
            </w:r>
          </w:p>
        </w:tc>
      </w:tr>
    </w:tbl>
    <w:p w14:paraId="669CD04B" w14:textId="77777777" w:rsidR="00EA5513" w:rsidRDefault="00EA5513">
      <w:pPr>
        <w:keepNext/>
        <w:pBdr>
          <w:top w:val="nil"/>
          <w:left w:val="nil"/>
          <w:bottom w:val="nil"/>
          <w:right w:val="nil"/>
          <w:between w:val="nil"/>
        </w:pBdr>
        <w:spacing w:before="120" w:after="120"/>
        <w:jc w:val="center"/>
        <w:rPr>
          <w:rFonts w:ascii="Arial" w:eastAsia="Arial" w:hAnsi="Arial" w:cs="Arial"/>
          <w:b/>
          <w:color w:val="808080"/>
          <w:sz w:val="18"/>
          <w:szCs w:val="18"/>
        </w:rPr>
      </w:pPr>
    </w:p>
    <w:p w14:paraId="3FB9D598" w14:textId="77777777" w:rsidR="00EA5513" w:rsidRDefault="00EA5513">
      <w:pPr>
        <w:rPr>
          <w:i/>
          <w:u w:val="single"/>
        </w:rPr>
      </w:pPr>
      <w:r>
        <w:rPr>
          <w:i/>
          <w:u w:val="single"/>
        </w:rPr>
        <w:br w:type="page"/>
      </w:r>
    </w:p>
    <w:p w14:paraId="0C1B2ED4" w14:textId="40D17D1F" w:rsidR="009A3D44" w:rsidRPr="00EA5513" w:rsidRDefault="00EA5513" w:rsidP="00EA5513">
      <w:pPr>
        <w:spacing w:after="120"/>
        <w:rPr>
          <w:i/>
          <w:u w:val="single"/>
        </w:rPr>
      </w:pPr>
      <w:r>
        <w:rPr>
          <w:i/>
          <w:u w:val="single"/>
        </w:rPr>
        <w:lastRenderedPageBreak/>
        <w:t xml:space="preserve">IOTC </w:t>
      </w:r>
      <w:r w:rsidRPr="00EA5513">
        <w:rPr>
          <w:i/>
          <w:u w:val="single"/>
        </w:rPr>
        <w:t>Data requirements</w:t>
      </w:r>
    </w:p>
    <w:p w14:paraId="09E0280D" w14:textId="77777777" w:rsidR="009A3D44" w:rsidRDefault="00BE1A09">
      <w:pPr>
        <w:keepNext/>
        <w:jc w:val="center"/>
      </w:pPr>
      <w:r>
        <w:rPr>
          <w:noProof/>
        </w:rPr>
        <w:drawing>
          <wp:inline distT="0" distB="0" distL="0" distR="0" wp14:anchorId="69373448" wp14:editId="05DDAC6A">
            <wp:extent cx="7800975" cy="5324475"/>
            <wp:effectExtent l="0" t="0" r="0" b="0"/>
            <wp:docPr id="5" name="image3.jpg" descr="A picture containing text, screenshot, numb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 screenshot, number&#10;&#10;Description automatically generated"/>
                    <pic:cNvPicPr preferRelativeResize="0"/>
                  </pic:nvPicPr>
                  <pic:blipFill>
                    <a:blip r:embed="rId12"/>
                    <a:srcRect/>
                    <a:stretch>
                      <a:fillRect/>
                    </a:stretch>
                  </pic:blipFill>
                  <pic:spPr>
                    <a:xfrm>
                      <a:off x="0" y="0"/>
                      <a:ext cx="7800975" cy="5324475"/>
                    </a:xfrm>
                    <a:prstGeom prst="rect">
                      <a:avLst/>
                    </a:prstGeom>
                    <a:ln/>
                  </pic:spPr>
                </pic:pic>
              </a:graphicData>
            </a:graphic>
          </wp:inline>
        </w:drawing>
      </w:r>
    </w:p>
    <w:p w14:paraId="776D3490" w14:textId="77777777" w:rsidR="009A3D44" w:rsidRDefault="00BE1A09">
      <w:pPr>
        <w:keepNext/>
        <w:pBdr>
          <w:top w:val="nil"/>
          <w:left w:val="nil"/>
          <w:bottom w:val="nil"/>
          <w:right w:val="nil"/>
          <w:between w:val="nil"/>
        </w:pBdr>
        <w:spacing w:before="120" w:after="120"/>
        <w:jc w:val="center"/>
        <w:rPr>
          <w:rFonts w:ascii="Arial" w:eastAsia="Arial" w:hAnsi="Arial" w:cs="Arial"/>
          <w:b/>
          <w:color w:val="808080"/>
          <w:sz w:val="18"/>
          <w:szCs w:val="18"/>
        </w:rPr>
      </w:pPr>
      <w:r>
        <w:rPr>
          <w:rFonts w:ascii="Arial" w:eastAsia="Arial" w:hAnsi="Arial" w:cs="Arial"/>
          <w:b/>
          <w:color w:val="808080"/>
          <w:sz w:val="18"/>
          <w:szCs w:val="18"/>
        </w:rPr>
        <w:t xml:space="preserve">Figure 5 Overview of the data reporting requirements, including IOTC reporting forms and tools, and Resolutions for the 16 IOTC species and bycatch species caught or interacted with by fisheries for tuna and tuna-like species in the IOTC area of competence. BB = </w:t>
      </w:r>
      <w:proofErr w:type="spellStart"/>
      <w:r>
        <w:rPr>
          <w:rFonts w:ascii="Arial" w:eastAsia="Arial" w:hAnsi="Arial" w:cs="Arial"/>
          <w:b/>
          <w:color w:val="808080"/>
          <w:sz w:val="18"/>
          <w:szCs w:val="18"/>
        </w:rPr>
        <w:t>Baitboat</w:t>
      </w:r>
      <w:proofErr w:type="spellEnd"/>
      <w:r>
        <w:rPr>
          <w:rFonts w:ascii="Arial" w:eastAsia="Arial" w:hAnsi="Arial" w:cs="Arial"/>
          <w:b/>
          <w:color w:val="808080"/>
          <w:sz w:val="18"/>
          <w:szCs w:val="18"/>
        </w:rPr>
        <w:t xml:space="preserve">; GN = Gillnet; LL = Longline; PS = Purse seine. * </w:t>
      </w:r>
      <w:proofErr w:type="gramStart"/>
      <w:r>
        <w:rPr>
          <w:rFonts w:ascii="Arial" w:eastAsia="Arial" w:hAnsi="Arial" w:cs="Arial"/>
          <w:b/>
          <w:color w:val="808080"/>
          <w:sz w:val="18"/>
          <w:szCs w:val="18"/>
        </w:rPr>
        <w:t>applies</w:t>
      </w:r>
      <w:proofErr w:type="gramEnd"/>
      <w:r>
        <w:rPr>
          <w:rFonts w:ascii="Arial" w:eastAsia="Arial" w:hAnsi="Arial" w:cs="Arial"/>
          <w:b/>
          <w:color w:val="808080"/>
          <w:sz w:val="18"/>
          <w:szCs w:val="18"/>
        </w:rPr>
        <w:t xml:space="preserve"> to CPCs that have objected to Res. 21/01 (Source: IOTC-2022-WPEB18-07_Rev1)</w:t>
      </w:r>
    </w:p>
    <w:p w14:paraId="33868135" w14:textId="77777777" w:rsidR="009A3D44" w:rsidRDefault="009A3D44">
      <w:pPr>
        <w:spacing w:after="120"/>
        <w:rPr>
          <w:i/>
        </w:rPr>
      </w:pPr>
    </w:p>
    <w:p w14:paraId="4A17A2B3" w14:textId="77777777" w:rsidR="009A3D44" w:rsidRDefault="009A3D44">
      <w:pPr>
        <w:spacing w:after="120"/>
        <w:jc w:val="center"/>
        <w:rPr>
          <w:i/>
        </w:rPr>
      </w:pPr>
    </w:p>
    <w:sectPr w:rsidR="009A3D44">
      <w:headerReference w:type="even" r:id="rId13"/>
      <w:headerReference w:type="first" r:id="rId14"/>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C33C" w14:textId="77777777" w:rsidR="00E66F61" w:rsidRDefault="00E66F61">
      <w:r>
        <w:separator/>
      </w:r>
    </w:p>
  </w:endnote>
  <w:endnote w:type="continuationSeparator" w:id="0">
    <w:p w14:paraId="7B3355D8" w14:textId="77777777" w:rsidR="00E66F61" w:rsidRDefault="00E6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E81E" w14:textId="77777777" w:rsidR="00E66F61" w:rsidRDefault="00E66F61">
      <w:r>
        <w:separator/>
      </w:r>
    </w:p>
  </w:footnote>
  <w:footnote w:type="continuationSeparator" w:id="0">
    <w:p w14:paraId="0778C6EC" w14:textId="77777777" w:rsidR="00E66F61" w:rsidRDefault="00E66F61">
      <w:r>
        <w:continuationSeparator/>
      </w:r>
    </w:p>
  </w:footnote>
  <w:footnote w:id="1">
    <w:p w14:paraId="763F4BFD" w14:textId="6E479B03" w:rsidR="00F53916" w:rsidRPr="00F53916" w:rsidRDefault="00F53916">
      <w:pPr>
        <w:pStyle w:val="FootnoteText"/>
        <w:rPr>
          <w:lang w:val="en-GB"/>
        </w:rPr>
      </w:pPr>
      <w:r>
        <w:rPr>
          <w:rStyle w:val="FootnoteReference"/>
        </w:rPr>
        <w:footnoteRef/>
      </w:r>
      <w:r>
        <w:t xml:space="preserve"> </w:t>
      </w:r>
      <w:r>
        <w:rPr>
          <w:lang w:val="en-GB"/>
        </w:rPr>
        <w:t xml:space="preserve">Scores in P1 for skipjack tuna and bigeye </w:t>
      </w:r>
      <w:r w:rsidR="00FD27DB">
        <w:rPr>
          <w:lang w:val="en-GB"/>
        </w:rPr>
        <w:t>are</w:t>
      </w:r>
      <w:r>
        <w:rPr>
          <w:lang w:val="en-GB"/>
        </w:rPr>
        <w:t xml:space="preserve"> the score</w:t>
      </w:r>
      <w:r w:rsidR="00FD27DB">
        <w:rPr>
          <w:lang w:val="en-GB"/>
        </w:rPr>
        <w:t>s</w:t>
      </w:r>
      <w:r>
        <w:rPr>
          <w:lang w:val="en-GB"/>
        </w:rPr>
        <w:t xml:space="preserve"> given at the time of the pre-assessment (Poseidon 2015) as the Fishery</w:t>
      </w:r>
      <w:r w:rsidR="00FD27DB">
        <w:rPr>
          <w:lang w:val="en-GB"/>
        </w:rPr>
        <w:t>p</w:t>
      </w:r>
      <w:r>
        <w:rPr>
          <w:lang w:val="en-GB"/>
        </w:rPr>
        <w:t>rogress</w:t>
      </w:r>
      <w:r w:rsidR="00FD27DB">
        <w:rPr>
          <w:lang w:val="en-GB"/>
        </w:rPr>
        <w:t xml:space="preserve">.org </w:t>
      </w:r>
      <w:r>
        <w:rPr>
          <w:lang w:val="en-GB"/>
        </w:rPr>
        <w:t xml:space="preserve">profile </w:t>
      </w:r>
      <w:r w:rsidR="00FD27DB">
        <w:rPr>
          <w:lang w:val="en-GB"/>
        </w:rPr>
        <w:t xml:space="preserve">only allows for the tracking of the most threatened species (yellowfin) and </w:t>
      </w:r>
      <w:r>
        <w:rPr>
          <w:lang w:val="en-GB"/>
        </w:rPr>
        <w:t xml:space="preserve">scores </w:t>
      </w:r>
      <w:r w:rsidR="00FD27DB">
        <w:rPr>
          <w:lang w:val="en-GB"/>
        </w:rPr>
        <w:t>for</w:t>
      </w:r>
      <w:r>
        <w:rPr>
          <w:lang w:val="en-GB"/>
        </w:rPr>
        <w:t xml:space="preserve"> 2022 are only given for th</w:t>
      </w:r>
      <w:r w:rsidR="00FD27DB">
        <w:rPr>
          <w:lang w:val="en-GB"/>
        </w:rPr>
        <w:t>is last species.</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5866" w14:textId="77777777" w:rsidR="009A3D44" w:rsidRDefault="00BE1A09">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9264" behindDoc="1" locked="0" layoutInCell="1" hidden="0" allowOverlap="1" wp14:anchorId="61CE7A65" wp14:editId="493A52A7">
          <wp:simplePos x="0" y="0"/>
          <wp:positionH relativeFrom="page">
            <wp:posOffset>-304799</wp:posOffset>
          </wp:positionH>
          <wp:positionV relativeFrom="page">
            <wp:posOffset>-392233</wp:posOffset>
          </wp:positionV>
          <wp:extent cx="8310022" cy="10693811"/>
          <wp:effectExtent l="0" t="0" r="0" b="0"/>
          <wp:wrapNone/>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310022" cy="1069381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5E01" w14:textId="77777777" w:rsidR="009A3D44" w:rsidRDefault="00BE1A09">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8240" behindDoc="1" locked="0" layoutInCell="1" hidden="0" allowOverlap="1" wp14:anchorId="5D81A1F7" wp14:editId="512F5DA4">
          <wp:simplePos x="0" y="0"/>
          <wp:positionH relativeFrom="page">
            <wp:posOffset>34925</wp:posOffset>
          </wp:positionH>
          <wp:positionV relativeFrom="page">
            <wp:posOffset>-200855</wp:posOffset>
          </wp:positionV>
          <wp:extent cx="10169718" cy="10383520"/>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0169718" cy="103835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80E70"/>
    <w:multiLevelType w:val="multilevel"/>
    <w:tmpl w:val="26944F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071809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44"/>
    <w:rsid w:val="00002AE6"/>
    <w:rsid w:val="000113BF"/>
    <w:rsid w:val="00036149"/>
    <w:rsid w:val="000375DF"/>
    <w:rsid w:val="0005232A"/>
    <w:rsid w:val="00053014"/>
    <w:rsid w:val="00086F0E"/>
    <w:rsid w:val="000A6AC8"/>
    <w:rsid w:val="000B45CE"/>
    <w:rsid w:val="000B5A18"/>
    <w:rsid w:val="000C01DE"/>
    <w:rsid w:val="000C1F31"/>
    <w:rsid w:val="000C3BE8"/>
    <w:rsid w:val="000D45D4"/>
    <w:rsid w:val="000E62A6"/>
    <w:rsid w:val="000F4757"/>
    <w:rsid w:val="000F7B40"/>
    <w:rsid w:val="001003EE"/>
    <w:rsid w:val="00101F06"/>
    <w:rsid w:val="00106D29"/>
    <w:rsid w:val="001151CB"/>
    <w:rsid w:val="00116367"/>
    <w:rsid w:val="00120EDE"/>
    <w:rsid w:val="0013009D"/>
    <w:rsid w:val="00133CAF"/>
    <w:rsid w:val="00134EAA"/>
    <w:rsid w:val="00143CB1"/>
    <w:rsid w:val="00145651"/>
    <w:rsid w:val="00150E7D"/>
    <w:rsid w:val="00161853"/>
    <w:rsid w:val="0017128D"/>
    <w:rsid w:val="00183311"/>
    <w:rsid w:val="00183707"/>
    <w:rsid w:val="00191342"/>
    <w:rsid w:val="001A26B4"/>
    <w:rsid w:val="001A7E80"/>
    <w:rsid w:val="001B5161"/>
    <w:rsid w:val="001B7306"/>
    <w:rsid w:val="001D73FB"/>
    <w:rsid w:val="001E166E"/>
    <w:rsid w:val="001E3974"/>
    <w:rsid w:val="001E63DA"/>
    <w:rsid w:val="001F13D7"/>
    <w:rsid w:val="00204361"/>
    <w:rsid w:val="0021464E"/>
    <w:rsid w:val="0023265B"/>
    <w:rsid w:val="00240460"/>
    <w:rsid w:val="00252F38"/>
    <w:rsid w:val="00270885"/>
    <w:rsid w:val="00283812"/>
    <w:rsid w:val="00283EC9"/>
    <w:rsid w:val="002843A4"/>
    <w:rsid w:val="002855F0"/>
    <w:rsid w:val="00286273"/>
    <w:rsid w:val="002A3D23"/>
    <w:rsid w:val="002A52F2"/>
    <w:rsid w:val="002C3A74"/>
    <w:rsid w:val="002E3C1B"/>
    <w:rsid w:val="002F0C3D"/>
    <w:rsid w:val="002F3E50"/>
    <w:rsid w:val="0030286F"/>
    <w:rsid w:val="00302DBA"/>
    <w:rsid w:val="0032259F"/>
    <w:rsid w:val="00325003"/>
    <w:rsid w:val="00331C7A"/>
    <w:rsid w:val="00334F8D"/>
    <w:rsid w:val="003376B3"/>
    <w:rsid w:val="003426FB"/>
    <w:rsid w:val="0034480F"/>
    <w:rsid w:val="00360993"/>
    <w:rsid w:val="00366092"/>
    <w:rsid w:val="00393BB3"/>
    <w:rsid w:val="00397233"/>
    <w:rsid w:val="003A0BDC"/>
    <w:rsid w:val="003B2E57"/>
    <w:rsid w:val="003B7BC8"/>
    <w:rsid w:val="003C29D9"/>
    <w:rsid w:val="003C6908"/>
    <w:rsid w:val="003D06F8"/>
    <w:rsid w:val="003D475F"/>
    <w:rsid w:val="003E2FB1"/>
    <w:rsid w:val="003E6308"/>
    <w:rsid w:val="0042337C"/>
    <w:rsid w:val="0042780F"/>
    <w:rsid w:val="00465981"/>
    <w:rsid w:val="00465FAE"/>
    <w:rsid w:val="00477C5A"/>
    <w:rsid w:val="0048099F"/>
    <w:rsid w:val="004A3DD8"/>
    <w:rsid w:val="004B0557"/>
    <w:rsid w:val="004B2D88"/>
    <w:rsid w:val="004B7C8F"/>
    <w:rsid w:val="004D2086"/>
    <w:rsid w:val="004D7A2F"/>
    <w:rsid w:val="004F433B"/>
    <w:rsid w:val="00501AA5"/>
    <w:rsid w:val="005142D1"/>
    <w:rsid w:val="00534C9F"/>
    <w:rsid w:val="005403FE"/>
    <w:rsid w:val="00563B30"/>
    <w:rsid w:val="005701A2"/>
    <w:rsid w:val="0057289A"/>
    <w:rsid w:val="00581694"/>
    <w:rsid w:val="005A6B96"/>
    <w:rsid w:val="005B336A"/>
    <w:rsid w:val="005B65E6"/>
    <w:rsid w:val="005B6E86"/>
    <w:rsid w:val="005C42B6"/>
    <w:rsid w:val="005D341C"/>
    <w:rsid w:val="005E2431"/>
    <w:rsid w:val="005E30E7"/>
    <w:rsid w:val="005E3385"/>
    <w:rsid w:val="005E4CE0"/>
    <w:rsid w:val="005E59D8"/>
    <w:rsid w:val="005E60E6"/>
    <w:rsid w:val="00606B8F"/>
    <w:rsid w:val="00611E38"/>
    <w:rsid w:val="0062365F"/>
    <w:rsid w:val="00651E0F"/>
    <w:rsid w:val="00652289"/>
    <w:rsid w:val="00665212"/>
    <w:rsid w:val="006743D3"/>
    <w:rsid w:val="0068020F"/>
    <w:rsid w:val="00686C96"/>
    <w:rsid w:val="0069589F"/>
    <w:rsid w:val="00697A44"/>
    <w:rsid w:val="006A2EAA"/>
    <w:rsid w:val="006B4089"/>
    <w:rsid w:val="006B482C"/>
    <w:rsid w:val="006B50CC"/>
    <w:rsid w:val="006C07FB"/>
    <w:rsid w:val="006C71EE"/>
    <w:rsid w:val="006D0DC3"/>
    <w:rsid w:val="006D3A91"/>
    <w:rsid w:val="006E4F7D"/>
    <w:rsid w:val="006F0955"/>
    <w:rsid w:val="006F29AE"/>
    <w:rsid w:val="006F2F99"/>
    <w:rsid w:val="006F3BFF"/>
    <w:rsid w:val="006F42BC"/>
    <w:rsid w:val="006F6054"/>
    <w:rsid w:val="00710514"/>
    <w:rsid w:val="00711274"/>
    <w:rsid w:val="00717FB3"/>
    <w:rsid w:val="00721E0E"/>
    <w:rsid w:val="00727540"/>
    <w:rsid w:val="007473CC"/>
    <w:rsid w:val="00750315"/>
    <w:rsid w:val="007623A1"/>
    <w:rsid w:val="00772DB3"/>
    <w:rsid w:val="0077662F"/>
    <w:rsid w:val="00780151"/>
    <w:rsid w:val="0078187A"/>
    <w:rsid w:val="00784E3B"/>
    <w:rsid w:val="00786966"/>
    <w:rsid w:val="00787595"/>
    <w:rsid w:val="007A740B"/>
    <w:rsid w:val="007D32BA"/>
    <w:rsid w:val="007D3BBF"/>
    <w:rsid w:val="007D677B"/>
    <w:rsid w:val="007E224F"/>
    <w:rsid w:val="00804482"/>
    <w:rsid w:val="00810618"/>
    <w:rsid w:val="008318F5"/>
    <w:rsid w:val="00847200"/>
    <w:rsid w:val="00856AF8"/>
    <w:rsid w:val="00861226"/>
    <w:rsid w:val="00861547"/>
    <w:rsid w:val="00861A6C"/>
    <w:rsid w:val="0087087F"/>
    <w:rsid w:val="00874D48"/>
    <w:rsid w:val="00877B5F"/>
    <w:rsid w:val="00890668"/>
    <w:rsid w:val="008B23A2"/>
    <w:rsid w:val="008B5805"/>
    <w:rsid w:val="008C4FEC"/>
    <w:rsid w:val="008C590A"/>
    <w:rsid w:val="008E08E7"/>
    <w:rsid w:val="008E6895"/>
    <w:rsid w:val="008F1897"/>
    <w:rsid w:val="008F34E7"/>
    <w:rsid w:val="00900A9C"/>
    <w:rsid w:val="00903AE6"/>
    <w:rsid w:val="00913367"/>
    <w:rsid w:val="009326FF"/>
    <w:rsid w:val="009335DB"/>
    <w:rsid w:val="00935A0F"/>
    <w:rsid w:val="00947F14"/>
    <w:rsid w:val="0097607C"/>
    <w:rsid w:val="00984B65"/>
    <w:rsid w:val="0098534E"/>
    <w:rsid w:val="00994A8A"/>
    <w:rsid w:val="009A2F4B"/>
    <w:rsid w:val="009A3A69"/>
    <w:rsid w:val="009A3D44"/>
    <w:rsid w:val="009B3D4E"/>
    <w:rsid w:val="009C0605"/>
    <w:rsid w:val="009C3850"/>
    <w:rsid w:val="009C6084"/>
    <w:rsid w:val="009E5992"/>
    <w:rsid w:val="009E7D71"/>
    <w:rsid w:val="009F462A"/>
    <w:rsid w:val="009F53A1"/>
    <w:rsid w:val="009F73E4"/>
    <w:rsid w:val="00A006F8"/>
    <w:rsid w:val="00A16E0D"/>
    <w:rsid w:val="00A1779F"/>
    <w:rsid w:val="00A2168C"/>
    <w:rsid w:val="00A22EF0"/>
    <w:rsid w:val="00A31917"/>
    <w:rsid w:val="00A35953"/>
    <w:rsid w:val="00A37CB1"/>
    <w:rsid w:val="00A46290"/>
    <w:rsid w:val="00A50A31"/>
    <w:rsid w:val="00A525BF"/>
    <w:rsid w:val="00A94616"/>
    <w:rsid w:val="00A96FF9"/>
    <w:rsid w:val="00AA4189"/>
    <w:rsid w:val="00AA500E"/>
    <w:rsid w:val="00AA744D"/>
    <w:rsid w:val="00AC1B9F"/>
    <w:rsid w:val="00AC44B4"/>
    <w:rsid w:val="00AD39A5"/>
    <w:rsid w:val="00AE1DFF"/>
    <w:rsid w:val="00B0464C"/>
    <w:rsid w:val="00B1199B"/>
    <w:rsid w:val="00B23F94"/>
    <w:rsid w:val="00B259FB"/>
    <w:rsid w:val="00B27724"/>
    <w:rsid w:val="00B43446"/>
    <w:rsid w:val="00B50FA8"/>
    <w:rsid w:val="00B53F84"/>
    <w:rsid w:val="00B60343"/>
    <w:rsid w:val="00B6129D"/>
    <w:rsid w:val="00B70424"/>
    <w:rsid w:val="00B80994"/>
    <w:rsid w:val="00B81A37"/>
    <w:rsid w:val="00B82985"/>
    <w:rsid w:val="00BA56A2"/>
    <w:rsid w:val="00BB761B"/>
    <w:rsid w:val="00BD306F"/>
    <w:rsid w:val="00BD3812"/>
    <w:rsid w:val="00BE0B28"/>
    <w:rsid w:val="00BE1A09"/>
    <w:rsid w:val="00BE6E59"/>
    <w:rsid w:val="00BE7888"/>
    <w:rsid w:val="00C077E2"/>
    <w:rsid w:val="00C11DAB"/>
    <w:rsid w:val="00C25E78"/>
    <w:rsid w:val="00C52DA1"/>
    <w:rsid w:val="00C54760"/>
    <w:rsid w:val="00C604FF"/>
    <w:rsid w:val="00C60D43"/>
    <w:rsid w:val="00C64B89"/>
    <w:rsid w:val="00C653D5"/>
    <w:rsid w:val="00C72E10"/>
    <w:rsid w:val="00C83AF8"/>
    <w:rsid w:val="00C85EB2"/>
    <w:rsid w:val="00C86C3B"/>
    <w:rsid w:val="00CA3E71"/>
    <w:rsid w:val="00CB46A0"/>
    <w:rsid w:val="00CD0C30"/>
    <w:rsid w:val="00CE58A6"/>
    <w:rsid w:val="00CF2823"/>
    <w:rsid w:val="00CF7828"/>
    <w:rsid w:val="00D013A1"/>
    <w:rsid w:val="00D055A2"/>
    <w:rsid w:val="00D0594B"/>
    <w:rsid w:val="00D12655"/>
    <w:rsid w:val="00D361D6"/>
    <w:rsid w:val="00D46F3F"/>
    <w:rsid w:val="00D53F63"/>
    <w:rsid w:val="00D54EDA"/>
    <w:rsid w:val="00D625C3"/>
    <w:rsid w:val="00D8038C"/>
    <w:rsid w:val="00D8119D"/>
    <w:rsid w:val="00D81CAF"/>
    <w:rsid w:val="00D8259C"/>
    <w:rsid w:val="00D96029"/>
    <w:rsid w:val="00DA2378"/>
    <w:rsid w:val="00DA4CFF"/>
    <w:rsid w:val="00DB2127"/>
    <w:rsid w:val="00DB2407"/>
    <w:rsid w:val="00DB38D9"/>
    <w:rsid w:val="00DD3118"/>
    <w:rsid w:val="00DD4DD0"/>
    <w:rsid w:val="00DE0B97"/>
    <w:rsid w:val="00DF6BC8"/>
    <w:rsid w:val="00E11A32"/>
    <w:rsid w:val="00E17DBE"/>
    <w:rsid w:val="00E21041"/>
    <w:rsid w:val="00E31534"/>
    <w:rsid w:val="00E47CA6"/>
    <w:rsid w:val="00E508E6"/>
    <w:rsid w:val="00E52328"/>
    <w:rsid w:val="00E66F61"/>
    <w:rsid w:val="00E676AE"/>
    <w:rsid w:val="00E732DD"/>
    <w:rsid w:val="00E73F3D"/>
    <w:rsid w:val="00E76B72"/>
    <w:rsid w:val="00E77D3C"/>
    <w:rsid w:val="00E83E57"/>
    <w:rsid w:val="00E8545D"/>
    <w:rsid w:val="00E87364"/>
    <w:rsid w:val="00EA5513"/>
    <w:rsid w:val="00EB0571"/>
    <w:rsid w:val="00EB4657"/>
    <w:rsid w:val="00EC0300"/>
    <w:rsid w:val="00EC1713"/>
    <w:rsid w:val="00ED2B04"/>
    <w:rsid w:val="00ED5D92"/>
    <w:rsid w:val="00EF340F"/>
    <w:rsid w:val="00EF6E3F"/>
    <w:rsid w:val="00F004E5"/>
    <w:rsid w:val="00F06632"/>
    <w:rsid w:val="00F53916"/>
    <w:rsid w:val="00F54A64"/>
    <w:rsid w:val="00F65662"/>
    <w:rsid w:val="00FA0AB8"/>
    <w:rsid w:val="00FA55DB"/>
    <w:rsid w:val="00FA65EF"/>
    <w:rsid w:val="00FD2481"/>
    <w:rsid w:val="00FD27DB"/>
    <w:rsid w:val="00FD5F9A"/>
    <w:rsid w:val="00FD6967"/>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907"/>
  <w15:docId w15:val="{392D7388-54C5-43C6-AD5D-9DBCF5B4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after="120"/>
      <w:ind w:left="1985" w:hanging="1985"/>
      <w:outlineLvl w:val="2"/>
    </w:pPr>
    <w:rPr>
      <w:rFonts w:ascii="Arial" w:eastAsia="Arial" w:hAnsi="Arial" w:cs="Arial"/>
      <w:b/>
      <w:color w:val="005DAA"/>
      <w:sz w:val="30"/>
      <w:szCs w:val="30"/>
    </w:rPr>
  </w:style>
  <w:style w:type="paragraph" w:styleId="Heading4">
    <w:name w:val="heading 4"/>
    <w:basedOn w:val="Normal"/>
    <w:next w:val="Normal"/>
    <w:uiPriority w:val="9"/>
    <w:semiHidden/>
    <w:unhideWhenUsed/>
    <w:qFormat/>
    <w:pPr>
      <w:keepNext/>
      <w:spacing w:after="120"/>
      <w:ind w:left="1701" w:hanging="1701"/>
      <w:outlineLvl w:val="3"/>
    </w:pPr>
    <w:rPr>
      <w:rFonts w:ascii="Arial" w:eastAsia="Arial" w:hAnsi="Arial" w:cs="Arial"/>
      <w:b/>
      <w:color w:val="005DAA"/>
      <w:sz w:val="30"/>
      <w:szCs w:val="30"/>
    </w:rPr>
  </w:style>
  <w:style w:type="paragraph" w:styleId="Heading5">
    <w:name w:val="heading 5"/>
    <w:basedOn w:val="Normal"/>
    <w:next w:val="Normal"/>
    <w:uiPriority w:val="9"/>
    <w:semiHidden/>
    <w:unhideWhenUsed/>
    <w:qFormat/>
    <w:pPr>
      <w:keepNext/>
      <w:spacing w:after="120"/>
      <w:ind w:left="1701" w:hanging="1701"/>
      <w:outlineLvl w:val="4"/>
    </w:pPr>
    <w:rPr>
      <w:rFonts w:ascii="Arial" w:eastAsia="Arial" w:hAnsi="Arial" w:cs="Arial"/>
      <w:color w:val="005DAA"/>
    </w:rPr>
  </w:style>
  <w:style w:type="paragraph" w:styleId="Heading6">
    <w:name w:val="heading 6"/>
    <w:basedOn w:val="Normal"/>
    <w:next w:val="Normal"/>
    <w:uiPriority w:val="9"/>
    <w:semiHidden/>
    <w:unhideWhenUsed/>
    <w:qFormat/>
    <w:pPr>
      <w:keepNext/>
      <w:spacing w:after="120"/>
      <w:ind w:left="1928" w:hanging="1928"/>
      <w:outlineLvl w:val="5"/>
    </w:pPr>
    <w:rPr>
      <w:rFonts w:ascii="Arial" w:eastAsia="Arial" w:hAnsi="Arial" w:cs="Arial"/>
      <w:b/>
      <w:color w:val="005DA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szCs w:val="26"/>
    </w:rPr>
  </w:style>
  <w:style w:type="table" w:customStyle="1" w:styleId="a">
    <w:basedOn w:val="TableNormal"/>
    <w:pPr>
      <w:tabs>
        <w:tab w:val="left" w:pos="360"/>
      </w:tabs>
      <w:spacing w:before="60" w:after="240"/>
    </w:pPr>
    <w:rPr>
      <w:rFonts w:ascii="Arial" w:eastAsia="Arial" w:hAnsi="Arial" w:cs="Arial"/>
      <w:color w:val="2C2C2D"/>
      <w:sz w:val="22"/>
      <w:szCs w:val="22"/>
    </w:rPr>
    <w:tblPr>
      <w:tblStyleRowBandSize w:val="1"/>
      <w:tblStyleColBandSize w:val="1"/>
      <w:tblCellMar>
        <w:left w:w="115" w:type="dxa"/>
        <w:right w:w="115" w:type="dxa"/>
      </w:tblCellMar>
    </w:tblPr>
    <w:tcPr>
      <w:shd w:val="clear" w:color="auto" w:fill="F2F2F2"/>
      <w:vAlign w:val="center"/>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0">
    <w:basedOn w:val="TableNormal"/>
    <w:pPr>
      <w:tabs>
        <w:tab w:val="left" w:pos="360"/>
      </w:tabs>
      <w:spacing w:before="60" w:after="240"/>
    </w:pPr>
    <w:rPr>
      <w:rFonts w:ascii="Arial" w:eastAsia="Arial" w:hAnsi="Arial" w:cs="Arial"/>
      <w:color w:val="2C2C2D"/>
      <w:sz w:val="22"/>
      <w:szCs w:val="22"/>
    </w:rPr>
    <w:tblPr>
      <w:tblStyleRowBandSize w:val="1"/>
      <w:tblStyleColBandSize w:val="1"/>
      <w:tblCellMar>
        <w:left w:w="115" w:type="dxa"/>
        <w:right w:w="115" w:type="dxa"/>
      </w:tblCellMar>
    </w:tblPr>
    <w:tcPr>
      <w:shd w:val="clear" w:color="auto" w:fill="F2F2F2"/>
      <w:vAlign w:val="center"/>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pPr>
      <w:tabs>
        <w:tab w:val="left" w:pos="360"/>
      </w:tabs>
      <w:spacing w:before="60" w:after="240"/>
    </w:pPr>
    <w:rPr>
      <w:rFonts w:ascii="Arial" w:eastAsia="Arial" w:hAnsi="Arial" w:cs="Arial"/>
      <w:color w:val="2C2C2D"/>
      <w:sz w:val="22"/>
      <w:szCs w:val="22"/>
    </w:rPr>
    <w:tblPr>
      <w:tblStyleRowBandSize w:val="1"/>
      <w:tblStyleColBandSize w:val="1"/>
      <w:tblCellMar>
        <w:left w:w="115" w:type="dxa"/>
        <w:right w:w="115" w:type="dxa"/>
      </w:tblCellMar>
    </w:tblPr>
    <w:tcPr>
      <w:shd w:val="clear" w:color="auto" w:fill="F2F2F2"/>
      <w:vAlign w:val="center"/>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pPr>
      <w:tabs>
        <w:tab w:val="left" w:pos="360"/>
      </w:tabs>
      <w:spacing w:before="60" w:after="240"/>
    </w:pPr>
    <w:rPr>
      <w:rFonts w:ascii="Arial" w:eastAsia="Arial" w:hAnsi="Arial" w:cs="Arial"/>
      <w:color w:val="2C2C2D"/>
      <w:sz w:val="22"/>
      <w:szCs w:val="22"/>
    </w:rPr>
    <w:tblPr>
      <w:tblStyleRowBandSize w:val="1"/>
      <w:tblStyleColBandSize w:val="1"/>
      <w:tblCellMar>
        <w:left w:w="115" w:type="dxa"/>
        <w:right w:w="115" w:type="dxa"/>
      </w:tblCellMar>
    </w:tblPr>
    <w:tcPr>
      <w:shd w:val="clear" w:color="auto" w:fill="F2F2F2"/>
      <w:vAlign w:val="center"/>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unhideWhenUsed/>
    <w:qFormat/>
    <w:rsid w:val="00EA5513"/>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F53916"/>
    <w:rPr>
      <w:sz w:val="20"/>
      <w:szCs w:val="20"/>
    </w:rPr>
  </w:style>
  <w:style w:type="character" w:customStyle="1" w:styleId="FootnoteTextChar">
    <w:name w:val="Footnote Text Char"/>
    <w:basedOn w:val="DefaultParagraphFont"/>
    <w:link w:val="FootnoteText"/>
    <w:uiPriority w:val="99"/>
    <w:semiHidden/>
    <w:rsid w:val="00F53916"/>
    <w:rPr>
      <w:sz w:val="20"/>
      <w:szCs w:val="20"/>
    </w:rPr>
  </w:style>
  <w:style w:type="character" w:styleId="FootnoteReference">
    <w:name w:val="footnote reference"/>
    <w:basedOn w:val="DefaultParagraphFont"/>
    <w:uiPriority w:val="99"/>
    <w:semiHidden/>
    <w:unhideWhenUsed/>
    <w:rsid w:val="00F53916"/>
    <w:rPr>
      <w:vertAlign w:val="superscript"/>
    </w:rPr>
  </w:style>
  <w:style w:type="character" w:styleId="Hyperlink">
    <w:name w:val="Hyperlink"/>
    <w:basedOn w:val="DefaultParagraphFont"/>
    <w:uiPriority w:val="99"/>
    <w:unhideWhenUsed/>
    <w:rsid w:val="00804482"/>
    <w:rPr>
      <w:color w:val="0000FF" w:themeColor="hyperlink"/>
      <w:u w:val="single"/>
    </w:rPr>
  </w:style>
  <w:style w:type="character" w:styleId="UnresolvedMention">
    <w:name w:val="Unresolved Mention"/>
    <w:basedOn w:val="DefaultParagraphFont"/>
    <w:uiPriority w:val="99"/>
    <w:semiHidden/>
    <w:unhideWhenUsed/>
    <w:rsid w:val="00804482"/>
    <w:rPr>
      <w:color w:val="605E5C"/>
      <w:shd w:val="clear" w:color="auto" w:fill="E1DFDD"/>
    </w:rPr>
  </w:style>
  <w:style w:type="paragraph" w:styleId="ListParagraph">
    <w:name w:val="List Paragraph"/>
    <w:basedOn w:val="Normal"/>
    <w:uiPriority w:val="34"/>
    <w:qFormat/>
    <w:rsid w:val="006F6054"/>
    <w:pPr>
      <w:ind w:left="720"/>
      <w:contextualSpacing/>
    </w:pPr>
  </w:style>
  <w:style w:type="paragraph" w:styleId="Revision">
    <w:name w:val="Revision"/>
    <w:hidden/>
    <w:uiPriority w:val="99"/>
    <w:semiHidden/>
    <w:rsid w:val="009C0605"/>
  </w:style>
  <w:style w:type="paragraph" w:styleId="CommentSubject">
    <w:name w:val="annotation subject"/>
    <w:basedOn w:val="CommentText"/>
    <w:next w:val="CommentText"/>
    <w:link w:val="CommentSubjectChar"/>
    <w:uiPriority w:val="99"/>
    <w:semiHidden/>
    <w:unhideWhenUsed/>
    <w:rsid w:val="003C29D9"/>
    <w:rPr>
      <w:b/>
      <w:bCs/>
    </w:rPr>
  </w:style>
  <w:style w:type="character" w:customStyle="1" w:styleId="CommentSubjectChar">
    <w:name w:val="Comment Subject Char"/>
    <w:basedOn w:val="CommentTextChar"/>
    <w:link w:val="CommentSubject"/>
    <w:uiPriority w:val="99"/>
    <w:semiHidden/>
    <w:rsid w:val="003C29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1776A-0DDA-400D-95D2-4BEF83A4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12867</Words>
  <Characters>73347</Characters>
  <Application>Microsoft Office Word</Application>
  <DocSecurity>0</DocSecurity>
  <Lines>611</Lines>
  <Paragraphs>172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Peiro</dc:creator>
  <cp:lastModifiedBy>jan</cp:lastModifiedBy>
  <cp:revision>2</cp:revision>
  <dcterms:created xsi:type="dcterms:W3CDTF">2023-08-15T12:04:00Z</dcterms:created>
  <dcterms:modified xsi:type="dcterms:W3CDTF">2023-08-15T12:04:00Z</dcterms:modified>
</cp:coreProperties>
</file>