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A32" w:rsidRDefault="00A30A32" w:rsidP="00417196">
      <w:pPr>
        <w:pStyle w:val="Heading1"/>
        <w:rPr>
          <w:rFonts w:eastAsia="Times New Roman"/>
          <w:lang w:eastAsia="en-GB"/>
        </w:rPr>
      </w:pPr>
      <w:bookmarkStart w:id="0" w:name="_GoBack"/>
      <w:bookmarkEnd w:id="0"/>
      <w:r w:rsidRPr="00A30A32">
        <w:rPr>
          <w:rFonts w:eastAsia="Times New Roman"/>
          <w:lang w:eastAsia="en-GB"/>
        </w:rPr>
        <w:t>Review of alternative measures to encourage the development and implementation of technologies and operational methods that minimise mortality of unwanted catch or ETP species</w:t>
      </w:r>
    </w:p>
    <w:p w:rsidR="00A74529" w:rsidRPr="00A74529" w:rsidRDefault="00A74529" w:rsidP="00A74529">
      <w:pPr>
        <w:rPr>
          <w:rFonts w:ascii="Arial" w:hAnsi="Arial" w:cs="Arial"/>
          <w:lang w:eastAsia="en-GB"/>
        </w:rPr>
      </w:pPr>
      <w:r w:rsidRPr="00A74529">
        <w:rPr>
          <w:rFonts w:ascii="Arial" w:hAnsi="Arial" w:cs="Arial"/>
          <w:lang w:eastAsia="en-GB"/>
        </w:rPr>
        <w:t>William Lart, Cameron Moffat</w:t>
      </w:r>
      <w:r>
        <w:rPr>
          <w:rFonts w:ascii="Arial" w:hAnsi="Arial" w:cs="Arial"/>
          <w:lang w:eastAsia="en-GB"/>
        </w:rPr>
        <w:t>, David Parker and Mike Mitchell</w:t>
      </w:r>
    </w:p>
    <w:p w:rsidR="00A30A32" w:rsidRDefault="00417196" w:rsidP="00417196">
      <w:pPr>
        <w:pStyle w:val="Heading2"/>
        <w:rPr>
          <w:rFonts w:eastAsia="Calibri"/>
          <w:lang w:eastAsia="en-GB"/>
        </w:rPr>
      </w:pPr>
      <w:r>
        <w:rPr>
          <w:rFonts w:eastAsia="Calibri"/>
          <w:lang w:eastAsia="en-GB"/>
        </w:rPr>
        <w:t>Introduction</w:t>
      </w:r>
    </w:p>
    <w:p w:rsidR="00A30A32" w:rsidRPr="00A30A32" w:rsidRDefault="00A30A32" w:rsidP="00A30A32">
      <w:pPr>
        <w:spacing w:after="0" w:line="240" w:lineRule="auto"/>
        <w:rPr>
          <w:rFonts w:ascii="Arial" w:eastAsia="Calibri" w:hAnsi="Arial" w:cs="Arial"/>
          <w:b/>
          <w:sz w:val="24"/>
          <w:szCs w:val="24"/>
          <w:lang w:eastAsia="en-GB"/>
        </w:rPr>
      </w:pPr>
      <w:r w:rsidRPr="00A30A32">
        <w:rPr>
          <w:rFonts w:ascii="Arial" w:eastAsia="Calibri" w:hAnsi="Arial" w:cs="Arial"/>
          <w:sz w:val="24"/>
          <w:szCs w:val="24"/>
          <w:lang w:eastAsia="en-GB"/>
        </w:rPr>
        <w:t>The MSC Fisheries Assessment Methodology requires that fisheries adequately take into account the MSC Principles &amp; Criteria, in relation to gear selectivity, namely that fisheries should “</w:t>
      </w:r>
      <w:r w:rsidRPr="00A30A32">
        <w:rPr>
          <w:rFonts w:ascii="Arial" w:eastAsia="Calibri" w:hAnsi="Arial" w:cs="Arial"/>
          <w:b/>
          <w:sz w:val="24"/>
          <w:szCs w:val="24"/>
          <w:lang w:eastAsia="en-GB"/>
        </w:rPr>
        <w:t>make use of fishing gear and practices designed to avoid the capture of non-target species (and non-target size, age, and/or sex of the target species); minimise mortality of this catch where it cannot be avoided, and reduce discards of what cannot be released alive”</w:t>
      </w:r>
      <w:r w:rsidRPr="00A30A32">
        <w:rPr>
          <w:rFonts w:ascii="Arial" w:eastAsia="Calibri" w:hAnsi="Arial" w:cs="Arial"/>
          <w:sz w:val="24"/>
          <w:szCs w:val="24"/>
          <w:lang w:eastAsia="en-GB"/>
        </w:rPr>
        <w:t xml:space="preserve"> (Criterion 3B.12).In addition, FAO (1995), states that “selective and environmentally safe fishing gear and practices should be further developed and applied, to the extent practicable, in order to maintain biodiversity and to conserve the population structure and aquatic ecosystems and protect fish quality. </w:t>
      </w:r>
      <w:r w:rsidRPr="00A30A32">
        <w:rPr>
          <w:rFonts w:ascii="Arial" w:eastAsia="Calibri" w:hAnsi="Arial" w:cs="Arial"/>
          <w:b/>
          <w:sz w:val="24"/>
          <w:szCs w:val="24"/>
          <w:lang w:eastAsia="en-GB"/>
        </w:rPr>
        <w:t>Where proper selective and environmentally safe fishing gear and practices exist, they should be recognized and accorded a priority in establishing conservation and management measures for fisheries.”</w:t>
      </w:r>
    </w:p>
    <w:p w:rsidR="00A30A32" w:rsidRPr="00A30A32" w:rsidRDefault="00A30A32" w:rsidP="00A30A32">
      <w:pPr>
        <w:spacing w:after="0" w:line="240" w:lineRule="auto"/>
        <w:rPr>
          <w:rFonts w:ascii="Arial" w:eastAsia="Calibri" w:hAnsi="Arial" w:cs="Arial"/>
          <w:b/>
          <w:sz w:val="24"/>
          <w:szCs w:val="24"/>
          <w:lang w:eastAsia="en-GB"/>
        </w:rPr>
      </w:pPr>
    </w:p>
    <w:p w:rsidR="00A30A32" w:rsidRPr="00A30A32" w:rsidRDefault="00A30A32" w:rsidP="00A30A32">
      <w:pPr>
        <w:spacing w:after="0" w:line="240" w:lineRule="auto"/>
        <w:rPr>
          <w:rFonts w:ascii="Arial" w:eastAsia="Times New Roman" w:hAnsi="Arial" w:cs="Arial"/>
          <w:b/>
          <w:sz w:val="24"/>
          <w:szCs w:val="24"/>
          <w:lang w:eastAsia="en-GB"/>
        </w:rPr>
      </w:pPr>
      <w:r w:rsidRPr="00A30A32">
        <w:rPr>
          <w:rFonts w:ascii="Arial" w:eastAsia="Calibri" w:hAnsi="Arial" w:cs="Arial"/>
          <w:sz w:val="24"/>
          <w:szCs w:val="24"/>
          <w:lang w:eastAsia="en-GB"/>
        </w:rPr>
        <w:t>To ensure this, the MSC has recently added a “</w:t>
      </w:r>
      <w:r w:rsidRPr="00A30A32">
        <w:rPr>
          <w:rFonts w:ascii="Arial" w:eastAsia="Times New Roman" w:hAnsi="Arial" w:cs="Arial"/>
          <w:sz w:val="24"/>
          <w:szCs w:val="24"/>
          <w:lang w:eastAsia="en-GB"/>
        </w:rPr>
        <w:t xml:space="preserve">Review of alternative measures” to several </w:t>
      </w:r>
      <w:r w:rsidRPr="00A30A32">
        <w:rPr>
          <w:rFonts w:ascii="Arial" w:eastAsia="Calibri" w:hAnsi="Arial" w:cs="Arial"/>
          <w:sz w:val="24"/>
          <w:szCs w:val="24"/>
          <w:lang w:eastAsia="en-GB"/>
        </w:rPr>
        <w:t>performance indicators</w:t>
      </w:r>
      <w:r w:rsidRPr="00A30A32">
        <w:rPr>
          <w:rFonts w:ascii="Arial" w:eastAsia="Times New Roman" w:hAnsi="Arial" w:cs="Arial"/>
          <w:sz w:val="24"/>
          <w:szCs w:val="24"/>
          <w:lang w:eastAsia="en-GB"/>
        </w:rPr>
        <w:t xml:space="preserve"> to encourage the development and implementation of technologies and operational methods that minimise mortality of unwanted catch or ETP species”, the desired outcomes being:</w:t>
      </w:r>
    </w:p>
    <w:p w:rsidR="00A30A32" w:rsidRPr="00A30A32" w:rsidRDefault="00A30A32" w:rsidP="00A30A32">
      <w:pPr>
        <w:spacing w:after="0" w:line="240" w:lineRule="auto"/>
        <w:rPr>
          <w:rFonts w:ascii="Arial" w:eastAsia="Calibri" w:hAnsi="Arial" w:cs="Arial"/>
          <w:sz w:val="24"/>
          <w:szCs w:val="24"/>
          <w:lang w:eastAsia="en-GB"/>
        </w:rPr>
      </w:pPr>
    </w:p>
    <w:p w:rsidR="00A30A32" w:rsidRPr="00A30A32" w:rsidRDefault="00A30A32" w:rsidP="00A30A32">
      <w:pPr>
        <w:spacing w:after="0" w:line="240" w:lineRule="auto"/>
        <w:rPr>
          <w:rFonts w:ascii="Arial" w:eastAsia="Calibri" w:hAnsi="Arial" w:cs="Arial"/>
          <w:sz w:val="24"/>
          <w:szCs w:val="24"/>
          <w:lang w:eastAsia="en-GB"/>
        </w:rPr>
      </w:pPr>
    </w:p>
    <w:p w:rsidR="00A30A32" w:rsidRPr="00A30A32" w:rsidRDefault="00A30A32" w:rsidP="00A30A32">
      <w:pPr>
        <w:numPr>
          <w:ilvl w:val="0"/>
          <w:numId w:val="9"/>
        </w:numPr>
        <w:spacing w:after="0" w:line="240" w:lineRule="auto"/>
        <w:contextualSpacing/>
        <w:rPr>
          <w:rFonts w:ascii="Arial" w:eastAsia="Calibri" w:hAnsi="Arial" w:cs="Arial"/>
          <w:sz w:val="24"/>
          <w:szCs w:val="24"/>
          <w:lang w:eastAsia="en-GB"/>
        </w:rPr>
      </w:pPr>
      <w:r w:rsidRPr="00A30A32">
        <w:rPr>
          <w:rFonts w:ascii="Arial" w:eastAsia="Calibri" w:hAnsi="Arial" w:cs="Arial"/>
          <w:sz w:val="24"/>
          <w:szCs w:val="24"/>
          <w:lang w:eastAsia="en-GB"/>
        </w:rPr>
        <w:t>To motivate fishers to continually “think smart” about their impact on the environment (species and habitats); both in delivering the sustainable impact most efficiently, and continuing to reduce their impact beyond that.</w:t>
      </w:r>
    </w:p>
    <w:p w:rsidR="00A30A32" w:rsidRPr="00A30A32" w:rsidRDefault="00A30A32" w:rsidP="00A30A32">
      <w:pPr>
        <w:spacing w:after="0" w:line="240" w:lineRule="auto"/>
        <w:ind w:left="720"/>
        <w:contextualSpacing/>
        <w:rPr>
          <w:rFonts w:ascii="Arial" w:eastAsia="Calibri" w:hAnsi="Arial" w:cs="Arial"/>
          <w:sz w:val="24"/>
          <w:szCs w:val="24"/>
          <w:lang w:eastAsia="en-GB"/>
        </w:rPr>
      </w:pPr>
    </w:p>
    <w:p w:rsidR="00A30A32" w:rsidRPr="00A30A32" w:rsidRDefault="00A30A32" w:rsidP="00A30A32">
      <w:pPr>
        <w:numPr>
          <w:ilvl w:val="0"/>
          <w:numId w:val="9"/>
        </w:numPr>
        <w:spacing w:after="0" w:line="240" w:lineRule="auto"/>
        <w:contextualSpacing/>
        <w:rPr>
          <w:rFonts w:ascii="Arial" w:eastAsia="Calibri" w:hAnsi="Arial" w:cs="Arial"/>
          <w:sz w:val="24"/>
          <w:szCs w:val="24"/>
          <w:lang w:eastAsia="en-GB"/>
        </w:rPr>
      </w:pPr>
      <w:r w:rsidRPr="00A30A32">
        <w:rPr>
          <w:rFonts w:ascii="Arial" w:eastAsia="Calibri" w:hAnsi="Arial" w:cs="Arial"/>
          <w:sz w:val="24"/>
          <w:szCs w:val="24"/>
          <w:lang w:eastAsia="en-GB"/>
        </w:rPr>
        <w:t xml:space="preserve">To balance this desire with efficiency by not spending a lot of money and time generating only marginal improvements. </w:t>
      </w:r>
    </w:p>
    <w:p w:rsidR="00A30A32" w:rsidRPr="00A30A32" w:rsidRDefault="00A30A32" w:rsidP="00A30A32">
      <w:pPr>
        <w:spacing w:after="0" w:line="240" w:lineRule="auto"/>
        <w:ind w:left="720"/>
        <w:contextualSpacing/>
        <w:rPr>
          <w:rFonts w:ascii="Arial" w:eastAsia="Calibri" w:hAnsi="Arial" w:cs="Arial"/>
          <w:sz w:val="24"/>
          <w:szCs w:val="24"/>
          <w:lang w:eastAsia="en-GB"/>
        </w:rPr>
      </w:pPr>
    </w:p>
    <w:p w:rsidR="00A30A32" w:rsidRPr="00A30A32" w:rsidRDefault="00A30A32" w:rsidP="00A30A32">
      <w:pPr>
        <w:spacing w:after="0" w:line="240" w:lineRule="auto"/>
        <w:rPr>
          <w:rFonts w:ascii="Arial" w:eastAsia="Calibri" w:hAnsi="Arial" w:cs="Arial"/>
          <w:sz w:val="24"/>
          <w:szCs w:val="24"/>
          <w:lang w:eastAsia="en-GB"/>
        </w:rPr>
      </w:pPr>
      <w:r w:rsidRPr="00A30A32">
        <w:rPr>
          <w:rFonts w:ascii="Arial" w:eastAsia="Calibri" w:hAnsi="Arial" w:cs="Arial"/>
          <w:sz w:val="24"/>
          <w:szCs w:val="24"/>
          <w:lang w:eastAsia="en-GB"/>
        </w:rPr>
        <w:t xml:space="preserve">To achieve this for species, the scoring issue has been added to the P1 Harvest Strategy (PI 1.2.1) and P2 Species Management PIs (PI 2.1.2, 2.2.2, 2.3.2) requiring fisheries to continually review alternative measures to encourage the development and implementation of technologies and operational methods that minimise mortality of unwanted catch or ETP species, taking into account the practicality of the measures, their potential impact on other species and habitats and on the overall cost of implementing the measures. </w:t>
      </w:r>
    </w:p>
    <w:p w:rsidR="00A30A32" w:rsidRPr="00A30A32" w:rsidRDefault="00A30A32" w:rsidP="00A30A32">
      <w:pPr>
        <w:spacing w:after="0" w:line="240" w:lineRule="auto"/>
        <w:rPr>
          <w:rFonts w:ascii="Arial" w:eastAsia="Calibri" w:hAnsi="Arial" w:cs="Arial"/>
          <w:sz w:val="24"/>
          <w:szCs w:val="24"/>
          <w:lang w:eastAsia="en-GB"/>
        </w:rPr>
      </w:pPr>
    </w:p>
    <w:p w:rsidR="00A30A32" w:rsidRPr="00A30A32" w:rsidRDefault="00A30A32" w:rsidP="00A30A32">
      <w:pPr>
        <w:spacing w:after="0" w:line="240" w:lineRule="auto"/>
        <w:rPr>
          <w:rFonts w:ascii="Arial" w:eastAsia="Calibri" w:hAnsi="Arial" w:cs="Arial"/>
          <w:sz w:val="24"/>
          <w:szCs w:val="24"/>
          <w:lang w:eastAsia="en-GB"/>
        </w:rPr>
      </w:pPr>
      <w:r w:rsidRPr="00A30A32">
        <w:rPr>
          <w:rFonts w:ascii="Arial" w:eastAsia="Calibri" w:hAnsi="Arial" w:cs="Arial"/>
          <w:sz w:val="24"/>
          <w:szCs w:val="24"/>
          <w:lang w:eastAsia="en-GB"/>
        </w:rPr>
        <w:t>Fisheries need to either review alternative measures that are shown to minimise mortality of the species or species group in question. Fisheries also need to consider alternative measures to reduce impacts on habitats.  Fisheries should also take account of the potential for both positive and negative impacts of alternative measures on species and habitats when considering whether such measures should be implemented.</w:t>
      </w:r>
    </w:p>
    <w:p w:rsidR="00A30A32" w:rsidRPr="00A30A32" w:rsidRDefault="00A30A32" w:rsidP="00A30A32">
      <w:pPr>
        <w:spacing w:after="0" w:line="240" w:lineRule="auto"/>
        <w:rPr>
          <w:rFonts w:ascii="Arial" w:eastAsia="Calibri" w:hAnsi="Arial" w:cs="Arial"/>
          <w:sz w:val="24"/>
          <w:szCs w:val="24"/>
          <w:lang w:eastAsia="en-GB"/>
        </w:rPr>
      </w:pPr>
    </w:p>
    <w:p w:rsidR="00A30A32" w:rsidRPr="00A30A32" w:rsidRDefault="00A30A32" w:rsidP="00A30A32">
      <w:pPr>
        <w:spacing w:after="0" w:line="240" w:lineRule="auto"/>
        <w:rPr>
          <w:rFonts w:ascii="Arial" w:eastAsia="Calibri" w:hAnsi="Arial" w:cs="Arial"/>
          <w:sz w:val="24"/>
          <w:szCs w:val="24"/>
          <w:lang w:eastAsia="en-GB"/>
        </w:rPr>
      </w:pPr>
      <w:r w:rsidRPr="00A30A32">
        <w:rPr>
          <w:rFonts w:ascii="Arial" w:eastAsia="Calibri" w:hAnsi="Arial" w:cs="Arial"/>
          <w:sz w:val="24"/>
          <w:szCs w:val="24"/>
          <w:lang w:eastAsia="en-GB"/>
        </w:rPr>
        <w:t>Alternative measures should avoid capture of the species in the first place or increase its survivability if released. Alternatively, in the case of in-scope species, they could utilise the unwanted catch in some way so that it would no longer be ‘unwanted’. If there are no unwanted species, the scoring issue on reviewing alternative measures does not need to be scored in that PI.</w:t>
      </w:r>
    </w:p>
    <w:p w:rsidR="00A30A32" w:rsidRPr="00A30A32" w:rsidRDefault="00A30A32" w:rsidP="00A30A32">
      <w:pPr>
        <w:spacing w:after="0" w:line="240" w:lineRule="auto"/>
        <w:rPr>
          <w:rFonts w:ascii="Arial" w:eastAsia="Calibri" w:hAnsi="Arial" w:cs="Arial"/>
          <w:color w:val="FF0000"/>
          <w:sz w:val="24"/>
          <w:szCs w:val="24"/>
          <w:lang w:eastAsia="en-GB"/>
        </w:rPr>
      </w:pPr>
    </w:p>
    <w:p w:rsidR="00A30A32" w:rsidRPr="00A30A32" w:rsidRDefault="00A30A32" w:rsidP="00A30A32">
      <w:pPr>
        <w:spacing w:after="0" w:line="240" w:lineRule="auto"/>
        <w:rPr>
          <w:rFonts w:ascii="Arial" w:eastAsia="Times New Roman" w:hAnsi="Arial" w:cs="Arial"/>
          <w:color w:val="000000"/>
          <w:sz w:val="24"/>
          <w:szCs w:val="24"/>
          <w:lang w:eastAsia="en-GB"/>
        </w:rPr>
      </w:pPr>
      <w:r w:rsidRPr="00A30A32">
        <w:rPr>
          <w:rFonts w:ascii="Arial" w:eastAsia="Times New Roman" w:hAnsi="Arial" w:cs="Arial"/>
          <w:b/>
          <w:color w:val="000000"/>
          <w:sz w:val="24"/>
          <w:szCs w:val="24"/>
          <w:lang w:eastAsia="en-GB"/>
        </w:rPr>
        <w:t>Alternative Measures Definition:</w:t>
      </w:r>
      <w:r w:rsidRPr="00A30A32">
        <w:rPr>
          <w:rFonts w:ascii="Arial" w:eastAsia="Times New Roman" w:hAnsi="Arial" w:cs="Arial"/>
          <w:color w:val="000000"/>
          <w:sz w:val="24"/>
          <w:szCs w:val="24"/>
          <w:lang w:eastAsia="en-GB"/>
        </w:rPr>
        <w:t xml:space="preserve"> Fishing gear and practices that have been shown to minimise the rate of incidental mortality of the species or species type to the lowest achievable levels.</w:t>
      </w:r>
    </w:p>
    <w:p w:rsidR="00A30A32" w:rsidRPr="00A30A32" w:rsidRDefault="00A30A32" w:rsidP="00A30A32">
      <w:pPr>
        <w:spacing w:after="0" w:line="240" w:lineRule="auto"/>
        <w:rPr>
          <w:rFonts w:ascii="Arial" w:eastAsia="Times New Roman" w:hAnsi="Arial" w:cs="Arial"/>
          <w:color w:val="FF0000"/>
          <w:sz w:val="24"/>
          <w:szCs w:val="24"/>
          <w:lang w:eastAsia="en-GB"/>
        </w:rPr>
      </w:pPr>
    </w:p>
    <w:p w:rsidR="00A30A32" w:rsidRPr="00A30A32" w:rsidRDefault="00A30A32" w:rsidP="00A30A32">
      <w:pPr>
        <w:autoSpaceDE w:val="0"/>
        <w:autoSpaceDN w:val="0"/>
        <w:adjustRightInd w:val="0"/>
        <w:spacing w:after="240" w:line="300" w:lineRule="atLeast"/>
        <w:rPr>
          <w:rFonts w:ascii="Arial" w:eastAsia="Calibri" w:hAnsi="Arial" w:cs="Arial"/>
          <w:b/>
          <w:bCs/>
          <w:color w:val="000000"/>
          <w:sz w:val="24"/>
          <w:szCs w:val="24"/>
        </w:rPr>
      </w:pPr>
      <w:r w:rsidRPr="00A30A32">
        <w:rPr>
          <w:rFonts w:ascii="Arial" w:eastAsia="Calibri" w:hAnsi="Arial" w:cs="Arial"/>
          <w:b/>
          <w:color w:val="000000"/>
          <w:sz w:val="24"/>
          <w:szCs w:val="24"/>
        </w:rPr>
        <w:t>Alternative Measures Scoring</w:t>
      </w:r>
      <w:r w:rsidRPr="00A30A32">
        <w:rPr>
          <w:rFonts w:ascii="Arial" w:eastAsia="Calibri" w:hAnsi="Arial" w:cs="Arial"/>
          <w:color w:val="000000"/>
          <w:sz w:val="24"/>
          <w:szCs w:val="24"/>
        </w:rPr>
        <w:t xml:space="preserve"> </w:t>
      </w:r>
      <w:r w:rsidRPr="00A30A32">
        <w:rPr>
          <w:rFonts w:ascii="Arial" w:eastAsia="Calibri" w:hAnsi="Arial" w:cs="Arial"/>
          <w:b/>
          <w:bCs/>
          <w:color w:val="000000"/>
          <w:sz w:val="24"/>
          <w:szCs w:val="24"/>
        </w:rPr>
        <w:t>Guideposts</w:t>
      </w:r>
    </w:p>
    <w:p w:rsidR="00A30A32" w:rsidRPr="00A30A32" w:rsidRDefault="00A30A32" w:rsidP="00A30A32">
      <w:pPr>
        <w:autoSpaceDE w:val="0"/>
        <w:autoSpaceDN w:val="0"/>
        <w:adjustRightInd w:val="0"/>
        <w:spacing w:after="240" w:line="300" w:lineRule="atLeast"/>
        <w:rPr>
          <w:rFonts w:ascii="Arial" w:eastAsia="Calibri" w:hAnsi="Arial" w:cs="Arial"/>
          <w:color w:val="000000"/>
          <w:sz w:val="24"/>
          <w:szCs w:val="24"/>
        </w:rPr>
      </w:pPr>
      <w:r w:rsidRPr="00A30A32">
        <w:rPr>
          <w:rFonts w:ascii="Arial" w:eastAsia="Calibri" w:hAnsi="Arial" w:cs="Arial"/>
          <w:b/>
          <w:color w:val="000000"/>
          <w:sz w:val="24"/>
          <w:szCs w:val="24"/>
        </w:rPr>
        <w:t>SG 60</w:t>
      </w:r>
      <w:r w:rsidRPr="00A30A32">
        <w:rPr>
          <w:rFonts w:ascii="Arial" w:eastAsia="Calibri" w:hAnsi="Arial" w:cs="Arial"/>
          <w:color w:val="000000"/>
          <w:sz w:val="24"/>
          <w:szCs w:val="24"/>
        </w:rPr>
        <w:t xml:space="preserve"> There has been </w:t>
      </w:r>
      <w:r w:rsidRPr="00A30A32">
        <w:rPr>
          <w:rFonts w:ascii="Arial" w:eastAsia="Calibri" w:hAnsi="Arial" w:cs="Arial"/>
          <w:b/>
          <w:color w:val="000000"/>
          <w:sz w:val="24"/>
          <w:szCs w:val="24"/>
        </w:rPr>
        <w:t>a review</w:t>
      </w:r>
      <w:r w:rsidRPr="00A30A32">
        <w:rPr>
          <w:rFonts w:ascii="Arial" w:eastAsia="Calibri" w:hAnsi="Arial" w:cs="Arial"/>
          <w:color w:val="000000"/>
          <w:sz w:val="24"/>
          <w:szCs w:val="24"/>
        </w:rPr>
        <w:t xml:space="preserve"> of the potential effectiveness and practicality of alternative measures to minimise UoA-related mortality of unwanted catch of the target stock/secondary species/ ETP Species. </w:t>
      </w:r>
    </w:p>
    <w:p w:rsidR="00A30A32" w:rsidRPr="00A30A32" w:rsidRDefault="00A30A32" w:rsidP="00A30A32">
      <w:pPr>
        <w:autoSpaceDE w:val="0"/>
        <w:autoSpaceDN w:val="0"/>
        <w:adjustRightInd w:val="0"/>
        <w:spacing w:after="240" w:line="300" w:lineRule="atLeast"/>
        <w:rPr>
          <w:rFonts w:ascii="Arial" w:eastAsia="Calibri" w:hAnsi="Arial" w:cs="Arial"/>
          <w:color w:val="000000"/>
          <w:sz w:val="24"/>
          <w:szCs w:val="24"/>
        </w:rPr>
      </w:pPr>
      <w:r w:rsidRPr="00A30A32">
        <w:rPr>
          <w:rFonts w:ascii="Arial" w:eastAsia="Calibri" w:hAnsi="Arial" w:cs="Arial"/>
          <w:b/>
          <w:color w:val="000000"/>
          <w:sz w:val="24"/>
          <w:szCs w:val="24"/>
        </w:rPr>
        <w:t>SG 80</w:t>
      </w:r>
      <w:r w:rsidRPr="00A30A32">
        <w:rPr>
          <w:rFonts w:ascii="Arial" w:eastAsia="Calibri" w:hAnsi="Arial" w:cs="Arial"/>
          <w:color w:val="000000"/>
          <w:sz w:val="24"/>
          <w:szCs w:val="24"/>
        </w:rPr>
        <w:t xml:space="preserve"> There is a </w:t>
      </w:r>
      <w:r w:rsidRPr="00A30A32">
        <w:rPr>
          <w:rFonts w:ascii="Arial" w:eastAsia="Calibri" w:hAnsi="Arial" w:cs="Arial"/>
          <w:b/>
          <w:bCs/>
          <w:color w:val="000000"/>
          <w:sz w:val="24"/>
          <w:szCs w:val="24"/>
        </w:rPr>
        <w:t xml:space="preserve">regular </w:t>
      </w:r>
      <w:r w:rsidRPr="00A30A32">
        <w:rPr>
          <w:rFonts w:ascii="Arial" w:eastAsia="Calibri" w:hAnsi="Arial" w:cs="Arial"/>
          <w:color w:val="000000"/>
          <w:sz w:val="24"/>
          <w:szCs w:val="24"/>
        </w:rPr>
        <w:t>review of the potential effectiveness and practicality of alternative measures to minimise UoA-related mortality of unwanted catch of the target stock/</w:t>
      </w:r>
      <w:r w:rsidR="008F6870">
        <w:rPr>
          <w:rFonts w:ascii="Arial" w:eastAsia="Calibri" w:hAnsi="Arial" w:cs="Arial"/>
          <w:color w:val="000000"/>
          <w:sz w:val="24"/>
          <w:szCs w:val="24"/>
        </w:rPr>
        <w:t xml:space="preserve">secondary species/ ETP Species </w:t>
      </w:r>
      <w:r w:rsidRPr="00A30A32">
        <w:rPr>
          <w:rFonts w:ascii="Arial" w:eastAsia="Calibri" w:hAnsi="Arial" w:cs="Arial"/>
          <w:color w:val="000000"/>
          <w:sz w:val="24"/>
          <w:szCs w:val="24"/>
        </w:rPr>
        <w:t xml:space="preserve">and they are implemented as appropriate. </w:t>
      </w:r>
    </w:p>
    <w:p w:rsidR="00A30A32" w:rsidRPr="00417196" w:rsidRDefault="00A30A32" w:rsidP="00417196">
      <w:pPr>
        <w:autoSpaceDE w:val="0"/>
        <w:autoSpaceDN w:val="0"/>
        <w:adjustRightInd w:val="0"/>
        <w:spacing w:after="240" w:line="300" w:lineRule="atLeast"/>
        <w:rPr>
          <w:rFonts w:ascii="Arial" w:eastAsia="Calibri" w:hAnsi="Arial" w:cs="Arial"/>
          <w:color w:val="000000"/>
          <w:sz w:val="24"/>
          <w:szCs w:val="24"/>
        </w:rPr>
      </w:pPr>
      <w:r w:rsidRPr="00A30A32">
        <w:rPr>
          <w:rFonts w:ascii="Arial" w:eastAsia="Calibri" w:hAnsi="Arial" w:cs="Arial"/>
          <w:b/>
          <w:color w:val="000000"/>
          <w:sz w:val="24"/>
          <w:szCs w:val="24"/>
        </w:rPr>
        <w:t>SG 100</w:t>
      </w:r>
      <w:r w:rsidRPr="00A30A32">
        <w:rPr>
          <w:rFonts w:ascii="Arial" w:eastAsia="Calibri" w:hAnsi="Arial" w:cs="Arial"/>
          <w:color w:val="000000"/>
          <w:sz w:val="24"/>
          <w:szCs w:val="24"/>
        </w:rPr>
        <w:t xml:space="preserve"> There is a </w:t>
      </w:r>
      <w:r w:rsidRPr="00A30A32">
        <w:rPr>
          <w:rFonts w:ascii="Arial" w:eastAsia="Calibri" w:hAnsi="Arial" w:cs="Arial"/>
          <w:b/>
          <w:bCs/>
          <w:color w:val="000000"/>
          <w:sz w:val="24"/>
          <w:szCs w:val="24"/>
        </w:rPr>
        <w:t xml:space="preserve">biannual </w:t>
      </w:r>
      <w:r w:rsidR="00417196">
        <w:rPr>
          <w:rFonts w:ascii="Arial" w:eastAsia="Calibri" w:hAnsi="Arial" w:cs="Arial"/>
          <w:b/>
          <w:bCs/>
          <w:color w:val="000000"/>
          <w:sz w:val="24"/>
          <w:szCs w:val="24"/>
        </w:rPr>
        <w:t xml:space="preserve">(biennial?) </w:t>
      </w:r>
      <w:r w:rsidRPr="00A30A32">
        <w:rPr>
          <w:rFonts w:ascii="Arial" w:eastAsia="Calibri" w:hAnsi="Arial" w:cs="Arial"/>
          <w:color w:val="000000"/>
          <w:sz w:val="24"/>
          <w:szCs w:val="24"/>
        </w:rPr>
        <w:t xml:space="preserve">review of the potential effectiveness and practicality of alternative measures to minimise UoA-related mortality of unwanted catch of the target stock/secondary species/ ETP Species., and they are implemented, as appropriate. </w:t>
      </w:r>
    </w:p>
    <w:p w:rsidR="00CF7700" w:rsidRDefault="00CF7700" w:rsidP="008F6870">
      <w:pPr>
        <w:pStyle w:val="Heading2"/>
      </w:pPr>
      <w:r w:rsidRPr="00CF7700">
        <w:t>Fishery Management measures</w:t>
      </w:r>
    </w:p>
    <w:p w:rsidR="00976A9F" w:rsidRDefault="00976A9F" w:rsidP="00976A9F">
      <w:pPr>
        <w:rPr>
          <w:rFonts w:ascii="Arial" w:hAnsi="Arial" w:cs="Arial"/>
        </w:rPr>
      </w:pPr>
      <w:r>
        <w:rPr>
          <w:rFonts w:ascii="Arial" w:hAnsi="Arial" w:cs="Arial"/>
        </w:rPr>
        <w:t xml:space="preserve">These are divided into input controls and output controls. </w:t>
      </w:r>
    </w:p>
    <w:p w:rsidR="00976A9F" w:rsidRPr="003B4191" w:rsidRDefault="00976A9F" w:rsidP="00976A9F">
      <w:pPr>
        <w:rPr>
          <w:rFonts w:ascii="Arial" w:hAnsi="Arial" w:cs="Arial"/>
          <w:sz w:val="24"/>
          <w:szCs w:val="24"/>
        </w:rPr>
      </w:pPr>
      <w:r w:rsidRPr="003B4191">
        <w:rPr>
          <w:rFonts w:ascii="Arial" w:hAnsi="Arial" w:cs="Arial"/>
          <w:b/>
          <w:sz w:val="24"/>
          <w:szCs w:val="24"/>
        </w:rPr>
        <w:t>Input controls</w:t>
      </w:r>
      <w:r w:rsidRPr="003B4191">
        <w:rPr>
          <w:rFonts w:ascii="Arial" w:hAnsi="Arial" w:cs="Arial"/>
          <w:sz w:val="24"/>
          <w:szCs w:val="24"/>
        </w:rPr>
        <w:t xml:space="preserve"> can be designed to regulate the quantity and type of fishing ‘effort’, often quantified in terms of vessel, size, power and time at sea. Days at sea regulations, where vessels of a given power and gear type are restricted to a certain number of days at sea in a given time period, are input controls.  Technical measures can be considered a subset of input controls as they directly control the design and deployment of the gear, including selectivity devices and mesh sizes and also seasonal and area closures.  </w:t>
      </w:r>
    </w:p>
    <w:p w:rsidR="009C7DEE" w:rsidRPr="003B4191" w:rsidRDefault="00976A9F" w:rsidP="00417196">
      <w:pPr>
        <w:rPr>
          <w:rFonts w:ascii="Arial" w:hAnsi="Arial" w:cs="Arial"/>
          <w:sz w:val="24"/>
          <w:szCs w:val="24"/>
        </w:rPr>
      </w:pPr>
      <w:r w:rsidRPr="003B4191">
        <w:rPr>
          <w:rFonts w:ascii="Arial" w:hAnsi="Arial" w:cs="Arial"/>
          <w:b/>
          <w:sz w:val="24"/>
          <w:szCs w:val="24"/>
        </w:rPr>
        <w:t xml:space="preserve">Output controls </w:t>
      </w:r>
      <w:r w:rsidRPr="003B4191">
        <w:rPr>
          <w:rFonts w:ascii="Arial" w:hAnsi="Arial" w:cs="Arial"/>
          <w:sz w:val="24"/>
          <w:szCs w:val="24"/>
        </w:rPr>
        <w:t xml:space="preserve">are designed to control the quantity and composition of the catch and include Minimum Landing Sizes (now described as Minimum Conservation Reference Sizes), Total Allowable Catches (TACs), which may be shared into quotas for individual nations or fishers, and so-called ‘bag limits’ which limit the quantity of fish a fisher can remove in a day.  </w:t>
      </w:r>
      <w:r w:rsidR="00CF7700" w:rsidRPr="003B4191">
        <w:rPr>
          <w:rFonts w:ascii="Arial" w:hAnsi="Arial" w:cs="Arial"/>
          <w:sz w:val="24"/>
          <w:szCs w:val="24"/>
        </w:rPr>
        <w:t xml:space="preserve">  </w:t>
      </w:r>
    </w:p>
    <w:p w:rsidR="008F6870" w:rsidRPr="003B4191" w:rsidRDefault="008F6870" w:rsidP="008F6870">
      <w:pPr>
        <w:pStyle w:val="Heading3"/>
        <w:rPr>
          <w:sz w:val="24"/>
          <w:szCs w:val="24"/>
        </w:rPr>
      </w:pPr>
      <w:r w:rsidRPr="003B4191">
        <w:rPr>
          <w:sz w:val="24"/>
          <w:szCs w:val="24"/>
        </w:rPr>
        <w:t>Technical Conservation Measures</w:t>
      </w:r>
    </w:p>
    <w:p w:rsidR="003B4191" w:rsidRDefault="00F47106" w:rsidP="00D647EE">
      <w:pPr>
        <w:rPr>
          <w:rFonts w:ascii="Arial" w:hAnsi="Arial" w:cs="Arial"/>
          <w:sz w:val="24"/>
          <w:szCs w:val="24"/>
        </w:rPr>
      </w:pPr>
      <w:r w:rsidRPr="003B4191">
        <w:rPr>
          <w:rFonts w:ascii="Arial" w:hAnsi="Arial" w:cs="Arial"/>
          <w:sz w:val="24"/>
          <w:szCs w:val="24"/>
        </w:rPr>
        <w:t xml:space="preserve">Currently European fisheries regulations are in flux with a new set of technical conservation regulations being discussed as well as the landing obligation being phased in. </w:t>
      </w:r>
    </w:p>
    <w:p w:rsidR="00976A9F" w:rsidRPr="003B4191" w:rsidRDefault="00F47106" w:rsidP="00D647EE">
      <w:pPr>
        <w:rPr>
          <w:rFonts w:ascii="Arial" w:hAnsi="Arial" w:cs="Arial"/>
          <w:sz w:val="24"/>
          <w:szCs w:val="24"/>
        </w:rPr>
      </w:pPr>
      <w:r w:rsidRPr="003B4191">
        <w:rPr>
          <w:rFonts w:ascii="Arial" w:hAnsi="Arial" w:cs="Arial"/>
          <w:sz w:val="24"/>
          <w:szCs w:val="24"/>
        </w:rPr>
        <w:lastRenderedPageBreak/>
        <w:t>The links for recent documents are at</w:t>
      </w:r>
      <w:r w:rsidR="003B4191">
        <w:rPr>
          <w:rFonts w:ascii="Arial" w:hAnsi="Arial" w:cs="Arial"/>
          <w:sz w:val="24"/>
          <w:szCs w:val="24"/>
        </w:rPr>
        <w:t>;</w:t>
      </w:r>
      <w:r w:rsidRPr="003B4191">
        <w:rPr>
          <w:rFonts w:ascii="Arial" w:hAnsi="Arial" w:cs="Arial"/>
          <w:sz w:val="24"/>
          <w:szCs w:val="24"/>
        </w:rPr>
        <w:t xml:space="preserve"> </w:t>
      </w:r>
    </w:p>
    <w:p w:rsidR="009C7DEE" w:rsidRPr="003B4191" w:rsidRDefault="00F47106" w:rsidP="00F47106">
      <w:pPr>
        <w:numPr>
          <w:ilvl w:val="0"/>
          <w:numId w:val="10"/>
        </w:numPr>
        <w:rPr>
          <w:rStyle w:val="Hyperlink"/>
          <w:rFonts w:ascii="Arial" w:hAnsi="Arial" w:cs="Arial"/>
          <w:color w:val="auto"/>
          <w:sz w:val="24"/>
          <w:szCs w:val="24"/>
          <w:u w:val="none"/>
        </w:rPr>
      </w:pPr>
      <w:r w:rsidRPr="003B4191">
        <w:rPr>
          <w:rFonts w:ascii="Arial" w:hAnsi="Arial" w:cs="Arial"/>
          <w:sz w:val="24"/>
          <w:szCs w:val="24"/>
        </w:rPr>
        <w:t xml:space="preserve">Technical Conservation measures </w:t>
      </w:r>
      <w:hyperlink r:id="rId8" w:history="1">
        <w:r w:rsidR="00A30A32" w:rsidRPr="003B4191">
          <w:rPr>
            <w:rStyle w:val="Hyperlink"/>
            <w:rFonts w:ascii="Arial" w:hAnsi="Arial" w:cs="Arial"/>
            <w:sz w:val="24"/>
            <w:szCs w:val="24"/>
            <w:lang w:val="en-US"/>
          </w:rPr>
          <w:t>http://</w:t>
        </w:r>
      </w:hyperlink>
      <w:hyperlink r:id="rId9" w:history="1">
        <w:r w:rsidR="00A30A32" w:rsidRPr="003B4191">
          <w:rPr>
            <w:rStyle w:val="Hyperlink"/>
            <w:rFonts w:ascii="Arial" w:hAnsi="Arial" w:cs="Arial"/>
            <w:sz w:val="24"/>
            <w:szCs w:val="24"/>
            <w:lang w:val="en-US"/>
          </w:rPr>
          <w:t>data.consilium.europa.eu/doc/document/ST-8151-2017-INIT/en/pdf</w:t>
        </w:r>
      </w:hyperlink>
    </w:p>
    <w:p w:rsidR="00F47106" w:rsidRPr="003B4191" w:rsidRDefault="00F47106" w:rsidP="00F47106">
      <w:pPr>
        <w:numPr>
          <w:ilvl w:val="0"/>
          <w:numId w:val="12"/>
        </w:numPr>
        <w:spacing w:before="100" w:beforeAutospacing="1" w:after="100" w:afterAutospacing="1" w:line="240" w:lineRule="auto"/>
        <w:rPr>
          <w:rFonts w:ascii="Arial" w:eastAsia="Times New Roman" w:hAnsi="Arial" w:cs="Arial"/>
          <w:sz w:val="24"/>
          <w:szCs w:val="24"/>
          <w:lang w:eastAsia="en-GB"/>
        </w:rPr>
      </w:pPr>
      <w:r w:rsidRPr="003B4191">
        <w:rPr>
          <w:rStyle w:val="Hyperlink"/>
          <w:rFonts w:ascii="Arial" w:hAnsi="Arial" w:cs="Arial"/>
          <w:color w:val="auto"/>
          <w:sz w:val="24"/>
          <w:szCs w:val="24"/>
          <w:u w:val="none"/>
          <w:lang w:val="en-US"/>
        </w:rPr>
        <w:t xml:space="preserve">Discard plan for North Sea </w:t>
      </w:r>
      <w:hyperlink r:id="rId10" w:history="1">
        <w:r w:rsidRPr="003B4191">
          <w:rPr>
            <w:rStyle w:val="Hyperlink"/>
            <w:rFonts w:ascii="Arial" w:eastAsia="Times New Roman" w:hAnsi="Arial" w:cs="Arial"/>
            <w:color w:val="0563C1"/>
            <w:sz w:val="24"/>
            <w:szCs w:val="24"/>
            <w:lang w:eastAsia="en-GB"/>
          </w:rPr>
          <w:t>https://ec.europa.eu/transparency/regdoc/rep/3/2018/EN/C-2018-6793-F1-EN-MAIN-PART-1.PDF</w:t>
        </w:r>
      </w:hyperlink>
    </w:p>
    <w:p w:rsidR="009C7DEE" w:rsidRPr="003B4191" w:rsidRDefault="00A30A32" w:rsidP="008F6870">
      <w:pPr>
        <w:rPr>
          <w:rFonts w:ascii="Arial" w:hAnsi="Arial" w:cs="Arial"/>
          <w:sz w:val="24"/>
          <w:szCs w:val="24"/>
        </w:rPr>
      </w:pPr>
      <w:r w:rsidRPr="003B4191">
        <w:rPr>
          <w:rFonts w:ascii="Arial" w:hAnsi="Arial" w:cs="Arial"/>
          <w:sz w:val="24"/>
          <w:szCs w:val="24"/>
        </w:rPr>
        <w:t xml:space="preserve">The European Parliament </w:t>
      </w:r>
      <w:r w:rsidR="008F6870" w:rsidRPr="003B4191">
        <w:rPr>
          <w:rFonts w:ascii="Arial" w:hAnsi="Arial" w:cs="Arial"/>
          <w:sz w:val="24"/>
          <w:szCs w:val="24"/>
        </w:rPr>
        <w:t xml:space="preserve">(EP) </w:t>
      </w:r>
      <w:r w:rsidRPr="003B4191">
        <w:rPr>
          <w:rFonts w:ascii="Arial" w:hAnsi="Arial" w:cs="Arial"/>
          <w:sz w:val="24"/>
          <w:szCs w:val="24"/>
        </w:rPr>
        <w:t>adopted their position on the proposal back in Januar</w:t>
      </w:r>
      <w:r w:rsidR="008F6870" w:rsidRPr="003B4191">
        <w:rPr>
          <w:rFonts w:ascii="Arial" w:hAnsi="Arial" w:cs="Arial"/>
          <w:sz w:val="24"/>
          <w:szCs w:val="24"/>
        </w:rPr>
        <w:t>y.   Trilogue</w:t>
      </w:r>
      <w:r w:rsidRPr="003B4191">
        <w:rPr>
          <w:rFonts w:ascii="Arial" w:hAnsi="Arial" w:cs="Arial"/>
          <w:sz w:val="24"/>
          <w:szCs w:val="24"/>
        </w:rPr>
        <w:t xml:space="preserve"> negotiations </w:t>
      </w:r>
      <w:r w:rsidR="008F6870" w:rsidRPr="003B4191">
        <w:rPr>
          <w:rFonts w:ascii="Arial" w:hAnsi="Arial" w:cs="Arial"/>
          <w:sz w:val="24"/>
          <w:szCs w:val="24"/>
        </w:rPr>
        <w:t>are taking place</w:t>
      </w:r>
      <w:r w:rsidRPr="003B4191">
        <w:rPr>
          <w:rFonts w:ascii="Arial" w:hAnsi="Arial" w:cs="Arial"/>
          <w:sz w:val="24"/>
          <w:szCs w:val="24"/>
        </w:rPr>
        <w:t>– where they try to arrive at a compromise proposal taking both Council and EP positions into account – those are due to take place during this month</w:t>
      </w:r>
      <w:r w:rsidR="008F6870" w:rsidRPr="003B4191">
        <w:rPr>
          <w:rFonts w:ascii="Arial" w:hAnsi="Arial" w:cs="Arial"/>
          <w:sz w:val="24"/>
          <w:szCs w:val="24"/>
        </w:rPr>
        <w:t xml:space="preserve"> (April; need an update from Defra)</w:t>
      </w:r>
      <w:r w:rsidRPr="003B4191">
        <w:rPr>
          <w:rFonts w:ascii="Arial" w:hAnsi="Arial" w:cs="Arial"/>
          <w:sz w:val="24"/>
          <w:szCs w:val="24"/>
        </w:rPr>
        <w:t xml:space="preserve">.    </w:t>
      </w:r>
    </w:p>
    <w:p w:rsidR="00A84439" w:rsidRPr="003B4191" w:rsidRDefault="008F6870" w:rsidP="00A84439">
      <w:pPr>
        <w:rPr>
          <w:rFonts w:ascii="Arial" w:hAnsi="Arial" w:cs="Arial"/>
          <w:b/>
          <w:bCs/>
          <w:sz w:val="24"/>
          <w:szCs w:val="24"/>
        </w:rPr>
      </w:pPr>
      <w:r w:rsidRPr="003B4191">
        <w:rPr>
          <w:rFonts w:ascii="Arial" w:hAnsi="Arial" w:cs="Arial"/>
          <w:bCs/>
          <w:sz w:val="24"/>
          <w:szCs w:val="24"/>
        </w:rPr>
        <w:t xml:space="preserve">From the Technical Conservation Regulations </w:t>
      </w:r>
      <w:r w:rsidR="00A84439" w:rsidRPr="003B4191">
        <w:rPr>
          <w:rFonts w:ascii="Arial" w:hAnsi="Arial" w:cs="Arial"/>
          <w:b/>
          <w:bCs/>
          <w:sz w:val="24"/>
          <w:szCs w:val="24"/>
        </w:rPr>
        <w:t>Article 4</w:t>
      </w:r>
      <w:r w:rsidRPr="003B4191">
        <w:rPr>
          <w:rFonts w:ascii="Arial" w:hAnsi="Arial" w:cs="Arial"/>
          <w:bCs/>
          <w:sz w:val="24"/>
          <w:szCs w:val="24"/>
        </w:rPr>
        <w:t xml:space="preserve"> states that</w:t>
      </w:r>
      <w:r w:rsidRPr="003B4191">
        <w:rPr>
          <w:rFonts w:ascii="Arial" w:hAnsi="Arial" w:cs="Arial"/>
          <w:b/>
          <w:bCs/>
          <w:sz w:val="24"/>
          <w:szCs w:val="24"/>
        </w:rPr>
        <w:t xml:space="preserve"> </w:t>
      </w:r>
    </w:p>
    <w:p w:rsidR="00A84439" w:rsidRPr="003B4191" w:rsidRDefault="008F6870" w:rsidP="00A84439">
      <w:pPr>
        <w:rPr>
          <w:rFonts w:ascii="Arial" w:hAnsi="Arial" w:cs="Arial"/>
          <w:sz w:val="24"/>
          <w:szCs w:val="24"/>
        </w:rPr>
      </w:pPr>
      <w:r w:rsidRPr="003B4191">
        <w:rPr>
          <w:rFonts w:ascii="Arial" w:hAnsi="Arial" w:cs="Arial"/>
          <w:sz w:val="24"/>
          <w:szCs w:val="24"/>
        </w:rPr>
        <w:t>1) Technical</w:t>
      </w:r>
      <w:r w:rsidR="00A84439" w:rsidRPr="003B4191">
        <w:rPr>
          <w:rFonts w:ascii="Arial" w:hAnsi="Arial" w:cs="Arial"/>
          <w:sz w:val="24"/>
          <w:szCs w:val="24"/>
        </w:rPr>
        <w:t xml:space="preserve"> measures shall aim to ensure;</w:t>
      </w:r>
      <w:r w:rsidR="00A84439" w:rsidRPr="003B4191">
        <w:rPr>
          <w:rFonts w:ascii="Arial" w:hAnsi="Arial" w:cs="Arial"/>
          <w:sz w:val="24"/>
          <w:szCs w:val="24"/>
        </w:rPr>
        <w:br/>
        <w:t>(a) that catches of marine species below minimum conservation reference sizes are reduced as far as possible in accordance with Article 2(2) and Article 15 of Regulation (EU) No 1380/2013</w:t>
      </w:r>
    </w:p>
    <w:p w:rsidR="00A84439" w:rsidRPr="003B4191" w:rsidRDefault="00A84439" w:rsidP="00A84439">
      <w:pPr>
        <w:rPr>
          <w:rFonts w:ascii="Arial" w:hAnsi="Arial" w:cs="Arial"/>
          <w:sz w:val="24"/>
          <w:szCs w:val="24"/>
        </w:rPr>
      </w:pPr>
      <w:r w:rsidRPr="003B4191">
        <w:rPr>
          <w:rFonts w:ascii="Arial" w:hAnsi="Arial" w:cs="Arial"/>
          <w:sz w:val="24"/>
          <w:szCs w:val="24"/>
        </w:rPr>
        <w:br/>
        <w:t>(b) that bycatches of marine mammals, marine reptiles, seabirds and other non-commercially exploited species do not exceed levels provided for in Union legislation and international agreements that are binding on the Union.</w:t>
      </w:r>
    </w:p>
    <w:p w:rsidR="00A84439" w:rsidRPr="003B4191" w:rsidRDefault="00A84439" w:rsidP="00A84439">
      <w:pPr>
        <w:rPr>
          <w:rFonts w:ascii="Arial" w:hAnsi="Arial" w:cs="Arial"/>
          <w:sz w:val="24"/>
          <w:szCs w:val="24"/>
        </w:rPr>
      </w:pPr>
      <w:r w:rsidRPr="003B4191">
        <w:rPr>
          <w:rFonts w:ascii="Arial" w:hAnsi="Arial" w:cs="Arial"/>
          <w:sz w:val="24"/>
          <w:szCs w:val="24"/>
        </w:rPr>
        <w:br/>
        <w:t xml:space="preserve">(c) ensure that the environmental impacts of fishing activities on seabed habitats are in line with Article 2 (5) (j) of Regulation (EU) No 1380/2013 </w:t>
      </w:r>
    </w:p>
    <w:p w:rsidR="00A84439" w:rsidRPr="003B4191" w:rsidRDefault="00A84439" w:rsidP="00A84439">
      <w:pPr>
        <w:rPr>
          <w:rFonts w:ascii="Arial" w:hAnsi="Arial" w:cs="Arial"/>
          <w:sz w:val="24"/>
          <w:szCs w:val="24"/>
        </w:rPr>
      </w:pPr>
      <w:r w:rsidRPr="003B4191">
        <w:rPr>
          <w:rFonts w:ascii="Arial" w:hAnsi="Arial" w:cs="Arial"/>
          <w:sz w:val="24"/>
          <w:szCs w:val="24"/>
        </w:rPr>
        <w:t>2)The extent to which these targets have been achieved shall be reviewed as part of the reporting process set out in Article 34.</w:t>
      </w:r>
    </w:p>
    <w:p w:rsidR="00A84439" w:rsidRPr="003B4191" w:rsidRDefault="00A84439" w:rsidP="00A84439">
      <w:pPr>
        <w:rPr>
          <w:rFonts w:ascii="Arial" w:hAnsi="Arial" w:cs="Arial"/>
          <w:sz w:val="24"/>
          <w:szCs w:val="24"/>
        </w:rPr>
      </w:pPr>
    </w:p>
    <w:p w:rsidR="00A84439" w:rsidRPr="003B4191" w:rsidRDefault="00A84439" w:rsidP="00A84439">
      <w:pPr>
        <w:rPr>
          <w:rFonts w:ascii="Arial" w:hAnsi="Arial" w:cs="Arial"/>
          <w:b/>
          <w:bCs/>
          <w:sz w:val="24"/>
          <w:szCs w:val="24"/>
        </w:rPr>
      </w:pPr>
      <w:r w:rsidRPr="003B4191">
        <w:rPr>
          <w:rFonts w:ascii="Arial" w:hAnsi="Arial" w:cs="Arial"/>
          <w:b/>
          <w:bCs/>
          <w:sz w:val="24"/>
          <w:szCs w:val="24"/>
        </w:rPr>
        <w:t>Article 34</w:t>
      </w:r>
    </w:p>
    <w:p w:rsidR="00A84439" w:rsidRPr="00B74EC2" w:rsidRDefault="00A84439" w:rsidP="00A84439">
      <w:pPr>
        <w:rPr>
          <w:rFonts w:ascii="Arial" w:hAnsi="Arial" w:cs="Arial"/>
        </w:rPr>
      </w:pPr>
      <w:r w:rsidRPr="00B74EC2">
        <w:rPr>
          <w:rFonts w:ascii="Arial" w:hAnsi="Arial" w:cs="Arial"/>
        </w:rPr>
        <w:t>1)By the end of [2020 and every third year] thereafter, and on the basis of information supplied by Member States and the relevant Advisory Councils and following evaluation by the STECF, the Commission shall submit a report to the European Parliament and to the Council on the implementation of this Regulation. This report shall assess the extent to which technical measures both regionally and at Union level have contributed to achieving the objectives set out in Article 3 and in reaching the targets set out in Article 4.</w:t>
      </w:r>
    </w:p>
    <w:p w:rsidR="00A84439" w:rsidRPr="00B74EC2" w:rsidRDefault="00A84439" w:rsidP="00A84439">
      <w:pPr>
        <w:rPr>
          <w:rFonts w:ascii="Arial" w:hAnsi="Arial" w:cs="Arial"/>
        </w:rPr>
      </w:pPr>
      <w:r w:rsidRPr="00B74EC2">
        <w:rPr>
          <w:rFonts w:ascii="Arial" w:hAnsi="Arial" w:cs="Arial"/>
        </w:rPr>
        <w:t>2) On the basis of that report, where at regional level there is evidence that the objectives and targets have not been met, within six twelve months after the submission of the report as referred to in paragraph 1 Member States within that region shall submit a plan setting out the corrective actions to be taken to ensure those objectives and targets can be met.</w:t>
      </w:r>
    </w:p>
    <w:p w:rsidR="00A84439" w:rsidRPr="00B74EC2" w:rsidRDefault="00A84439" w:rsidP="00A84439">
      <w:pPr>
        <w:rPr>
          <w:rFonts w:ascii="Arial" w:hAnsi="Arial" w:cs="Arial"/>
        </w:rPr>
      </w:pPr>
      <w:r w:rsidRPr="00B74EC2">
        <w:rPr>
          <w:rFonts w:ascii="Arial" w:hAnsi="Arial" w:cs="Arial"/>
        </w:rPr>
        <w:t>3) The Commission may also propose to the European Parliament and to the Council any necessary amendments to this Regulation on the basis of that report.</w:t>
      </w:r>
    </w:p>
    <w:p w:rsidR="003B0D25" w:rsidRPr="00B74EC2" w:rsidRDefault="003B0D25" w:rsidP="003B0D25">
      <w:pPr>
        <w:pStyle w:val="Heading4"/>
        <w:rPr>
          <w:rFonts w:ascii="Arial" w:hAnsi="Arial" w:cs="Arial"/>
        </w:rPr>
      </w:pPr>
      <w:r w:rsidRPr="00B74EC2">
        <w:rPr>
          <w:rFonts w:ascii="Arial" w:hAnsi="Arial" w:cs="Arial"/>
        </w:rPr>
        <w:t>Implications</w:t>
      </w:r>
      <w:r w:rsidR="0028496C" w:rsidRPr="00B74EC2">
        <w:rPr>
          <w:rFonts w:ascii="Arial" w:hAnsi="Arial" w:cs="Arial"/>
        </w:rPr>
        <w:t xml:space="preserve"> in relation to technical conservation measures</w:t>
      </w:r>
    </w:p>
    <w:p w:rsidR="00822906" w:rsidRPr="00B74EC2" w:rsidRDefault="008F6870" w:rsidP="00AF6B5B">
      <w:pPr>
        <w:rPr>
          <w:rFonts w:ascii="Arial" w:hAnsi="Arial" w:cs="Arial"/>
        </w:rPr>
      </w:pPr>
      <w:r w:rsidRPr="00B74EC2">
        <w:rPr>
          <w:rFonts w:ascii="Arial" w:hAnsi="Arial" w:cs="Arial"/>
        </w:rPr>
        <w:t>So th</w:t>
      </w:r>
      <w:r w:rsidR="003B0D25" w:rsidRPr="00B74EC2">
        <w:rPr>
          <w:rFonts w:ascii="Arial" w:hAnsi="Arial" w:cs="Arial"/>
        </w:rPr>
        <w:t>ese two articles imply that for the European fisheries as a whole the</w:t>
      </w:r>
      <w:r w:rsidR="00923862" w:rsidRPr="00B74EC2">
        <w:rPr>
          <w:rFonts w:ascii="Arial" w:hAnsi="Arial" w:cs="Arial"/>
        </w:rPr>
        <w:t xml:space="preserve"> effectiveness of the technical conservation regulation</w:t>
      </w:r>
      <w:r w:rsidR="003B0D25" w:rsidRPr="00B74EC2">
        <w:rPr>
          <w:rFonts w:ascii="Arial" w:hAnsi="Arial" w:cs="Arial"/>
        </w:rPr>
        <w:t xml:space="preserve"> is reviewed every three years and a plan setting out corrective action is implemented.</w:t>
      </w:r>
      <w:r w:rsidR="00923862" w:rsidRPr="00B74EC2">
        <w:rPr>
          <w:rFonts w:ascii="Arial" w:hAnsi="Arial" w:cs="Arial"/>
        </w:rPr>
        <w:t xml:space="preserve"> As far as the discard plan under the landing obligation is concerned, there will be survivability and </w:t>
      </w:r>
      <w:r w:rsidR="00923862" w:rsidRPr="00B74EC2">
        <w:rPr>
          <w:rFonts w:ascii="Arial" w:hAnsi="Arial" w:cs="Arial"/>
          <w:i/>
        </w:rPr>
        <w:t>de minimus</w:t>
      </w:r>
      <w:r w:rsidR="00923862" w:rsidRPr="00B74EC2">
        <w:rPr>
          <w:rFonts w:ascii="Arial" w:hAnsi="Arial" w:cs="Arial"/>
        </w:rPr>
        <w:t xml:space="preserve"> exemptions for a number of species fisheries including plaice and skates and rays, which are to be reviewed by STECF during 2019.</w:t>
      </w:r>
      <w:r w:rsidR="00A30A32" w:rsidRPr="00B74EC2">
        <w:rPr>
          <w:rFonts w:ascii="Arial" w:hAnsi="Arial" w:cs="Arial"/>
        </w:rPr>
        <w:t xml:space="preserve"> </w:t>
      </w:r>
    </w:p>
    <w:p w:rsidR="009C7DEE" w:rsidRPr="00AC3FB5" w:rsidRDefault="00AC3FB5" w:rsidP="00AF6B5B">
      <w:pPr>
        <w:rPr>
          <w:rFonts w:asciiTheme="majorHAnsi" w:eastAsiaTheme="majorEastAsia" w:hAnsiTheme="majorHAnsi" w:cstheme="majorBidi"/>
          <w:b/>
          <w:bCs/>
          <w:color w:val="4F81BD" w:themeColor="accent1"/>
          <w:sz w:val="26"/>
          <w:szCs w:val="26"/>
        </w:rPr>
      </w:pPr>
      <w:r w:rsidRPr="00B74EC2">
        <w:rPr>
          <w:rFonts w:ascii="Arial" w:hAnsi="Arial" w:cs="Arial"/>
        </w:rPr>
        <w:t>There is scope for examining</w:t>
      </w:r>
      <w:r w:rsidR="00822906" w:rsidRPr="00B74EC2">
        <w:rPr>
          <w:rFonts w:ascii="Arial" w:hAnsi="Arial" w:cs="Arial"/>
        </w:rPr>
        <w:t xml:space="preserve"> how the new technical conservation and landings obligation regime is likely to affect the catches and discarding practices in relation to commercial requirements of the supply chain. The Appendix outlines some of the information available which could be used to make this </w:t>
      </w:r>
      <w:r w:rsidR="003E7DF2" w:rsidRPr="00B74EC2">
        <w:rPr>
          <w:rFonts w:ascii="Arial" w:hAnsi="Arial" w:cs="Arial"/>
        </w:rPr>
        <w:t>assessment</w:t>
      </w:r>
      <w:r w:rsidR="00822906" w:rsidRPr="00B74EC2">
        <w:rPr>
          <w:rFonts w:ascii="Arial" w:hAnsi="Arial" w:cs="Arial"/>
        </w:rPr>
        <w:t xml:space="preserve">.  </w:t>
      </w:r>
      <w:r w:rsidR="00822906">
        <w:rPr>
          <w:rFonts w:ascii="Arial" w:hAnsi="Arial" w:cs="Arial"/>
        </w:rPr>
        <w:t xml:space="preserve"> </w:t>
      </w:r>
    </w:p>
    <w:p w:rsidR="00A84439" w:rsidRDefault="00AF6B5B" w:rsidP="003B4191">
      <w:pPr>
        <w:pStyle w:val="Heading2"/>
      </w:pPr>
      <w:r>
        <w:t>Output controls</w:t>
      </w:r>
    </w:p>
    <w:p w:rsidR="009F6C70" w:rsidRDefault="00FE123C" w:rsidP="00AF6B5B">
      <w:pPr>
        <w:rPr>
          <w:rFonts w:ascii="Arial" w:hAnsi="Arial" w:cs="Arial"/>
        </w:rPr>
      </w:pPr>
      <w:r>
        <w:rPr>
          <w:rFonts w:ascii="Arial" w:hAnsi="Arial" w:cs="Arial"/>
        </w:rPr>
        <w:t xml:space="preserve">Under the </w:t>
      </w:r>
      <w:r w:rsidR="00AF6B5B">
        <w:rPr>
          <w:rFonts w:ascii="Arial" w:hAnsi="Arial" w:cs="Arial"/>
        </w:rPr>
        <w:t xml:space="preserve">North Sea </w:t>
      </w:r>
      <w:r>
        <w:rPr>
          <w:rFonts w:ascii="Arial" w:hAnsi="Arial" w:cs="Arial"/>
        </w:rPr>
        <w:t xml:space="preserve">Multi Annual Plan </w:t>
      </w:r>
      <w:r w:rsidR="00AF6B5B">
        <w:rPr>
          <w:rFonts w:ascii="Arial" w:hAnsi="Arial" w:cs="Arial"/>
        </w:rPr>
        <w:t>TACs are set for the main resource species</w:t>
      </w:r>
      <w:r>
        <w:rPr>
          <w:rFonts w:ascii="Arial" w:hAnsi="Arial" w:cs="Arial"/>
        </w:rPr>
        <w:t xml:space="preserve"> caught within mixed demersal fisheries</w:t>
      </w:r>
      <w:r w:rsidR="00AF6B5B">
        <w:rPr>
          <w:rFonts w:ascii="Arial" w:hAnsi="Arial" w:cs="Arial"/>
        </w:rPr>
        <w:t xml:space="preserve"> cod, haddock, saithe, </w:t>
      </w:r>
      <w:r>
        <w:rPr>
          <w:rFonts w:ascii="Arial" w:hAnsi="Arial" w:cs="Arial"/>
        </w:rPr>
        <w:t xml:space="preserve">whiting and </w:t>
      </w:r>
      <w:r w:rsidR="00AF6B5B">
        <w:rPr>
          <w:rFonts w:ascii="Arial" w:hAnsi="Arial" w:cs="Arial"/>
        </w:rPr>
        <w:t>plaice</w:t>
      </w:r>
      <w:r>
        <w:rPr>
          <w:rFonts w:ascii="Arial" w:hAnsi="Arial" w:cs="Arial"/>
        </w:rPr>
        <w:t xml:space="preserve"> are set so that the fishing mortality within the F</w:t>
      </w:r>
      <w:r w:rsidRPr="00FE123C">
        <w:rPr>
          <w:rFonts w:ascii="Arial" w:hAnsi="Arial" w:cs="Arial"/>
          <w:vertAlign w:val="subscript"/>
        </w:rPr>
        <w:t>MSY</w:t>
      </w:r>
      <w:r>
        <w:rPr>
          <w:rFonts w:ascii="Arial" w:hAnsi="Arial" w:cs="Arial"/>
        </w:rPr>
        <w:t xml:space="preserve"> range implying a maximum decrease in long term yield of -5% compared with maximum sustainable yield. </w:t>
      </w:r>
      <w:r w:rsidR="009F6C70">
        <w:rPr>
          <w:rFonts w:ascii="Arial" w:hAnsi="Arial" w:cs="Arial"/>
        </w:rPr>
        <w:t xml:space="preserve">The aim is to set the TACs to avoid </w:t>
      </w:r>
      <w:r w:rsidR="0028496C">
        <w:rPr>
          <w:rFonts w:ascii="Arial" w:hAnsi="Arial" w:cs="Arial"/>
        </w:rPr>
        <w:t>these species becoming a choke species in North Sea fisheries.</w:t>
      </w:r>
    </w:p>
    <w:p w:rsidR="00AF6B5B" w:rsidRPr="009F6C70" w:rsidRDefault="00FE123C" w:rsidP="00AF6B5B">
      <w:pPr>
        <w:rPr>
          <w:rFonts w:ascii="Arial" w:hAnsi="Arial" w:cs="Arial"/>
        </w:rPr>
      </w:pPr>
      <w:r>
        <w:rPr>
          <w:rFonts w:ascii="Arial" w:hAnsi="Arial" w:cs="Arial"/>
        </w:rPr>
        <w:t xml:space="preserve">These assessments are carried out annually </w:t>
      </w:r>
      <w:hyperlink r:id="rId11" w:history="1">
        <w:r w:rsidRPr="00D15F6F">
          <w:rPr>
            <w:rStyle w:val="Hyperlink"/>
            <w:rFonts w:ascii="Arial" w:hAnsi="Arial" w:cs="Arial"/>
          </w:rPr>
          <w:t>http://ices.dk/sites/pub/Publication%20Reports/Advice/2018/2018/mix-ns.pdf</w:t>
        </w:r>
      </w:hyperlink>
      <w:r>
        <w:rPr>
          <w:rFonts w:ascii="Arial" w:hAnsi="Arial" w:cs="Arial"/>
        </w:rPr>
        <w:t xml:space="preserve"> to </w:t>
      </w:r>
      <w:r w:rsidR="009F6C70">
        <w:rPr>
          <w:rFonts w:ascii="Arial" w:hAnsi="Arial" w:cs="Arial"/>
        </w:rPr>
        <w:t>advise</w:t>
      </w:r>
      <w:r>
        <w:rPr>
          <w:rFonts w:ascii="Arial" w:hAnsi="Arial" w:cs="Arial"/>
        </w:rPr>
        <w:t xml:space="preserve"> the annual TAC setting process during the EU December council. Although the mixed fisheries advic</w:t>
      </w:r>
      <w:r w:rsidR="009F6C70">
        <w:rPr>
          <w:rFonts w:ascii="Arial" w:hAnsi="Arial" w:cs="Arial"/>
        </w:rPr>
        <w:t xml:space="preserve">e has been </w:t>
      </w:r>
      <w:r>
        <w:rPr>
          <w:rFonts w:ascii="Arial" w:hAnsi="Arial" w:cs="Arial"/>
        </w:rPr>
        <w:t>available</w:t>
      </w:r>
      <w:r w:rsidR="009F6C70">
        <w:rPr>
          <w:rFonts w:ascii="Arial" w:hAnsi="Arial" w:cs="Arial"/>
        </w:rPr>
        <w:t xml:space="preserve"> annually for a number of years, the MAP has been implemented in 2018, so 2019 is the first year these assessments will be available for TAC setting under this plan.</w:t>
      </w:r>
      <w:r>
        <w:rPr>
          <w:rFonts w:ascii="Arial" w:hAnsi="Arial" w:cs="Arial"/>
        </w:rPr>
        <w:t xml:space="preserve">  </w:t>
      </w:r>
    </w:p>
    <w:p w:rsidR="009C7DEE" w:rsidRDefault="00A30A32" w:rsidP="0028496C">
      <w:pPr>
        <w:rPr>
          <w:rStyle w:val="Hyperlink"/>
          <w:rFonts w:ascii="Arial" w:hAnsi="Arial" w:cs="Arial"/>
        </w:rPr>
      </w:pPr>
      <w:r w:rsidRPr="009F6C70">
        <w:rPr>
          <w:rFonts w:ascii="Arial" w:hAnsi="Arial" w:cs="Arial"/>
        </w:rPr>
        <w:t xml:space="preserve">Lemon sole </w:t>
      </w:r>
      <w:r w:rsidR="009F6C70" w:rsidRPr="009F6C70">
        <w:rPr>
          <w:rFonts w:ascii="Arial" w:hAnsi="Arial" w:cs="Arial"/>
        </w:rPr>
        <w:t xml:space="preserve">is </w:t>
      </w:r>
      <w:r w:rsidRPr="009F6C70">
        <w:rPr>
          <w:rFonts w:ascii="Arial" w:hAnsi="Arial" w:cs="Arial"/>
        </w:rPr>
        <w:t>not</w:t>
      </w:r>
      <w:r w:rsidR="009F6C70" w:rsidRPr="009F6C70">
        <w:rPr>
          <w:rFonts w:ascii="Arial" w:hAnsi="Arial" w:cs="Arial"/>
        </w:rPr>
        <w:t xml:space="preserve"> included </w:t>
      </w:r>
      <w:r w:rsidRPr="009F6C70">
        <w:rPr>
          <w:rFonts w:ascii="Arial" w:hAnsi="Arial" w:cs="Arial"/>
        </w:rPr>
        <w:t xml:space="preserve">in </w:t>
      </w:r>
      <w:r w:rsidR="009F6C70">
        <w:rPr>
          <w:rFonts w:ascii="Arial" w:hAnsi="Arial" w:cs="Arial"/>
        </w:rPr>
        <w:t xml:space="preserve">the ICES </w:t>
      </w:r>
      <w:r w:rsidRPr="009F6C70">
        <w:rPr>
          <w:rFonts w:ascii="Arial" w:hAnsi="Arial" w:cs="Arial"/>
        </w:rPr>
        <w:t>mixed fishery assessments</w:t>
      </w:r>
      <w:r w:rsidR="009F6C70">
        <w:rPr>
          <w:rFonts w:ascii="Arial" w:hAnsi="Arial" w:cs="Arial"/>
        </w:rPr>
        <w:t>,</w:t>
      </w:r>
      <w:r w:rsidRPr="009F6C70">
        <w:rPr>
          <w:rFonts w:ascii="Arial" w:hAnsi="Arial" w:cs="Arial"/>
        </w:rPr>
        <w:t xml:space="preserve"> </w:t>
      </w:r>
      <w:r w:rsidR="009F6C70" w:rsidRPr="009F6C70">
        <w:rPr>
          <w:rFonts w:ascii="Arial" w:hAnsi="Arial" w:cs="Arial"/>
        </w:rPr>
        <w:t xml:space="preserve">however </w:t>
      </w:r>
      <w:r w:rsidRPr="009F6C70">
        <w:rPr>
          <w:rFonts w:ascii="Arial" w:hAnsi="Arial" w:cs="Arial"/>
        </w:rPr>
        <w:t>ICES report that some discarding does take pl</w:t>
      </w:r>
      <w:r w:rsidR="0028496C">
        <w:rPr>
          <w:rFonts w:ascii="Arial" w:hAnsi="Arial" w:cs="Arial"/>
        </w:rPr>
        <w:t xml:space="preserve">ace (recorded between 2013-16) and </w:t>
      </w:r>
      <w:r w:rsidRPr="009F6C70">
        <w:rPr>
          <w:rFonts w:ascii="Arial" w:hAnsi="Arial" w:cs="Arial"/>
        </w:rPr>
        <w:t>further interrogation of ICES catch data and landings information is required to improve the understanding of this aspect</w:t>
      </w:r>
      <w:r w:rsidR="009F6C70">
        <w:rPr>
          <w:rFonts w:ascii="Arial" w:hAnsi="Arial" w:cs="Arial"/>
        </w:rPr>
        <w:t xml:space="preserve">. </w:t>
      </w:r>
      <w:r w:rsidR="0028496C">
        <w:rPr>
          <w:rFonts w:ascii="Arial" w:hAnsi="Arial" w:cs="Arial"/>
        </w:rPr>
        <w:t>Seafish a</w:t>
      </w:r>
      <w:r w:rsidRPr="009F6C70">
        <w:rPr>
          <w:rFonts w:ascii="Arial" w:hAnsi="Arial" w:cs="Arial"/>
        </w:rPr>
        <w:t>nalysis so far (Motova and Catchpole, 2018) suggests that lemon sole is currently at low risk of becoming a choke</w:t>
      </w:r>
      <w:r w:rsidR="0028496C">
        <w:rPr>
          <w:rFonts w:ascii="Arial" w:hAnsi="Arial" w:cs="Arial"/>
        </w:rPr>
        <w:t xml:space="preserve"> species at least for UK fleets </w:t>
      </w:r>
      <w:hyperlink r:id="rId12" w:history="1">
        <w:r w:rsidRPr="009F6C70">
          <w:rPr>
            <w:rStyle w:val="Hyperlink"/>
            <w:rFonts w:ascii="Arial" w:hAnsi="Arial" w:cs="Arial"/>
          </w:rPr>
          <w:t>http://</w:t>
        </w:r>
      </w:hyperlink>
      <w:hyperlink r:id="rId13" w:history="1">
        <w:r w:rsidRPr="009F6C70">
          <w:rPr>
            <w:rStyle w:val="Hyperlink"/>
            <w:rFonts w:ascii="Arial" w:hAnsi="Arial" w:cs="Arial"/>
          </w:rPr>
          <w:t>www.seafish.org/media/1744388/dag_feb2018_ukloanalysis_seafish.pdf</w:t>
        </w:r>
      </w:hyperlink>
    </w:p>
    <w:p w:rsidR="0028496C" w:rsidRDefault="0028496C" w:rsidP="0028496C">
      <w:pPr>
        <w:pStyle w:val="Heading4"/>
      </w:pPr>
      <w:r>
        <w:t>Implications in relation to output controls</w:t>
      </w:r>
    </w:p>
    <w:p w:rsidR="0028496C" w:rsidRPr="00680844" w:rsidRDefault="00680844" w:rsidP="0028496C">
      <w:pPr>
        <w:rPr>
          <w:rFonts w:ascii="Arial" w:hAnsi="Arial" w:cs="Arial"/>
        </w:rPr>
      </w:pPr>
      <w:r>
        <w:rPr>
          <w:rFonts w:ascii="Arial" w:hAnsi="Arial" w:cs="Arial"/>
        </w:rPr>
        <w:t>The use of F</w:t>
      </w:r>
      <w:r w:rsidRPr="00680844">
        <w:rPr>
          <w:rFonts w:ascii="Arial" w:hAnsi="Arial" w:cs="Arial"/>
          <w:vertAlign w:val="subscript"/>
        </w:rPr>
        <w:t>MSY</w:t>
      </w:r>
      <w:r>
        <w:rPr>
          <w:rFonts w:ascii="Arial" w:hAnsi="Arial" w:cs="Arial"/>
        </w:rPr>
        <w:t xml:space="preserve"> ranges by under the MAP implies that the TAC levels set under the plan will be designed to minimise catches of unwanted resource species. The plan is to utilise the approach to set TACs annually implying annual review. </w:t>
      </w:r>
    </w:p>
    <w:p w:rsidR="00A30A32" w:rsidRDefault="00A30A32" w:rsidP="00AC3FB5">
      <w:pPr>
        <w:pStyle w:val="Heading2"/>
      </w:pPr>
      <w:r w:rsidRPr="00A30A32">
        <w:t>E</w:t>
      </w:r>
      <w:r w:rsidR="004A0C70">
        <w:t xml:space="preserve">ndangered </w:t>
      </w:r>
      <w:r w:rsidRPr="00A30A32">
        <w:t>T</w:t>
      </w:r>
      <w:r w:rsidR="004A0C70">
        <w:t xml:space="preserve">hreatened and </w:t>
      </w:r>
      <w:r w:rsidRPr="00A30A32">
        <w:t>P</w:t>
      </w:r>
      <w:r w:rsidR="004A0C70">
        <w:t>rotected</w:t>
      </w:r>
      <w:r w:rsidRPr="00A30A32">
        <w:t xml:space="preserve"> </w:t>
      </w:r>
      <w:r w:rsidR="004A0C70">
        <w:t xml:space="preserve">(ETP) </w:t>
      </w:r>
      <w:r w:rsidRPr="00A30A32">
        <w:t>species</w:t>
      </w:r>
    </w:p>
    <w:p w:rsidR="009C7DEE" w:rsidRPr="00406324" w:rsidRDefault="00680844" w:rsidP="00406324">
      <w:pPr>
        <w:rPr>
          <w:rFonts w:ascii="Arial" w:hAnsi="Arial" w:cs="Arial"/>
        </w:rPr>
      </w:pPr>
      <w:r w:rsidRPr="00406324">
        <w:rPr>
          <w:rFonts w:ascii="Arial" w:hAnsi="Arial" w:cs="Arial"/>
        </w:rPr>
        <w:t>Under the Technical Conservation Measures</w:t>
      </w:r>
      <w:r w:rsidR="004A0C70" w:rsidRPr="00406324">
        <w:rPr>
          <w:rFonts w:ascii="Arial" w:hAnsi="Arial" w:cs="Arial"/>
        </w:rPr>
        <w:t xml:space="preserve"> Article 4 quoted above these species are expected to be managed by technical conservation measures.  ETP species present in g</w:t>
      </w:r>
      <w:r w:rsidR="00A30A32" w:rsidRPr="00406324">
        <w:rPr>
          <w:rFonts w:ascii="Arial" w:hAnsi="Arial" w:cs="Arial"/>
        </w:rPr>
        <w:t>eographi</w:t>
      </w:r>
      <w:r w:rsidR="004A0C70" w:rsidRPr="00406324">
        <w:rPr>
          <w:rFonts w:ascii="Arial" w:hAnsi="Arial" w:cs="Arial"/>
        </w:rPr>
        <w:t>c area include allis shad, porbeagle, spurdog, common skate, starry r</w:t>
      </w:r>
      <w:r w:rsidR="00A30A32" w:rsidRPr="00406324">
        <w:rPr>
          <w:rFonts w:ascii="Arial" w:hAnsi="Arial" w:cs="Arial"/>
        </w:rPr>
        <w:t xml:space="preserve">ay </w:t>
      </w:r>
      <w:r w:rsidR="004A0C70" w:rsidRPr="00406324">
        <w:rPr>
          <w:rFonts w:ascii="Arial" w:hAnsi="Arial" w:cs="Arial"/>
        </w:rPr>
        <w:t>and grey seal.</w:t>
      </w:r>
      <w:r w:rsidR="00096E08" w:rsidRPr="00406324">
        <w:rPr>
          <w:rFonts w:ascii="Arial" w:hAnsi="Arial" w:cs="Arial"/>
        </w:rPr>
        <w:t xml:space="preserve"> </w:t>
      </w:r>
      <w:r w:rsidR="003E3C01" w:rsidRPr="00406324">
        <w:rPr>
          <w:rFonts w:ascii="Arial" w:hAnsi="Arial" w:cs="Arial"/>
        </w:rPr>
        <w:t xml:space="preserve"> T</w:t>
      </w:r>
      <w:r w:rsidR="00096E08" w:rsidRPr="00406324">
        <w:rPr>
          <w:rFonts w:ascii="Arial" w:hAnsi="Arial" w:cs="Arial"/>
        </w:rPr>
        <w:t xml:space="preserve">he </w:t>
      </w:r>
      <w:r w:rsidR="006D56B5" w:rsidRPr="00406324">
        <w:rPr>
          <w:rFonts w:ascii="Arial" w:hAnsi="Arial" w:cs="Arial"/>
        </w:rPr>
        <w:t>porbeagle, common skate and starry ray are on the EU prohibited species list (COUNCIL REGULATION (EU) 2018/120</w:t>
      </w:r>
      <w:r w:rsidR="003E3C01" w:rsidRPr="00406324">
        <w:rPr>
          <w:rFonts w:ascii="Arial" w:hAnsi="Arial" w:cs="Arial"/>
        </w:rPr>
        <w:t>). These conservation measures rely on deterring</w:t>
      </w:r>
      <w:r w:rsidR="00406324" w:rsidRPr="00406324">
        <w:rPr>
          <w:rFonts w:ascii="Arial" w:hAnsi="Arial" w:cs="Arial"/>
        </w:rPr>
        <w:t xml:space="preserve"> fishers from</w:t>
      </w:r>
      <w:r w:rsidR="003E3C01" w:rsidRPr="00406324">
        <w:rPr>
          <w:rFonts w:ascii="Arial" w:hAnsi="Arial" w:cs="Arial"/>
        </w:rPr>
        <w:t xml:space="preserve"> targeting of these species, and returning to the </w:t>
      </w:r>
      <w:r w:rsidR="00406324" w:rsidRPr="00406324">
        <w:rPr>
          <w:rFonts w:ascii="Arial" w:hAnsi="Arial" w:cs="Arial"/>
        </w:rPr>
        <w:t>sea alive those fish</w:t>
      </w:r>
      <w:r w:rsidR="003E3C01" w:rsidRPr="00406324">
        <w:rPr>
          <w:rFonts w:ascii="Arial" w:hAnsi="Arial" w:cs="Arial"/>
        </w:rPr>
        <w:t xml:space="preserve"> which are </w:t>
      </w:r>
      <w:r w:rsidR="00406324" w:rsidRPr="00406324">
        <w:rPr>
          <w:rFonts w:ascii="Arial" w:hAnsi="Arial" w:cs="Arial"/>
        </w:rPr>
        <w:t xml:space="preserve">caught as by catch. </w:t>
      </w:r>
      <w:r w:rsidR="003E3C01" w:rsidRPr="00406324">
        <w:rPr>
          <w:rFonts w:ascii="Arial" w:hAnsi="Arial" w:cs="Arial"/>
        </w:rPr>
        <w:t>Spurdog is subject to zero TAC over most of the Northeast Atlantic but not Sub area 4 and division 3a.</w:t>
      </w:r>
      <w:r w:rsidR="00406324" w:rsidRPr="00406324">
        <w:rPr>
          <w:rFonts w:ascii="Arial" w:hAnsi="Arial" w:cs="Arial"/>
        </w:rPr>
        <w:t xml:space="preserve"> Methods for spurdog bycatch avoidance including the southern North Sea  are being developed under the UK shark, skate and ray conservation plan. </w:t>
      </w:r>
      <w:hyperlink r:id="rId14" w:history="1">
        <w:r w:rsidR="00406324" w:rsidRPr="00406324">
          <w:rPr>
            <w:rStyle w:val="Hyperlink"/>
            <w:rFonts w:ascii="Arial" w:hAnsi="Arial" w:cs="Arial"/>
          </w:rPr>
          <w:t>http://randd.defra.gov.uk/Default.aspx?Module=More&amp;Location=None&amp;ProjectID=19725</w:t>
        </w:r>
      </w:hyperlink>
      <w:r w:rsidR="00406324" w:rsidRPr="00406324">
        <w:rPr>
          <w:rFonts w:ascii="Arial" w:hAnsi="Arial" w:cs="Arial"/>
        </w:rPr>
        <w:t xml:space="preserve">. </w:t>
      </w:r>
    </w:p>
    <w:p w:rsidR="009C7DEE" w:rsidRDefault="00A30A32" w:rsidP="00406324">
      <w:pPr>
        <w:rPr>
          <w:rFonts w:ascii="Arial" w:hAnsi="Arial" w:cs="Arial"/>
        </w:rPr>
      </w:pPr>
      <w:r w:rsidRPr="00406324">
        <w:rPr>
          <w:rFonts w:ascii="Arial" w:hAnsi="Arial" w:cs="Arial"/>
        </w:rPr>
        <w:t>For grey seals in Scotland, the SMRU advice (annual) includes an assessment of seal bycatch in commercial fisheries (mainly in static net fisheries); they have a unit dedicated to monitoring and evaluating bycatch of all marine mammal species in fisheries</w:t>
      </w:r>
      <w:r w:rsidR="00792EEB">
        <w:rPr>
          <w:rFonts w:ascii="Arial" w:hAnsi="Arial" w:cs="Arial"/>
        </w:rPr>
        <w:t>.</w:t>
      </w:r>
    </w:p>
    <w:p w:rsidR="00163FB6" w:rsidRDefault="00163FB6" w:rsidP="00B74EC2">
      <w:pPr>
        <w:pStyle w:val="Heading2"/>
      </w:pPr>
      <w:r>
        <w:t>Industry initiatives</w:t>
      </w:r>
      <w:r w:rsidR="007E20B2">
        <w:t xml:space="preserve"> on ETP</w:t>
      </w:r>
    </w:p>
    <w:p w:rsidR="007E20B2" w:rsidRPr="007E20B2" w:rsidRDefault="007E20B2" w:rsidP="007E20B2">
      <w:pPr>
        <w:rPr>
          <w:rFonts w:ascii="Arial" w:hAnsi="Arial" w:cs="Arial"/>
        </w:rPr>
      </w:pPr>
      <w:r w:rsidRPr="007E20B2">
        <w:rPr>
          <w:rFonts w:ascii="Arial" w:hAnsi="Arial" w:cs="Arial"/>
        </w:rPr>
        <w:t>Two industry initiati</w:t>
      </w:r>
      <w:r w:rsidR="00B74EC2">
        <w:rPr>
          <w:rFonts w:ascii="Arial" w:hAnsi="Arial" w:cs="Arial"/>
        </w:rPr>
        <w:t>ves are in progress which are</w:t>
      </w:r>
      <w:r w:rsidRPr="007E20B2">
        <w:rPr>
          <w:rFonts w:ascii="Arial" w:hAnsi="Arial" w:cs="Arial"/>
        </w:rPr>
        <w:t xml:space="preserve"> of </w:t>
      </w:r>
      <w:r w:rsidR="00B74EC2" w:rsidRPr="007E20B2">
        <w:rPr>
          <w:rFonts w:ascii="Arial" w:hAnsi="Arial" w:cs="Arial"/>
        </w:rPr>
        <w:t>relevance</w:t>
      </w:r>
      <w:r w:rsidR="00B74EC2">
        <w:rPr>
          <w:rFonts w:ascii="Arial" w:hAnsi="Arial" w:cs="Arial"/>
        </w:rPr>
        <w:t>.</w:t>
      </w:r>
      <w:r w:rsidRPr="007E20B2">
        <w:rPr>
          <w:rFonts w:ascii="Arial" w:hAnsi="Arial" w:cs="Arial"/>
        </w:rPr>
        <w:t xml:space="preserve"> </w:t>
      </w:r>
    </w:p>
    <w:p w:rsidR="007E20B2" w:rsidRPr="007E20B2" w:rsidRDefault="007E20B2" w:rsidP="007E20B2">
      <w:pPr>
        <w:spacing w:after="0" w:line="240" w:lineRule="auto"/>
        <w:rPr>
          <w:rFonts w:ascii="Arial" w:hAnsi="Arial" w:cs="Arial"/>
          <w:b/>
        </w:rPr>
      </w:pPr>
      <w:r w:rsidRPr="007E20B2">
        <w:rPr>
          <w:rFonts w:ascii="Arial" w:hAnsi="Arial" w:cs="Arial"/>
          <w:b/>
        </w:rPr>
        <w:t>SFSAG Northern Demersal stocks</w:t>
      </w:r>
    </w:p>
    <w:p w:rsidR="003E7DF2" w:rsidRPr="003E7DF2" w:rsidRDefault="007E20B2" w:rsidP="003E7DF2">
      <w:pPr>
        <w:rPr>
          <w:rFonts w:ascii="Arial" w:hAnsi="Arial" w:cs="Arial"/>
        </w:rPr>
      </w:pPr>
      <w:r>
        <w:rPr>
          <w:rFonts w:ascii="Arial" w:hAnsi="Arial" w:cs="Arial"/>
        </w:rPr>
        <w:t xml:space="preserve">Quoted from (Jones and </w:t>
      </w:r>
      <w:r w:rsidR="00B74EC2">
        <w:rPr>
          <w:rFonts w:ascii="Arial" w:hAnsi="Arial" w:cs="Arial"/>
        </w:rPr>
        <w:t xml:space="preserve">Honneland </w:t>
      </w:r>
      <w:r w:rsidRPr="007E20B2">
        <w:rPr>
          <w:rFonts w:ascii="Arial" w:hAnsi="Arial" w:cs="Arial"/>
        </w:rPr>
        <w:t xml:space="preserve">2018) </w:t>
      </w:r>
      <w:r w:rsidR="003E7DF2">
        <w:rPr>
          <w:rFonts w:ascii="Arial" w:hAnsi="Arial" w:cs="Arial"/>
        </w:rPr>
        <w:t xml:space="preserve">Client action plan described in </w:t>
      </w:r>
      <w:r w:rsidR="00163FB6">
        <w:rPr>
          <w:rFonts w:ascii="Arial" w:hAnsi="Arial" w:cs="Arial"/>
        </w:rPr>
        <w:t>SFSAG Northern Demersal Stocks 2</w:t>
      </w:r>
      <w:r w:rsidR="003E7DF2">
        <w:rPr>
          <w:rFonts w:ascii="Arial" w:hAnsi="Arial" w:cs="Arial"/>
        </w:rPr>
        <w:t>rd Surveillance report – Jun 18</w:t>
      </w:r>
      <w:r>
        <w:rPr>
          <w:rFonts w:ascii="Arial" w:hAnsi="Arial" w:cs="Arial"/>
        </w:rPr>
        <w:t xml:space="preserve"> </w:t>
      </w:r>
    </w:p>
    <w:p w:rsidR="003E7DF2" w:rsidRPr="003E7DF2" w:rsidRDefault="003E7DF2" w:rsidP="003E7DF2">
      <w:pPr>
        <w:rPr>
          <w:rFonts w:ascii="Arial" w:hAnsi="Arial" w:cs="Arial"/>
        </w:rPr>
      </w:pPr>
      <w:r w:rsidRPr="003E7DF2">
        <w:rPr>
          <w:rFonts w:ascii="Arial" w:hAnsi="Arial" w:cs="Arial"/>
        </w:rPr>
        <w:t>Action plan for conditions 2, 3 and 4: Ensure data collection requirements are met under current PET observer programme. Also continue distribution of skate and ray identification cards, to member vessels and request interactions with starry ray and common skate to be logged so that the rate of interactions can be adequately assessed. On the basis of the recorded data, the fishery impact on those species will be assessed and appropriate management actions will be review</w:t>
      </w:r>
      <w:r>
        <w:rPr>
          <w:rFonts w:ascii="Arial" w:hAnsi="Arial" w:cs="Arial"/>
        </w:rPr>
        <w:t>ed and implemented as required.</w:t>
      </w:r>
    </w:p>
    <w:p w:rsidR="003E7DF2" w:rsidRPr="003E7DF2" w:rsidRDefault="003E7DF2" w:rsidP="003E7DF2">
      <w:pPr>
        <w:rPr>
          <w:rFonts w:ascii="Arial" w:hAnsi="Arial" w:cs="Arial"/>
        </w:rPr>
      </w:pPr>
      <w:r w:rsidRPr="003E7DF2">
        <w:rPr>
          <w:rFonts w:ascii="Arial" w:hAnsi="Arial" w:cs="Arial"/>
        </w:rPr>
        <w:t>•</w:t>
      </w:r>
      <w:r w:rsidRPr="003E7DF2">
        <w:rPr>
          <w:rFonts w:ascii="Arial" w:hAnsi="Arial" w:cs="Arial"/>
        </w:rPr>
        <w:tab/>
        <w:t>Year 1: continue distribution of skate and ray identification cards and reporting instructions. Review data collection requirements to assess fishery impacts on common skate and starry ray and put in place additional data collection measures as required.</w:t>
      </w:r>
    </w:p>
    <w:p w:rsidR="003E7DF2" w:rsidRPr="003E7DF2" w:rsidRDefault="003E7DF2" w:rsidP="003E7DF2">
      <w:pPr>
        <w:rPr>
          <w:rFonts w:ascii="Arial" w:hAnsi="Arial" w:cs="Arial"/>
        </w:rPr>
      </w:pPr>
      <w:r w:rsidRPr="003E7DF2">
        <w:rPr>
          <w:rFonts w:ascii="Arial" w:hAnsi="Arial" w:cs="Arial"/>
        </w:rPr>
        <w:t>•</w:t>
      </w:r>
      <w:r w:rsidRPr="003E7DF2">
        <w:rPr>
          <w:rFonts w:ascii="Arial" w:hAnsi="Arial" w:cs="Arial"/>
        </w:rPr>
        <w:tab/>
        <w:t>Year 2: Data collection and provisional review of fishery impact</w:t>
      </w:r>
    </w:p>
    <w:p w:rsidR="003E7DF2" w:rsidRPr="003E7DF2" w:rsidRDefault="003E7DF2" w:rsidP="003E7DF2">
      <w:pPr>
        <w:rPr>
          <w:rFonts w:ascii="Arial" w:hAnsi="Arial" w:cs="Arial"/>
        </w:rPr>
      </w:pPr>
      <w:r w:rsidRPr="003E7DF2">
        <w:rPr>
          <w:rFonts w:ascii="Arial" w:hAnsi="Arial" w:cs="Arial"/>
        </w:rPr>
        <w:t>•</w:t>
      </w:r>
      <w:r w:rsidRPr="003E7DF2">
        <w:rPr>
          <w:rFonts w:ascii="Arial" w:hAnsi="Arial" w:cs="Arial"/>
        </w:rPr>
        <w:tab/>
        <w:t>Year 3: Data collection and assessment of fishery impact. Review of management options to reduce fishery impact on starry ray and common skate as required. Determine which management options can provide objective basis for confidence that the strategy – if required - will work.</w:t>
      </w:r>
    </w:p>
    <w:p w:rsidR="003E7DF2" w:rsidRPr="003E7DF2" w:rsidRDefault="003E7DF2" w:rsidP="003E7DF2">
      <w:pPr>
        <w:rPr>
          <w:rFonts w:ascii="Arial" w:hAnsi="Arial" w:cs="Arial"/>
        </w:rPr>
      </w:pPr>
      <w:r w:rsidRPr="003E7DF2">
        <w:rPr>
          <w:rFonts w:ascii="Arial" w:hAnsi="Arial" w:cs="Arial"/>
        </w:rPr>
        <w:t>•</w:t>
      </w:r>
      <w:r w:rsidRPr="003E7DF2">
        <w:rPr>
          <w:rFonts w:ascii="Arial" w:hAnsi="Arial" w:cs="Arial"/>
        </w:rPr>
        <w:tab/>
        <w:t>Year 4: Data collection and implementation of management strategy.</w:t>
      </w:r>
    </w:p>
    <w:p w:rsidR="003E7DF2" w:rsidRPr="003E7DF2" w:rsidRDefault="003E7DF2" w:rsidP="003E7DF2">
      <w:pPr>
        <w:rPr>
          <w:rFonts w:ascii="Arial" w:hAnsi="Arial" w:cs="Arial"/>
        </w:rPr>
      </w:pPr>
      <w:r w:rsidRPr="003E7DF2">
        <w:rPr>
          <w:rFonts w:ascii="Arial" w:hAnsi="Arial" w:cs="Arial"/>
        </w:rPr>
        <w:t>•</w:t>
      </w:r>
      <w:r w:rsidRPr="003E7DF2">
        <w:rPr>
          <w:rFonts w:ascii="Arial" w:hAnsi="Arial" w:cs="Arial"/>
        </w:rPr>
        <w:tab/>
        <w:t>Year 5: Data collection and final review of impacts and effectiveness management strategy.</w:t>
      </w:r>
    </w:p>
    <w:p w:rsidR="003E7DF2" w:rsidRDefault="003E7DF2" w:rsidP="003E7DF2">
      <w:pPr>
        <w:rPr>
          <w:rFonts w:ascii="Arial" w:hAnsi="Arial" w:cs="Arial"/>
        </w:rPr>
      </w:pPr>
      <w:r w:rsidRPr="003E7DF2">
        <w:rPr>
          <w:rFonts w:ascii="Arial" w:hAnsi="Arial" w:cs="Arial"/>
        </w:rPr>
        <w:t>Data collection still on-going, we would need to integrate the finding at a later date</w:t>
      </w:r>
    </w:p>
    <w:p w:rsidR="00163FB6" w:rsidRPr="007E20B2" w:rsidRDefault="00163FB6" w:rsidP="003E7DF2">
      <w:pPr>
        <w:rPr>
          <w:rFonts w:ascii="Arial" w:hAnsi="Arial" w:cs="Arial"/>
          <w:b/>
        </w:rPr>
      </w:pPr>
      <w:r w:rsidRPr="007E20B2">
        <w:rPr>
          <w:rFonts w:ascii="Arial" w:hAnsi="Arial" w:cs="Arial"/>
          <w:b/>
        </w:rPr>
        <w:t>Osprey trawler</w:t>
      </w:r>
      <w:r w:rsidR="007E20B2" w:rsidRPr="007E20B2">
        <w:rPr>
          <w:rFonts w:ascii="Arial" w:hAnsi="Arial" w:cs="Arial"/>
          <w:b/>
        </w:rPr>
        <w:t>’</w:t>
      </w:r>
      <w:r w:rsidRPr="007E20B2">
        <w:rPr>
          <w:rFonts w:ascii="Arial" w:hAnsi="Arial" w:cs="Arial"/>
          <w:b/>
        </w:rPr>
        <w:t xml:space="preserve">s </w:t>
      </w:r>
      <w:r w:rsidR="007E20B2" w:rsidRPr="007E20B2">
        <w:rPr>
          <w:rFonts w:ascii="Arial" w:hAnsi="Arial" w:cs="Arial"/>
          <w:b/>
        </w:rPr>
        <w:t xml:space="preserve"> </w:t>
      </w:r>
      <w:r w:rsidRPr="007E20B2">
        <w:rPr>
          <w:rFonts w:ascii="Arial" w:hAnsi="Arial" w:cs="Arial"/>
          <w:b/>
        </w:rPr>
        <w:t>Starry Ray Impacts</w:t>
      </w:r>
      <w:r w:rsidR="007E20B2" w:rsidRPr="007E20B2">
        <w:rPr>
          <w:rFonts w:ascii="Arial" w:hAnsi="Arial" w:cs="Arial"/>
          <w:b/>
        </w:rPr>
        <w:t>;</w:t>
      </w:r>
      <w:r w:rsidRPr="007E20B2">
        <w:rPr>
          <w:rFonts w:ascii="Arial" w:hAnsi="Arial" w:cs="Arial"/>
          <w:b/>
        </w:rPr>
        <w:t xml:space="preserve"> </w:t>
      </w:r>
    </w:p>
    <w:p w:rsidR="007E20B2" w:rsidRDefault="007E20B2" w:rsidP="003E7DF2">
      <w:pPr>
        <w:rPr>
          <w:rFonts w:ascii="Arial" w:hAnsi="Arial" w:cs="Arial"/>
        </w:rPr>
      </w:pPr>
      <w:r>
        <w:rPr>
          <w:rFonts w:ascii="Arial" w:hAnsi="Arial" w:cs="Arial"/>
        </w:rPr>
        <w:t xml:space="preserve">Quoted from Andrews and Milner (2018) surveillance report on </w:t>
      </w:r>
      <w:r w:rsidRPr="007E20B2">
        <w:rPr>
          <w:rFonts w:ascii="Arial" w:hAnsi="Arial" w:cs="Arial"/>
        </w:rPr>
        <w:t>Trawlers North Sea twin-rigged plaice certification report</w:t>
      </w:r>
      <w:r>
        <w:rPr>
          <w:rFonts w:ascii="Arial" w:hAnsi="Arial" w:cs="Arial"/>
        </w:rPr>
        <w:t xml:space="preserve">   </w:t>
      </w:r>
    </w:p>
    <w:p w:rsidR="00117781" w:rsidRPr="00117781" w:rsidRDefault="00117781" w:rsidP="00117781">
      <w:pPr>
        <w:spacing w:after="0"/>
        <w:rPr>
          <w:rFonts w:ascii="Arial" w:hAnsi="Arial" w:cs="Arial"/>
        </w:rPr>
      </w:pPr>
      <w:r w:rsidRPr="00117781">
        <w:rPr>
          <w:rFonts w:ascii="Arial" w:hAnsi="Arial" w:cs="Arial"/>
        </w:rPr>
        <w:t>This information shows that the fishery overlaps with the starry ray distribution in the central</w:t>
      </w:r>
    </w:p>
    <w:p w:rsidR="00117781" w:rsidRPr="00117781" w:rsidRDefault="00117781" w:rsidP="00117781">
      <w:pPr>
        <w:spacing w:after="0"/>
        <w:rPr>
          <w:rFonts w:ascii="Arial" w:hAnsi="Arial" w:cs="Arial"/>
        </w:rPr>
      </w:pPr>
      <w:r w:rsidRPr="00117781">
        <w:rPr>
          <w:rFonts w:ascii="Arial" w:hAnsi="Arial" w:cs="Arial"/>
        </w:rPr>
        <w:t>North Sea, and that the starry ray range extends considerably further north, beyond the</w:t>
      </w:r>
    </w:p>
    <w:p w:rsidR="00117781" w:rsidRDefault="00117781" w:rsidP="00117781">
      <w:pPr>
        <w:spacing w:after="0"/>
        <w:rPr>
          <w:rFonts w:ascii="Arial" w:hAnsi="Arial" w:cs="Arial"/>
        </w:rPr>
      </w:pPr>
      <w:r w:rsidRPr="00117781">
        <w:rPr>
          <w:rFonts w:ascii="Arial" w:hAnsi="Arial" w:cs="Arial"/>
        </w:rPr>
        <w:t>extent of the twin-rig trawl fishery.</w:t>
      </w:r>
    </w:p>
    <w:p w:rsidR="00117781" w:rsidRPr="00117781" w:rsidRDefault="00117781" w:rsidP="00117781">
      <w:pPr>
        <w:spacing w:after="0"/>
        <w:rPr>
          <w:rFonts w:ascii="Arial" w:hAnsi="Arial" w:cs="Arial"/>
        </w:rPr>
      </w:pPr>
    </w:p>
    <w:p w:rsidR="00117781" w:rsidRPr="00117781" w:rsidRDefault="00117781" w:rsidP="00117781">
      <w:pPr>
        <w:spacing w:after="0"/>
        <w:rPr>
          <w:rFonts w:ascii="Arial" w:hAnsi="Arial" w:cs="Arial"/>
        </w:rPr>
      </w:pPr>
      <w:r w:rsidRPr="00117781">
        <w:rPr>
          <w:rFonts w:ascii="Arial" w:hAnsi="Arial" w:cs="Arial"/>
        </w:rPr>
        <w:t>The conclusion of this assessment is that the direct effect of this fishery (the capture of</w:t>
      </w:r>
    </w:p>
    <w:p w:rsidR="00117781" w:rsidRPr="00117781" w:rsidRDefault="00117781" w:rsidP="00117781">
      <w:pPr>
        <w:spacing w:after="0"/>
        <w:rPr>
          <w:rFonts w:ascii="Arial" w:hAnsi="Arial" w:cs="Arial"/>
        </w:rPr>
      </w:pPr>
      <w:r w:rsidRPr="00117781">
        <w:rPr>
          <w:rFonts w:ascii="Arial" w:hAnsi="Arial" w:cs="Arial"/>
        </w:rPr>
        <w:t>around 70t of starry rays in just part of the species overall r</w:t>
      </w:r>
      <w:r w:rsidR="00B74EC2">
        <w:rPr>
          <w:rFonts w:ascii="Arial" w:hAnsi="Arial" w:cs="Arial"/>
        </w:rPr>
        <w:t xml:space="preserve">ange) is unlikely to hinder the </w:t>
      </w:r>
      <w:r w:rsidRPr="00117781">
        <w:rPr>
          <w:rFonts w:ascii="Arial" w:hAnsi="Arial" w:cs="Arial"/>
        </w:rPr>
        <w:t>recovery of rebuilding of starry rays in the North Sea, meeting the SG60 requirements.</w:t>
      </w:r>
    </w:p>
    <w:p w:rsidR="00117781" w:rsidRPr="00117781" w:rsidRDefault="00117781" w:rsidP="00117781">
      <w:pPr>
        <w:spacing w:after="0"/>
        <w:rPr>
          <w:rFonts w:ascii="Arial" w:hAnsi="Arial" w:cs="Arial"/>
        </w:rPr>
      </w:pPr>
      <w:r w:rsidRPr="00117781">
        <w:rPr>
          <w:rFonts w:ascii="Arial" w:hAnsi="Arial" w:cs="Arial"/>
        </w:rPr>
        <w:t>The level of certainty of this assessment is not sufficient to warrant a higher score than this</w:t>
      </w:r>
    </w:p>
    <w:p w:rsidR="00163FB6" w:rsidRDefault="00117781" w:rsidP="00B74EC2">
      <w:pPr>
        <w:spacing w:after="0"/>
        <w:rPr>
          <w:rFonts w:ascii="Arial" w:hAnsi="Arial" w:cs="Arial"/>
        </w:rPr>
      </w:pPr>
      <w:r w:rsidRPr="00117781">
        <w:rPr>
          <w:rFonts w:ascii="Arial" w:hAnsi="Arial" w:cs="Arial"/>
        </w:rPr>
        <w:t>however.</w:t>
      </w:r>
      <w:r w:rsidR="00163FB6">
        <w:rPr>
          <w:rFonts w:ascii="Arial" w:hAnsi="Arial" w:cs="Arial"/>
        </w:rPr>
        <w:t xml:space="preserve"> </w:t>
      </w:r>
      <w:r w:rsidRPr="00117781">
        <w:rPr>
          <w:rFonts w:ascii="Arial" w:hAnsi="Arial" w:cs="Arial"/>
        </w:rPr>
        <w:t>The evidence presented at this surveillance audit demons</w:t>
      </w:r>
      <w:r>
        <w:rPr>
          <w:rFonts w:ascii="Arial" w:hAnsi="Arial" w:cs="Arial"/>
        </w:rPr>
        <w:t xml:space="preserve">trates that there is a research </w:t>
      </w:r>
      <w:r w:rsidRPr="00117781">
        <w:rPr>
          <w:rFonts w:ascii="Arial" w:hAnsi="Arial" w:cs="Arial"/>
        </w:rPr>
        <w:t>plan in place to gather information about the catch of starry ray by Ekofish Group vessels,</w:t>
      </w:r>
      <w:r>
        <w:rPr>
          <w:rFonts w:ascii="Arial" w:hAnsi="Arial" w:cs="Arial"/>
        </w:rPr>
        <w:t xml:space="preserve"> </w:t>
      </w:r>
      <w:r w:rsidRPr="00117781">
        <w:rPr>
          <w:rFonts w:ascii="Arial" w:hAnsi="Arial" w:cs="Arial"/>
        </w:rPr>
        <w:t>and to estimate the impact that the Ekofish Group fishe</w:t>
      </w:r>
      <w:r>
        <w:rPr>
          <w:rFonts w:ascii="Arial" w:hAnsi="Arial" w:cs="Arial"/>
        </w:rPr>
        <w:t xml:space="preserve">ry may have on starry ray. </w:t>
      </w:r>
    </w:p>
    <w:p w:rsidR="00792EEB" w:rsidRDefault="00792EEB" w:rsidP="00792EEB">
      <w:pPr>
        <w:pStyle w:val="Heading4"/>
      </w:pPr>
      <w:r>
        <w:t>Implications in relation to technical conservation measures</w:t>
      </w:r>
    </w:p>
    <w:p w:rsidR="00AC3FB5" w:rsidRPr="00406324" w:rsidRDefault="00792EEB" w:rsidP="00792EEB">
      <w:pPr>
        <w:rPr>
          <w:rFonts w:ascii="Arial" w:hAnsi="Arial" w:cs="Arial"/>
        </w:rPr>
      </w:pPr>
      <w:r>
        <w:rPr>
          <w:rFonts w:ascii="Arial" w:hAnsi="Arial" w:cs="Arial"/>
        </w:rPr>
        <w:t>Conservation of most of the ETP species is reliant on technical measures which are reviewed every three years and a plan setting out corrective action is implemented. Spurdog is assessed biennially an</w:t>
      </w:r>
      <w:r w:rsidR="00822906">
        <w:rPr>
          <w:rFonts w:ascii="Arial" w:hAnsi="Arial" w:cs="Arial"/>
        </w:rPr>
        <w:t>d</w:t>
      </w:r>
      <w:r>
        <w:rPr>
          <w:rFonts w:ascii="Arial" w:hAnsi="Arial" w:cs="Arial"/>
        </w:rPr>
        <w:t xml:space="preserve"> seal stocks are assessed every year</w:t>
      </w:r>
      <w:r w:rsidR="003B4191">
        <w:rPr>
          <w:rFonts w:ascii="Arial" w:hAnsi="Arial" w:cs="Arial"/>
        </w:rPr>
        <w:t xml:space="preserve">. </w:t>
      </w:r>
      <w:r>
        <w:rPr>
          <w:rFonts w:ascii="Arial" w:hAnsi="Arial" w:cs="Arial"/>
        </w:rPr>
        <w:t xml:space="preserve">  </w:t>
      </w:r>
      <w:r w:rsidR="003E7DF2">
        <w:rPr>
          <w:rFonts w:ascii="Arial" w:hAnsi="Arial" w:cs="Arial"/>
        </w:rPr>
        <w:t xml:space="preserve">There are also new </w:t>
      </w:r>
      <w:r w:rsidR="003B4191" w:rsidRPr="00406324">
        <w:rPr>
          <w:rFonts w:ascii="Arial" w:hAnsi="Arial" w:cs="Arial"/>
        </w:rPr>
        <w:t>industry measures for improving visibility of skates and rays catches</w:t>
      </w:r>
      <w:r w:rsidR="00B74EC2">
        <w:rPr>
          <w:rFonts w:ascii="Arial" w:hAnsi="Arial" w:cs="Arial"/>
        </w:rPr>
        <w:t xml:space="preserve"> in relevant fisheries as discussed above. </w:t>
      </w:r>
      <w:r w:rsidR="003E7DF2">
        <w:rPr>
          <w:rFonts w:ascii="Arial" w:hAnsi="Arial" w:cs="Arial"/>
        </w:rPr>
        <w:t xml:space="preserve"> </w:t>
      </w:r>
    </w:p>
    <w:p w:rsidR="00923862" w:rsidRDefault="00923862">
      <w:r>
        <w:br w:type="page"/>
      </w:r>
    </w:p>
    <w:p w:rsidR="00A30A32" w:rsidRDefault="00923862" w:rsidP="00923862">
      <w:pPr>
        <w:pStyle w:val="Heading1"/>
      </w:pPr>
      <w:r>
        <w:t xml:space="preserve">Appendix 1 Implications of new tech cons measures </w:t>
      </w:r>
    </w:p>
    <w:p w:rsidR="00822906" w:rsidRPr="00822906" w:rsidRDefault="00822906" w:rsidP="00923862">
      <w:pPr>
        <w:rPr>
          <w:rFonts w:ascii="Arial" w:hAnsi="Arial" w:cs="Arial"/>
          <w:bCs/>
        </w:rPr>
      </w:pPr>
      <w:r w:rsidRPr="00822906">
        <w:rPr>
          <w:rFonts w:ascii="Arial" w:hAnsi="Arial" w:cs="Arial"/>
          <w:bCs/>
        </w:rPr>
        <w:t xml:space="preserve">From the new technical conservation measures as of April 2018; </w:t>
      </w:r>
    </w:p>
    <w:p w:rsidR="00923862" w:rsidRPr="00822906" w:rsidRDefault="00923862" w:rsidP="00923862">
      <w:pPr>
        <w:rPr>
          <w:rFonts w:ascii="Arial" w:hAnsi="Arial" w:cs="Arial"/>
          <w:bCs/>
        </w:rPr>
      </w:pPr>
      <w:r w:rsidRPr="00822906">
        <w:rPr>
          <w:rFonts w:ascii="Arial" w:hAnsi="Arial" w:cs="Arial"/>
          <w:bCs/>
        </w:rPr>
        <w:t xml:space="preserve">Whole of North Sea, Skagerrak and Kattegat </w:t>
      </w:r>
      <w:r w:rsidRPr="00822906">
        <w:rPr>
          <w:rFonts w:ascii="Arial" w:hAnsi="Arial" w:cs="Arial"/>
          <w:bCs/>
          <w:u w:val="single"/>
        </w:rPr>
        <w:t>&gt;</w:t>
      </w:r>
      <w:r w:rsidRPr="00822906">
        <w:rPr>
          <w:rFonts w:ascii="Arial" w:hAnsi="Arial" w:cs="Arial"/>
          <w:bCs/>
        </w:rPr>
        <w:t>120 mm mesh in all demersal trawls with the exception of;</w:t>
      </w:r>
    </w:p>
    <w:p w:rsidR="00923862" w:rsidRPr="003C0C95" w:rsidRDefault="00923862" w:rsidP="00923862">
      <w:pPr>
        <w:numPr>
          <w:ilvl w:val="0"/>
          <w:numId w:val="3"/>
        </w:numPr>
        <w:rPr>
          <w:rFonts w:ascii="Arial" w:hAnsi="Arial" w:cs="Arial"/>
        </w:rPr>
      </w:pPr>
      <w:r w:rsidRPr="003C0C95">
        <w:rPr>
          <w:rFonts w:ascii="Arial" w:hAnsi="Arial" w:cs="Arial"/>
        </w:rPr>
        <w:t xml:space="preserve">North Sea south of 57º30'N </w:t>
      </w:r>
      <w:r w:rsidR="00E90EE0" w:rsidRPr="003C0C95">
        <w:rPr>
          <w:rFonts w:ascii="Arial" w:hAnsi="Arial" w:cs="Arial"/>
        </w:rPr>
        <w:t xml:space="preserve">(approx. latitude of Peterhead) </w:t>
      </w:r>
      <w:r w:rsidRPr="003C0C95">
        <w:rPr>
          <w:rFonts w:ascii="Arial" w:hAnsi="Arial" w:cs="Arial"/>
        </w:rPr>
        <w:t>Directed fishing for plaice and sole (minimum of 50% of catch) with otter trawls and seines to use a minimum of 100mm. A square mesh panel of at least 90mm shall be fitted.</w:t>
      </w:r>
    </w:p>
    <w:p w:rsidR="00923862" w:rsidRPr="003C0C95" w:rsidRDefault="00923862" w:rsidP="00923862">
      <w:pPr>
        <w:numPr>
          <w:ilvl w:val="0"/>
          <w:numId w:val="3"/>
        </w:numPr>
        <w:rPr>
          <w:rFonts w:ascii="Arial" w:hAnsi="Arial" w:cs="Arial"/>
        </w:rPr>
      </w:pPr>
      <w:r w:rsidRPr="003C0C95">
        <w:rPr>
          <w:rFonts w:ascii="Arial" w:hAnsi="Arial" w:cs="Arial"/>
        </w:rPr>
        <w:t xml:space="preserve">Nephrops targeted (more than 20% of catch) </w:t>
      </w:r>
      <w:r w:rsidRPr="003C0C95">
        <w:rPr>
          <w:rFonts w:ascii="Arial" w:hAnsi="Arial" w:cs="Arial"/>
          <w:u w:val="single"/>
        </w:rPr>
        <w:t>&gt;</w:t>
      </w:r>
      <w:r w:rsidRPr="003C0C95">
        <w:rPr>
          <w:rFonts w:ascii="Arial" w:hAnsi="Arial" w:cs="Arial"/>
        </w:rPr>
        <w:t xml:space="preserve"> 80 mm mesh use of sorting grid or with a maximum bar spacing of 35mm or equivalent selectivity device shall be fitted or 120 mm SMP compulsory </w:t>
      </w:r>
    </w:p>
    <w:p w:rsidR="00923862" w:rsidRPr="003C0C95" w:rsidRDefault="00923862" w:rsidP="00923862">
      <w:pPr>
        <w:numPr>
          <w:ilvl w:val="0"/>
          <w:numId w:val="3"/>
        </w:numPr>
        <w:rPr>
          <w:rFonts w:ascii="Arial" w:hAnsi="Arial" w:cs="Arial"/>
        </w:rPr>
      </w:pPr>
      <w:r w:rsidRPr="003C0C95">
        <w:rPr>
          <w:rFonts w:ascii="Arial" w:hAnsi="Arial" w:cs="Arial"/>
        </w:rPr>
        <w:t xml:space="preserve">Div 4c only; Sole targeted otter trawls (min 15%) and pulse/beam (sole targeted) </w:t>
      </w:r>
      <w:r w:rsidRPr="003C0C95">
        <w:rPr>
          <w:rFonts w:ascii="Arial" w:hAnsi="Arial" w:cs="Arial"/>
          <w:u w:val="single"/>
        </w:rPr>
        <w:t>&gt;</w:t>
      </w:r>
      <w:r w:rsidRPr="003C0C95">
        <w:rPr>
          <w:rFonts w:ascii="Arial" w:hAnsi="Arial" w:cs="Arial"/>
        </w:rPr>
        <w:t xml:space="preserve"> 80 mm mesh. SMP required for sole targeted otter trawls</w:t>
      </w:r>
    </w:p>
    <w:p w:rsidR="00923862" w:rsidRPr="003C0C95" w:rsidRDefault="00923862" w:rsidP="00923862">
      <w:pPr>
        <w:numPr>
          <w:ilvl w:val="0"/>
          <w:numId w:val="3"/>
        </w:numPr>
        <w:rPr>
          <w:rFonts w:ascii="Arial" w:hAnsi="Arial" w:cs="Arial"/>
        </w:rPr>
      </w:pPr>
      <w:r w:rsidRPr="003C0C95">
        <w:rPr>
          <w:rFonts w:ascii="Arial" w:hAnsi="Arial" w:cs="Arial"/>
        </w:rPr>
        <w:t xml:space="preserve">Directed fishing for species not covered by catch limits (40%) </w:t>
      </w:r>
      <w:r w:rsidRPr="003C0C95">
        <w:rPr>
          <w:rFonts w:ascii="Arial" w:hAnsi="Arial" w:cs="Arial"/>
          <w:u w:val="single"/>
        </w:rPr>
        <w:t>&gt;</w:t>
      </w:r>
      <w:r w:rsidRPr="003C0C95">
        <w:rPr>
          <w:rFonts w:ascii="Arial" w:hAnsi="Arial" w:cs="Arial"/>
        </w:rPr>
        <w:t xml:space="preserve"> 80 mm. A square mesh panel of at least 80mm shall be fitted.</w:t>
      </w:r>
    </w:p>
    <w:p w:rsidR="00923862" w:rsidRPr="003C0C95" w:rsidRDefault="00923862" w:rsidP="00923862">
      <w:pPr>
        <w:numPr>
          <w:ilvl w:val="0"/>
          <w:numId w:val="4"/>
        </w:numPr>
        <w:rPr>
          <w:rFonts w:ascii="Arial" w:hAnsi="Arial" w:cs="Arial"/>
        </w:rPr>
      </w:pPr>
      <w:r w:rsidRPr="003C0C95">
        <w:rPr>
          <w:rFonts w:ascii="Arial" w:hAnsi="Arial" w:cs="Arial"/>
        </w:rPr>
        <w:t xml:space="preserve">Directed fishing for skates and rays (70%) </w:t>
      </w:r>
      <w:r w:rsidRPr="003C0C95">
        <w:rPr>
          <w:rFonts w:ascii="Arial" w:hAnsi="Arial" w:cs="Arial"/>
          <w:u w:val="single"/>
        </w:rPr>
        <w:t>&gt;</w:t>
      </w:r>
      <w:r w:rsidRPr="003C0C95">
        <w:rPr>
          <w:rFonts w:ascii="Arial" w:hAnsi="Arial" w:cs="Arial"/>
        </w:rPr>
        <w:t xml:space="preserve"> 80mm</w:t>
      </w:r>
    </w:p>
    <w:p w:rsidR="00923862" w:rsidRDefault="00923862" w:rsidP="00923862">
      <w:pPr>
        <w:numPr>
          <w:ilvl w:val="0"/>
          <w:numId w:val="4"/>
        </w:numPr>
        <w:rPr>
          <w:rFonts w:ascii="Arial" w:hAnsi="Arial" w:cs="Arial"/>
        </w:rPr>
      </w:pPr>
      <w:r w:rsidRPr="003C0C95">
        <w:rPr>
          <w:rFonts w:ascii="Arial" w:hAnsi="Arial" w:cs="Arial"/>
        </w:rPr>
        <w:t xml:space="preserve">Small meshed fisheries for </w:t>
      </w:r>
      <w:r w:rsidRPr="003C0C95">
        <w:rPr>
          <w:rFonts w:ascii="Arial" w:hAnsi="Arial" w:cs="Arial"/>
          <w:i/>
        </w:rPr>
        <w:t>Crangon crangon</w:t>
      </w:r>
      <w:r w:rsidRPr="003C0C95">
        <w:rPr>
          <w:rFonts w:ascii="Arial" w:hAnsi="Arial" w:cs="Arial"/>
        </w:rPr>
        <w:t xml:space="preserve"> are proposed to continue use technical measures in the form of sorting grid sieve or other device to reduce bycatch. </w:t>
      </w:r>
    </w:p>
    <w:p w:rsidR="00B75DF2" w:rsidRPr="00B75DF2" w:rsidRDefault="00B75DF2" w:rsidP="00B75DF2">
      <w:pPr>
        <w:rPr>
          <w:rFonts w:ascii="Arial" w:hAnsi="Arial" w:cs="Arial"/>
        </w:rPr>
      </w:pPr>
      <w:r w:rsidRPr="00B75DF2">
        <w:rPr>
          <w:rFonts w:ascii="Arial" w:hAnsi="Arial" w:cs="Arial"/>
        </w:rPr>
        <w:t>Spatial measures</w:t>
      </w:r>
    </w:p>
    <w:p w:rsidR="00B75DF2" w:rsidRDefault="00B75DF2" w:rsidP="00B75DF2">
      <w:pPr>
        <w:rPr>
          <w:rFonts w:ascii="Arial" w:hAnsi="Arial" w:cs="Arial"/>
        </w:rPr>
      </w:pPr>
      <w:r w:rsidRPr="00B75DF2">
        <w:rPr>
          <w:rFonts w:ascii="Arial" w:hAnsi="Arial" w:cs="Arial"/>
        </w:rPr>
        <w:t>•</w:t>
      </w:r>
      <w:r w:rsidRPr="00B75DF2">
        <w:rPr>
          <w:rFonts w:ascii="Arial" w:hAnsi="Arial" w:cs="Arial"/>
        </w:rPr>
        <w:tab/>
        <w:t>Plaice box to be retained with</w:t>
      </w:r>
      <w:r>
        <w:rPr>
          <w:rFonts w:ascii="Arial" w:hAnsi="Arial" w:cs="Arial"/>
        </w:rPr>
        <w:t xml:space="preserve"> vessels of &lt; 221 kw permitted and s</w:t>
      </w:r>
      <w:r w:rsidRPr="00B75DF2">
        <w:rPr>
          <w:rFonts w:ascii="Arial" w:hAnsi="Arial" w:cs="Arial"/>
        </w:rPr>
        <w:t>imilar rules within UK 12 mile limit.</w:t>
      </w:r>
    </w:p>
    <w:p w:rsidR="003C0C95" w:rsidRDefault="003C0C95" w:rsidP="003C0C95">
      <w:pPr>
        <w:pStyle w:val="Heading2"/>
      </w:pPr>
      <w:r w:rsidRPr="003C0C95">
        <w:t>Relevance to plaice and lemon sole</w:t>
      </w:r>
    </w:p>
    <w:p w:rsidR="003C0C95" w:rsidRDefault="00116C68" w:rsidP="003C0C95">
      <w:pPr>
        <w:rPr>
          <w:rFonts w:ascii="Arial" w:hAnsi="Arial" w:cs="Arial"/>
        </w:rPr>
      </w:pPr>
      <w:r>
        <w:rPr>
          <w:rFonts w:ascii="Arial" w:hAnsi="Arial" w:cs="Arial"/>
        </w:rPr>
        <w:t>I</w:t>
      </w:r>
      <w:r w:rsidRPr="00116C68">
        <w:rPr>
          <w:rFonts w:ascii="Arial" w:hAnsi="Arial" w:cs="Arial"/>
        </w:rPr>
        <w:t xml:space="preserve">ssues </w:t>
      </w:r>
      <w:r>
        <w:rPr>
          <w:rFonts w:ascii="Arial" w:hAnsi="Arial" w:cs="Arial"/>
        </w:rPr>
        <w:t xml:space="preserve">which </w:t>
      </w:r>
      <w:r w:rsidRPr="00116C68">
        <w:rPr>
          <w:rFonts w:ascii="Arial" w:hAnsi="Arial" w:cs="Arial"/>
        </w:rPr>
        <w:t>could affect discarded bycatch</w:t>
      </w:r>
      <w:r>
        <w:rPr>
          <w:rFonts w:ascii="Arial" w:hAnsi="Arial" w:cs="Arial"/>
        </w:rPr>
        <w:t xml:space="preserve"> levels are</w:t>
      </w:r>
    </w:p>
    <w:p w:rsidR="00116C68" w:rsidRDefault="00116C68" w:rsidP="00116C68">
      <w:pPr>
        <w:pStyle w:val="ListParagraph"/>
        <w:numPr>
          <w:ilvl w:val="0"/>
          <w:numId w:val="13"/>
        </w:numPr>
        <w:rPr>
          <w:rFonts w:ascii="Arial" w:hAnsi="Arial" w:cs="Arial"/>
        </w:rPr>
      </w:pPr>
      <w:r>
        <w:rPr>
          <w:rFonts w:ascii="Arial" w:hAnsi="Arial" w:cs="Arial"/>
        </w:rPr>
        <w:t>Selectivity of the gear and length distributions of the fish encountered</w:t>
      </w:r>
    </w:p>
    <w:p w:rsidR="00116C68" w:rsidRDefault="00116C68" w:rsidP="00116C68">
      <w:pPr>
        <w:pStyle w:val="ListParagraph"/>
        <w:numPr>
          <w:ilvl w:val="0"/>
          <w:numId w:val="13"/>
        </w:numPr>
        <w:rPr>
          <w:rFonts w:ascii="Arial" w:hAnsi="Arial" w:cs="Arial"/>
        </w:rPr>
      </w:pPr>
      <w:r>
        <w:rPr>
          <w:rFonts w:ascii="Arial" w:hAnsi="Arial" w:cs="Arial"/>
        </w:rPr>
        <w:t>Commercial demand for certain size groups</w:t>
      </w:r>
    </w:p>
    <w:p w:rsidR="00116C68" w:rsidRPr="00116C68" w:rsidRDefault="00116C68" w:rsidP="00116C68">
      <w:pPr>
        <w:pStyle w:val="ListParagraph"/>
        <w:numPr>
          <w:ilvl w:val="0"/>
          <w:numId w:val="13"/>
        </w:numPr>
        <w:rPr>
          <w:rFonts w:ascii="Arial" w:hAnsi="Arial" w:cs="Arial"/>
        </w:rPr>
      </w:pPr>
      <w:r>
        <w:rPr>
          <w:rFonts w:ascii="Arial" w:hAnsi="Arial" w:cs="Arial"/>
        </w:rPr>
        <w:t>Other species caught in a mixed fishery</w:t>
      </w:r>
    </w:p>
    <w:p w:rsidR="00116C68" w:rsidRDefault="00116C68" w:rsidP="00116C68">
      <w:pPr>
        <w:pStyle w:val="ListParagraph"/>
        <w:numPr>
          <w:ilvl w:val="0"/>
          <w:numId w:val="13"/>
        </w:numPr>
        <w:rPr>
          <w:rFonts w:ascii="Arial" w:hAnsi="Arial" w:cs="Arial"/>
        </w:rPr>
      </w:pPr>
      <w:r>
        <w:rPr>
          <w:rFonts w:ascii="Arial" w:hAnsi="Arial" w:cs="Arial"/>
        </w:rPr>
        <w:t>Landing obligation requirements</w:t>
      </w:r>
    </w:p>
    <w:p w:rsidR="00B75DF2" w:rsidRDefault="00116C68" w:rsidP="00DF1948">
      <w:pPr>
        <w:pStyle w:val="Heading3"/>
      </w:pPr>
      <w:r>
        <w:t xml:space="preserve">Selectivity of the </w:t>
      </w:r>
      <w:r w:rsidR="00B75DF2">
        <w:t>gear and length distributions encountered</w:t>
      </w:r>
    </w:p>
    <w:p w:rsidR="00B75DF2" w:rsidRPr="00116C68" w:rsidRDefault="00B75DF2" w:rsidP="00116C68">
      <w:pPr>
        <w:rPr>
          <w:rFonts w:ascii="Arial" w:hAnsi="Arial" w:cs="Arial"/>
        </w:rPr>
      </w:pPr>
      <w:r>
        <w:rPr>
          <w:rFonts w:ascii="Arial" w:hAnsi="Arial" w:cs="Arial"/>
        </w:rPr>
        <w:t>L</w:t>
      </w:r>
      <w:r w:rsidRPr="00B75DF2">
        <w:rPr>
          <w:rFonts w:ascii="Arial" w:hAnsi="Arial" w:cs="Arial"/>
          <w:vertAlign w:val="subscript"/>
        </w:rPr>
        <w:t>50</w:t>
      </w:r>
      <w:r w:rsidRPr="00B75DF2">
        <w:rPr>
          <w:rFonts w:ascii="Arial" w:hAnsi="Arial" w:cs="Arial"/>
        </w:rPr>
        <w:t>s are provisional and actual discards levels would depend on populations encountered</w:t>
      </w:r>
    </w:p>
    <w:p w:rsidR="00923862" w:rsidRPr="00116C68" w:rsidRDefault="00B75DF2" w:rsidP="00B75DF2">
      <w:pPr>
        <w:pStyle w:val="Caption"/>
        <w:rPr>
          <w:rFonts w:ascii="Arial" w:hAnsi="Arial" w:cs="Arial"/>
        </w:rPr>
      </w:pPr>
      <w:r>
        <w:t xml:space="preserve">Table </w:t>
      </w:r>
      <w:fldSimple w:instr=" SEQ Table \* ARABIC ">
        <w:r>
          <w:rPr>
            <w:noProof/>
          </w:rPr>
          <w:t>1</w:t>
        </w:r>
      </w:fldSimple>
      <w:r>
        <w:t xml:space="preserve"> A</w:t>
      </w:r>
      <w:r w:rsidR="00E90EE0" w:rsidRPr="00B75DF2">
        <w:t>pproximate L</w:t>
      </w:r>
      <w:r w:rsidR="00E90EE0" w:rsidRPr="00B75DF2">
        <w:rPr>
          <w:vertAlign w:val="subscript"/>
        </w:rPr>
        <w:t>50</w:t>
      </w:r>
      <w:r w:rsidR="00E90EE0" w:rsidRPr="00B75DF2">
        <w:t>s in cm</w:t>
      </w:r>
      <w:r w:rsidR="003C0C95" w:rsidRPr="00B75DF2">
        <w:t xml:space="preserve"> for several North Sea species</w:t>
      </w:r>
      <w:r w:rsidR="00116C68" w:rsidRPr="00B75DF2">
        <w:t xml:space="preserve"> based on Herrman et al (2008)</w:t>
      </w:r>
    </w:p>
    <w:tbl>
      <w:tblPr>
        <w:tblStyle w:val="TableGrid"/>
        <w:tblW w:w="0" w:type="auto"/>
        <w:tblInd w:w="0" w:type="dxa"/>
        <w:tblLook w:val="04A0" w:firstRow="1" w:lastRow="0" w:firstColumn="1" w:lastColumn="0" w:noHBand="0" w:noVBand="1"/>
      </w:tblPr>
      <w:tblGrid>
        <w:gridCol w:w="1560"/>
        <w:gridCol w:w="771"/>
        <w:gridCol w:w="1149"/>
        <w:gridCol w:w="960"/>
        <w:gridCol w:w="3748"/>
      </w:tblGrid>
      <w:tr w:rsidR="003C0C95" w:rsidRPr="003C0C95" w:rsidTr="003C0C95">
        <w:trPr>
          <w:trHeight w:val="300"/>
        </w:trPr>
        <w:tc>
          <w:tcPr>
            <w:tcW w:w="1560" w:type="dxa"/>
            <w:tcBorders>
              <w:top w:val="nil"/>
              <w:left w:val="nil"/>
              <w:bottom w:val="single" w:sz="4" w:space="0" w:color="auto"/>
              <w:right w:val="single" w:sz="4" w:space="0" w:color="auto"/>
            </w:tcBorders>
            <w:noWrap/>
            <w:hideMark/>
          </w:tcPr>
          <w:p w:rsidR="003C0C95" w:rsidRPr="003C0C95" w:rsidRDefault="003C0C95" w:rsidP="003C0C95"/>
        </w:tc>
        <w:tc>
          <w:tcPr>
            <w:tcW w:w="2880" w:type="dxa"/>
            <w:gridSpan w:val="3"/>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r w:rsidRPr="003C0C95">
              <w:t>Mesh Size mm</w:t>
            </w:r>
          </w:p>
        </w:tc>
        <w:tc>
          <w:tcPr>
            <w:tcW w:w="3748" w:type="dxa"/>
            <w:tcBorders>
              <w:top w:val="single" w:sz="4" w:space="0" w:color="auto"/>
              <w:left w:val="single" w:sz="4" w:space="0" w:color="auto"/>
              <w:bottom w:val="single" w:sz="4" w:space="0" w:color="auto"/>
              <w:right w:val="single" w:sz="4" w:space="0" w:color="auto"/>
            </w:tcBorders>
            <w:hideMark/>
          </w:tcPr>
          <w:p w:rsidR="003C0C95" w:rsidRPr="003C0C95" w:rsidRDefault="003C0C95" w:rsidP="003C0C95">
            <w:r w:rsidRPr="003C0C95">
              <w:t>North Sea MCRS (cm)</w:t>
            </w:r>
          </w:p>
        </w:tc>
      </w:tr>
      <w:tr w:rsidR="003C0C95" w:rsidRPr="003C0C95" w:rsidTr="003C0C95">
        <w:trPr>
          <w:trHeight w:val="300"/>
        </w:trPr>
        <w:tc>
          <w:tcPr>
            <w:tcW w:w="1560"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r w:rsidRPr="003C0C95">
              <w:t>Species</w:t>
            </w:r>
          </w:p>
        </w:tc>
        <w:tc>
          <w:tcPr>
            <w:tcW w:w="771"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pPr>
              <w:jc w:val="right"/>
            </w:pPr>
            <w:r w:rsidRPr="003C0C95">
              <w:t>100</w:t>
            </w:r>
          </w:p>
        </w:tc>
        <w:tc>
          <w:tcPr>
            <w:tcW w:w="1149"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pPr>
              <w:jc w:val="right"/>
            </w:pPr>
            <w:r w:rsidRPr="003C0C95">
              <w:t>120</w:t>
            </w:r>
          </w:p>
        </w:tc>
        <w:tc>
          <w:tcPr>
            <w:tcW w:w="960"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pPr>
              <w:jc w:val="right"/>
            </w:pPr>
            <w:r w:rsidRPr="003C0C95">
              <w:t>140</w:t>
            </w:r>
          </w:p>
        </w:tc>
        <w:tc>
          <w:tcPr>
            <w:tcW w:w="3748" w:type="dxa"/>
            <w:tcBorders>
              <w:top w:val="single" w:sz="4" w:space="0" w:color="auto"/>
              <w:left w:val="single" w:sz="4" w:space="0" w:color="auto"/>
              <w:bottom w:val="single" w:sz="4" w:space="0" w:color="auto"/>
              <w:right w:val="single" w:sz="4" w:space="0" w:color="auto"/>
            </w:tcBorders>
          </w:tcPr>
          <w:p w:rsidR="003C0C95" w:rsidRPr="003C0C95" w:rsidRDefault="003C0C95" w:rsidP="003C0C95">
            <w:pPr>
              <w:jc w:val="right"/>
            </w:pPr>
          </w:p>
        </w:tc>
      </w:tr>
      <w:tr w:rsidR="003C0C95" w:rsidRPr="003C0C95" w:rsidTr="003C0C95">
        <w:trPr>
          <w:trHeight w:val="300"/>
        </w:trPr>
        <w:tc>
          <w:tcPr>
            <w:tcW w:w="1560"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r w:rsidRPr="003C0C95">
              <w:t>Plaice</w:t>
            </w:r>
          </w:p>
        </w:tc>
        <w:tc>
          <w:tcPr>
            <w:tcW w:w="771"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pPr>
              <w:jc w:val="right"/>
            </w:pPr>
            <w:r w:rsidRPr="003C0C95">
              <w:t>25</w:t>
            </w:r>
          </w:p>
        </w:tc>
        <w:tc>
          <w:tcPr>
            <w:tcW w:w="1149"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pPr>
              <w:jc w:val="right"/>
            </w:pPr>
            <w:r w:rsidRPr="003C0C95">
              <w:t>26-27</w:t>
            </w:r>
          </w:p>
        </w:tc>
        <w:tc>
          <w:tcPr>
            <w:tcW w:w="960"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pPr>
              <w:jc w:val="right"/>
            </w:pPr>
            <w:r w:rsidRPr="003C0C95">
              <w:t>32</w:t>
            </w:r>
          </w:p>
        </w:tc>
        <w:tc>
          <w:tcPr>
            <w:tcW w:w="3748" w:type="dxa"/>
            <w:tcBorders>
              <w:top w:val="single" w:sz="4" w:space="0" w:color="auto"/>
              <w:left w:val="single" w:sz="4" w:space="0" w:color="auto"/>
              <w:bottom w:val="single" w:sz="4" w:space="0" w:color="auto"/>
              <w:right w:val="single" w:sz="4" w:space="0" w:color="auto"/>
            </w:tcBorders>
            <w:hideMark/>
          </w:tcPr>
          <w:p w:rsidR="003C0C95" w:rsidRPr="003C0C95" w:rsidRDefault="003C0C95" w:rsidP="003C0C95">
            <w:pPr>
              <w:jc w:val="right"/>
            </w:pPr>
            <w:r w:rsidRPr="003C0C95">
              <w:t>27</w:t>
            </w:r>
          </w:p>
        </w:tc>
      </w:tr>
      <w:tr w:rsidR="003C0C95" w:rsidRPr="003C0C95" w:rsidTr="003C0C95">
        <w:trPr>
          <w:trHeight w:val="300"/>
        </w:trPr>
        <w:tc>
          <w:tcPr>
            <w:tcW w:w="1560"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r w:rsidRPr="003C0C95">
              <w:t>Lemon sole</w:t>
            </w:r>
          </w:p>
        </w:tc>
        <w:tc>
          <w:tcPr>
            <w:tcW w:w="771"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pPr>
              <w:jc w:val="right"/>
            </w:pPr>
            <w:r w:rsidRPr="003C0C95">
              <w:t>24-25</w:t>
            </w:r>
          </w:p>
        </w:tc>
        <w:tc>
          <w:tcPr>
            <w:tcW w:w="1149"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pPr>
              <w:jc w:val="right"/>
            </w:pPr>
            <w:r w:rsidRPr="003C0C95">
              <w:t>29</w:t>
            </w:r>
          </w:p>
        </w:tc>
        <w:tc>
          <w:tcPr>
            <w:tcW w:w="960"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pPr>
              <w:jc w:val="right"/>
            </w:pPr>
            <w:r w:rsidRPr="003C0C95">
              <w:t>34</w:t>
            </w:r>
          </w:p>
        </w:tc>
        <w:tc>
          <w:tcPr>
            <w:tcW w:w="3748" w:type="dxa"/>
            <w:tcBorders>
              <w:top w:val="single" w:sz="4" w:space="0" w:color="auto"/>
              <w:left w:val="single" w:sz="4" w:space="0" w:color="auto"/>
              <w:bottom w:val="single" w:sz="4" w:space="0" w:color="auto"/>
              <w:right w:val="single" w:sz="4" w:space="0" w:color="auto"/>
            </w:tcBorders>
            <w:hideMark/>
          </w:tcPr>
          <w:p w:rsidR="003C0C95" w:rsidRPr="003C0C95" w:rsidRDefault="003C0C95" w:rsidP="003C0C95">
            <w:pPr>
              <w:jc w:val="right"/>
            </w:pPr>
          </w:p>
        </w:tc>
      </w:tr>
      <w:tr w:rsidR="003C0C95" w:rsidRPr="003C0C95" w:rsidTr="003C0C95">
        <w:trPr>
          <w:trHeight w:val="300"/>
        </w:trPr>
        <w:tc>
          <w:tcPr>
            <w:tcW w:w="1560"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r w:rsidRPr="003C0C95">
              <w:t>Cod</w:t>
            </w:r>
          </w:p>
        </w:tc>
        <w:tc>
          <w:tcPr>
            <w:tcW w:w="771"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pPr>
              <w:jc w:val="right"/>
            </w:pPr>
            <w:r w:rsidRPr="003C0C95">
              <w:t>24-33</w:t>
            </w:r>
          </w:p>
        </w:tc>
        <w:tc>
          <w:tcPr>
            <w:tcW w:w="1149"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pPr>
              <w:jc w:val="right"/>
            </w:pPr>
            <w:r w:rsidRPr="003C0C95">
              <w:t>28-38</w:t>
            </w:r>
          </w:p>
        </w:tc>
        <w:tc>
          <w:tcPr>
            <w:tcW w:w="960"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pPr>
              <w:jc w:val="right"/>
            </w:pPr>
            <w:r w:rsidRPr="003C0C95">
              <w:t>32-44</w:t>
            </w:r>
          </w:p>
        </w:tc>
        <w:tc>
          <w:tcPr>
            <w:tcW w:w="3748" w:type="dxa"/>
            <w:tcBorders>
              <w:top w:val="single" w:sz="4" w:space="0" w:color="auto"/>
              <w:left w:val="single" w:sz="4" w:space="0" w:color="auto"/>
              <w:bottom w:val="single" w:sz="4" w:space="0" w:color="auto"/>
              <w:right w:val="single" w:sz="4" w:space="0" w:color="auto"/>
            </w:tcBorders>
            <w:hideMark/>
          </w:tcPr>
          <w:p w:rsidR="003C0C95" w:rsidRPr="003C0C95" w:rsidRDefault="003C0C95" w:rsidP="003C0C95">
            <w:pPr>
              <w:jc w:val="right"/>
            </w:pPr>
            <w:r w:rsidRPr="003C0C95">
              <w:t>35</w:t>
            </w:r>
          </w:p>
        </w:tc>
      </w:tr>
      <w:tr w:rsidR="003C0C95" w:rsidRPr="003C0C95" w:rsidTr="003C0C95">
        <w:trPr>
          <w:trHeight w:val="300"/>
        </w:trPr>
        <w:tc>
          <w:tcPr>
            <w:tcW w:w="1560"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r w:rsidRPr="003C0C95">
              <w:t>Haddock</w:t>
            </w:r>
          </w:p>
        </w:tc>
        <w:tc>
          <w:tcPr>
            <w:tcW w:w="771"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pPr>
              <w:jc w:val="right"/>
            </w:pPr>
            <w:r w:rsidRPr="003C0C95">
              <w:t>22-30</w:t>
            </w:r>
          </w:p>
        </w:tc>
        <w:tc>
          <w:tcPr>
            <w:tcW w:w="1149"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pPr>
              <w:jc w:val="right"/>
            </w:pPr>
            <w:r w:rsidRPr="003C0C95">
              <w:t>26-36</w:t>
            </w:r>
          </w:p>
        </w:tc>
        <w:tc>
          <w:tcPr>
            <w:tcW w:w="960" w:type="dxa"/>
            <w:tcBorders>
              <w:top w:val="single" w:sz="4" w:space="0" w:color="auto"/>
              <w:left w:val="single" w:sz="4" w:space="0" w:color="auto"/>
              <w:bottom w:val="single" w:sz="4" w:space="0" w:color="auto"/>
              <w:right w:val="single" w:sz="4" w:space="0" w:color="auto"/>
            </w:tcBorders>
            <w:noWrap/>
            <w:hideMark/>
          </w:tcPr>
          <w:p w:rsidR="003C0C95" w:rsidRPr="003C0C95" w:rsidRDefault="003C0C95" w:rsidP="003C0C95">
            <w:pPr>
              <w:jc w:val="right"/>
            </w:pPr>
            <w:r w:rsidRPr="003C0C95">
              <w:t>30-42</w:t>
            </w:r>
          </w:p>
        </w:tc>
        <w:tc>
          <w:tcPr>
            <w:tcW w:w="3748" w:type="dxa"/>
            <w:tcBorders>
              <w:top w:val="single" w:sz="4" w:space="0" w:color="auto"/>
              <w:left w:val="single" w:sz="4" w:space="0" w:color="auto"/>
              <w:bottom w:val="single" w:sz="4" w:space="0" w:color="auto"/>
              <w:right w:val="single" w:sz="4" w:space="0" w:color="auto"/>
            </w:tcBorders>
            <w:hideMark/>
          </w:tcPr>
          <w:p w:rsidR="003C0C95" w:rsidRPr="003C0C95" w:rsidRDefault="003C0C95" w:rsidP="003C0C95">
            <w:pPr>
              <w:jc w:val="right"/>
            </w:pPr>
            <w:r w:rsidRPr="003C0C95">
              <w:t>30</w:t>
            </w:r>
          </w:p>
        </w:tc>
      </w:tr>
    </w:tbl>
    <w:p w:rsidR="00923862" w:rsidRPr="00CF7700" w:rsidRDefault="00923862" w:rsidP="003C0C95"/>
    <w:p w:rsidR="00923862" w:rsidRPr="003C0C95" w:rsidRDefault="00923862" w:rsidP="00923862">
      <w:pPr>
        <w:numPr>
          <w:ilvl w:val="0"/>
          <w:numId w:val="5"/>
        </w:numPr>
        <w:rPr>
          <w:rFonts w:ascii="Arial" w:hAnsi="Arial" w:cs="Arial"/>
        </w:rPr>
      </w:pPr>
      <w:r w:rsidRPr="003C0C95">
        <w:rPr>
          <w:rFonts w:ascii="Arial" w:hAnsi="Arial" w:cs="Arial"/>
        </w:rPr>
        <w:t>Relevance to plaice; 120 mm mesh approximately equivalent to L</w:t>
      </w:r>
      <w:r w:rsidRPr="003C0C95">
        <w:rPr>
          <w:rFonts w:ascii="Arial" w:hAnsi="Arial" w:cs="Arial"/>
          <w:vertAlign w:val="subscript"/>
        </w:rPr>
        <w:t>50</w:t>
      </w:r>
      <w:r w:rsidRPr="003C0C95">
        <w:rPr>
          <w:rFonts w:ascii="Arial" w:hAnsi="Arial" w:cs="Arial"/>
        </w:rPr>
        <w:t xml:space="preserve"> = 26-27 cm compared with MCRS of 27 cm for plaice, compared with 100 mm which is approximately equivalent L</w:t>
      </w:r>
      <w:r w:rsidRPr="003C0C95">
        <w:rPr>
          <w:rFonts w:ascii="Arial" w:hAnsi="Arial" w:cs="Arial"/>
          <w:vertAlign w:val="subscript"/>
        </w:rPr>
        <w:t>50</w:t>
      </w:r>
      <w:r w:rsidRPr="003C0C95">
        <w:rPr>
          <w:rFonts w:ascii="Arial" w:hAnsi="Arial" w:cs="Arial"/>
        </w:rPr>
        <w:t xml:space="preserve"> of 22 cm.  Smaller mesh (80 mm) Nephrops beam and pulse trawls would continue to catch small plaice.</w:t>
      </w:r>
    </w:p>
    <w:p w:rsidR="00923862" w:rsidRPr="00822906" w:rsidRDefault="00923862" w:rsidP="00923862">
      <w:pPr>
        <w:numPr>
          <w:ilvl w:val="0"/>
          <w:numId w:val="5"/>
        </w:numPr>
        <w:rPr>
          <w:rFonts w:ascii="Arial" w:hAnsi="Arial" w:cs="Arial"/>
          <w:szCs w:val="24"/>
        </w:rPr>
      </w:pPr>
      <w:r w:rsidRPr="00822906">
        <w:rPr>
          <w:rFonts w:ascii="Arial" w:hAnsi="Arial" w:cs="Arial"/>
          <w:szCs w:val="24"/>
        </w:rPr>
        <w:t>Relevance to lemon sole; 120 mm mesh approximately equivalent to L</w:t>
      </w:r>
      <w:r w:rsidRPr="00822906">
        <w:rPr>
          <w:rFonts w:ascii="Arial" w:hAnsi="Arial" w:cs="Arial"/>
          <w:szCs w:val="24"/>
          <w:vertAlign w:val="subscript"/>
        </w:rPr>
        <w:t>50</w:t>
      </w:r>
      <w:r w:rsidRPr="00822906">
        <w:rPr>
          <w:rFonts w:ascii="Arial" w:hAnsi="Arial" w:cs="Arial"/>
          <w:szCs w:val="24"/>
        </w:rPr>
        <w:t xml:space="preserve"> = 29 cm and 100 mm approx. L</w:t>
      </w:r>
      <w:r w:rsidRPr="00822906">
        <w:rPr>
          <w:rFonts w:ascii="Arial" w:hAnsi="Arial" w:cs="Arial"/>
          <w:szCs w:val="24"/>
          <w:vertAlign w:val="subscript"/>
        </w:rPr>
        <w:t>50</w:t>
      </w:r>
      <w:r w:rsidRPr="00822906">
        <w:rPr>
          <w:rFonts w:ascii="Arial" w:hAnsi="Arial" w:cs="Arial"/>
          <w:szCs w:val="24"/>
        </w:rPr>
        <w:t xml:space="preserve"> 24 cm which indicates a lower proportion of small lemon soles would be caught in this mesh. </w:t>
      </w:r>
    </w:p>
    <w:p w:rsidR="003C0C95" w:rsidRDefault="003C0C95" w:rsidP="00690EDA">
      <w:pPr>
        <w:pStyle w:val="Heading3"/>
      </w:pPr>
      <w:r>
        <w:t>Length-frequency distributions</w:t>
      </w:r>
    </w:p>
    <w:p w:rsidR="003D385C" w:rsidRDefault="003D385C" w:rsidP="00690EDA">
      <w:pPr>
        <w:pStyle w:val="Heading4"/>
      </w:pPr>
      <w:r>
        <w:t>Shetland length frequency</w:t>
      </w:r>
      <w:r w:rsidR="00AB4453">
        <w:t xml:space="preserve"> data from 2013-2015 one trip per month on Shetland vessels </w:t>
      </w:r>
    </w:p>
    <w:p w:rsidR="00B75DF2" w:rsidRPr="00A74529" w:rsidRDefault="00B65C07" w:rsidP="00923862">
      <w:pPr>
        <w:rPr>
          <w:rFonts w:ascii="Arial" w:hAnsi="Arial" w:cs="Arial"/>
        </w:rPr>
      </w:pPr>
      <w:r w:rsidRPr="00A74529">
        <w:rPr>
          <w:rFonts w:ascii="Arial" w:hAnsi="Arial" w:cs="Arial"/>
        </w:rPr>
        <w:t xml:space="preserve">From Macdonald et al 2017 </w:t>
      </w:r>
      <w:hyperlink r:id="rId15" w:tgtFrame="_blank" w:history="1">
        <w:r w:rsidRPr="00A74529">
          <w:rPr>
            <w:rFonts w:ascii="Arial" w:hAnsi="Arial" w:cs="Arial"/>
            <w:color w:val="0000FF"/>
            <w:u w:val="single"/>
            <w:lang w:val="en"/>
          </w:rPr>
          <w:t>Data Limited Fish Stocks in the Northern North Sea</w:t>
        </w:r>
      </w:hyperlink>
      <w:r w:rsidRPr="00A74529">
        <w:rPr>
          <w:rFonts w:ascii="Arial" w:hAnsi="Arial" w:cs="Arial"/>
          <w:lang w:val="en"/>
        </w:rPr>
        <w:t xml:space="preserve"> (pdf)</w:t>
      </w:r>
    </w:p>
    <w:p w:rsidR="003D385C" w:rsidRDefault="003D385C" w:rsidP="00923862">
      <w:r>
        <w:rPr>
          <w:noProof/>
          <w:lang w:eastAsia="en-GB"/>
        </w:rPr>
        <w:drawing>
          <wp:inline distT="0" distB="0" distL="0" distR="0" wp14:anchorId="5694004D" wp14:editId="543AE2B4">
            <wp:extent cx="3836773" cy="21553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834759" cy="2154189"/>
                    </a:xfrm>
                    <a:prstGeom prst="rect">
                      <a:avLst/>
                    </a:prstGeom>
                  </pic:spPr>
                </pic:pic>
              </a:graphicData>
            </a:graphic>
          </wp:inline>
        </w:drawing>
      </w:r>
    </w:p>
    <w:p w:rsidR="00116C68" w:rsidRPr="00AB4453" w:rsidRDefault="00AB4453" w:rsidP="00AB4453">
      <w:pPr>
        <w:pStyle w:val="Caption"/>
      </w:pPr>
      <w:r>
        <w:t xml:space="preserve">Figure </w:t>
      </w:r>
      <w:fldSimple w:instr=" SEQ Figure \* ARABIC ">
        <w:r w:rsidR="004B4795">
          <w:rPr>
            <w:noProof/>
          </w:rPr>
          <w:t>1</w:t>
        </w:r>
      </w:fldSimple>
      <w:r>
        <w:t xml:space="preserve"> </w:t>
      </w:r>
      <w:r w:rsidR="003D385C" w:rsidRPr="00AB4453">
        <w:t>Raised length frequency distribution of the overall discarded and retained portion</w:t>
      </w:r>
      <w:r w:rsidR="003D385C" w:rsidRPr="00AB4453">
        <w:br/>
        <w:t>of</w:t>
      </w:r>
      <w:r w:rsidRPr="00AB4453">
        <w:t xml:space="preserve"> the lemon sole catch (n=7,467), should be 120 mm </w:t>
      </w:r>
      <w:r>
        <w:t xml:space="preserve">minimum </w:t>
      </w:r>
      <w:r w:rsidRPr="00AB4453">
        <w:t>mesh cod end</w:t>
      </w:r>
    </w:p>
    <w:p w:rsidR="00B75DF2" w:rsidRDefault="00B75DF2" w:rsidP="00923862">
      <w:pPr>
        <w:rPr>
          <w:rStyle w:val="fontstyle01"/>
        </w:rPr>
      </w:pPr>
      <w:r>
        <w:rPr>
          <w:noProof/>
          <w:lang w:eastAsia="en-GB"/>
        </w:rPr>
        <w:drawing>
          <wp:inline distT="0" distB="0" distL="0" distR="0" wp14:anchorId="1027D66E" wp14:editId="0B8C5826">
            <wp:extent cx="5564067" cy="290746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63861" cy="2907355"/>
                    </a:xfrm>
                    <a:prstGeom prst="rect">
                      <a:avLst/>
                    </a:prstGeom>
                  </pic:spPr>
                </pic:pic>
              </a:graphicData>
            </a:graphic>
          </wp:inline>
        </w:drawing>
      </w:r>
    </w:p>
    <w:p w:rsidR="00116C68" w:rsidRDefault="00B65C07" w:rsidP="002512B1">
      <w:pPr>
        <w:pStyle w:val="Caption"/>
      </w:pPr>
      <w:r>
        <w:t xml:space="preserve">Figure </w:t>
      </w:r>
      <w:fldSimple w:instr=" SEQ Figure \* ARABIC ">
        <w:r w:rsidR="004B4795">
          <w:rPr>
            <w:noProof/>
          </w:rPr>
          <w:t>2</w:t>
        </w:r>
      </w:fldSimple>
      <w:r w:rsidRPr="00B65C07">
        <w:t xml:space="preserve"> Raised length frequency distribution of the overall</w:t>
      </w:r>
      <w:r w:rsidR="002512B1">
        <w:t xml:space="preserve"> discarded and retained portion</w:t>
      </w:r>
      <w:r w:rsidR="002512B1" w:rsidRPr="002512B1">
        <w:t xml:space="preserve"> </w:t>
      </w:r>
      <w:r w:rsidRPr="002512B1">
        <w:t>of the plaice catch (n=12,913)</w:t>
      </w:r>
      <w:r w:rsidR="00AB4453">
        <w:t xml:space="preserve"> </w:t>
      </w:r>
      <w:r w:rsidR="00AB4453" w:rsidRPr="00AB4453">
        <w:t xml:space="preserve">should be 120 mm </w:t>
      </w:r>
      <w:r w:rsidR="00AB4453">
        <w:t xml:space="preserve">minimum </w:t>
      </w:r>
      <w:r w:rsidR="00AB4453" w:rsidRPr="00AB4453">
        <w:t>mesh cod end</w:t>
      </w:r>
    </w:p>
    <w:p w:rsidR="00F13D29" w:rsidRDefault="00F13D29" w:rsidP="00F13D29"/>
    <w:p w:rsidR="00690EDA" w:rsidRPr="00F13D29" w:rsidRDefault="00690EDA" w:rsidP="00F13D29"/>
    <w:p w:rsidR="00F13D29" w:rsidRDefault="00690EDA" w:rsidP="00690EDA">
      <w:pPr>
        <w:pStyle w:val="Heading4"/>
      </w:pPr>
      <w:r>
        <w:t xml:space="preserve">Central – Western North Sea; </w:t>
      </w:r>
      <w:r w:rsidR="002A1D4E">
        <w:t>Cefas Fisheries Science partnership data 2005</w:t>
      </w:r>
      <w:r>
        <w:t>-6</w:t>
      </w:r>
      <w:r w:rsidR="00B74EC2">
        <w:t xml:space="preserve"> (Armstrong et al 2006)</w:t>
      </w:r>
    </w:p>
    <w:p w:rsidR="00F13D29" w:rsidRDefault="00F13D29">
      <w:r>
        <w:rPr>
          <w:noProof/>
          <w:lang w:eastAsia="en-GB"/>
        </w:rPr>
        <w:drawing>
          <wp:inline distT="0" distB="0" distL="0" distR="0" wp14:anchorId="08640C19" wp14:editId="46D8E7FC">
            <wp:extent cx="3453714" cy="29409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456435" cy="2943225"/>
                    </a:xfrm>
                    <a:prstGeom prst="rect">
                      <a:avLst/>
                    </a:prstGeom>
                  </pic:spPr>
                </pic:pic>
              </a:graphicData>
            </a:graphic>
          </wp:inline>
        </w:drawing>
      </w:r>
      <w:r>
        <w:t xml:space="preserve"> </w:t>
      </w:r>
    </w:p>
    <w:p w:rsidR="00F13D29" w:rsidRDefault="00F13D29" w:rsidP="00F13D29">
      <w:pPr>
        <w:pStyle w:val="Caption"/>
      </w:pPr>
      <w:r>
        <w:t xml:space="preserve">Figure </w:t>
      </w:r>
      <w:fldSimple w:instr=" SEQ Figure \* ARABIC ">
        <w:r w:rsidR="004B4795">
          <w:rPr>
            <w:noProof/>
          </w:rPr>
          <w:t>3</w:t>
        </w:r>
      </w:fldSimple>
      <w:r w:rsidR="002A1D4E">
        <w:t xml:space="preserve"> </w:t>
      </w:r>
      <w:r w:rsidR="00AB7021">
        <w:t xml:space="preserve">Lemon sole </w:t>
      </w:r>
      <w:r w:rsidR="002A1D4E">
        <w:t>Length-frequency distributions central North Sea FSP survey July 2005 twin rig trawling 100 mm mesh</w:t>
      </w:r>
    </w:p>
    <w:p w:rsidR="00F13D29" w:rsidRDefault="00F13D29" w:rsidP="00F13D29">
      <w:pPr>
        <w:pStyle w:val="Caption"/>
      </w:pPr>
      <w:r>
        <w:rPr>
          <w:noProof/>
          <w:lang w:eastAsia="en-GB"/>
        </w:rPr>
        <w:drawing>
          <wp:inline distT="0" distB="0" distL="0" distR="0" wp14:anchorId="3066E457" wp14:editId="59A2D825">
            <wp:extent cx="4981575" cy="3228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981575" cy="3228975"/>
                    </a:xfrm>
                    <a:prstGeom prst="rect">
                      <a:avLst/>
                    </a:prstGeom>
                  </pic:spPr>
                </pic:pic>
              </a:graphicData>
            </a:graphic>
          </wp:inline>
        </w:drawing>
      </w:r>
      <w:r>
        <w:t xml:space="preserve"> </w:t>
      </w:r>
    </w:p>
    <w:p w:rsidR="002A1D4E" w:rsidRDefault="00F13D29" w:rsidP="00F13D29">
      <w:pPr>
        <w:pStyle w:val="Caption"/>
      </w:pPr>
      <w:r>
        <w:t xml:space="preserve">Figure </w:t>
      </w:r>
      <w:fldSimple w:instr=" SEQ Figure \* ARABIC ">
        <w:r w:rsidR="004B4795">
          <w:rPr>
            <w:noProof/>
          </w:rPr>
          <w:t>4</w:t>
        </w:r>
      </w:fldSimple>
      <w:r w:rsidR="002A1D4E">
        <w:t xml:space="preserve"> </w:t>
      </w:r>
      <w:r w:rsidR="00AB7021">
        <w:t xml:space="preserve">Plaice </w:t>
      </w:r>
      <w:r w:rsidR="002A1D4E">
        <w:t xml:space="preserve">Length-frequency distributions central North Sea FSP survey July 2005 twin rig trawling 100 mm mesh </w:t>
      </w:r>
    </w:p>
    <w:p w:rsidR="00B74EC2" w:rsidRDefault="00B74EC2" w:rsidP="00B74EC2"/>
    <w:p w:rsidR="00B74EC2" w:rsidRDefault="00B74EC2" w:rsidP="00B74EC2"/>
    <w:p w:rsidR="00B74EC2" w:rsidRDefault="00B74EC2" w:rsidP="00B74EC2"/>
    <w:p w:rsidR="00B74EC2" w:rsidRDefault="00B74EC2" w:rsidP="00B74EC2"/>
    <w:p w:rsidR="00B74EC2" w:rsidRPr="00B74EC2" w:rsidRDefault="00B74EC2" w:rsidP="00B74EC2">
      <w:pPr>
        <w:pStyle w:val="Heading4"/>
      </w:pPr>
      <w:r>
        <w:t xml:space="preserve">Central – Western North Sea; Cefas Fisheries Science partnership data 2005-6 </w:t>
      </w:r>
      <w:r w:rsidR="00A74529">
        <w:t>(</w:t>
      </w:r>
      <w:r w:rsidR="00A74529" w:rsidRPr="00A74529">
        <w:t>Parker-Humphreys,</w:t>
      </w:r>
      <w:r w:rsidR="00A74529">
        <w:t xml:space="preserve"> etal, 2008)</w:t>
      </w:r>
    </w:p>
    <w:p w:rsidR="00AB7021" w:rsidRDefault="00DF1D9A" w:rsidP="00F13D29">
      <w:pPr>
        <w:pStyle w:val="Caption"/>
      </w:pPr>
      <w:r>
        <w:rPr>
          <w:noProof/>
          <w:lang w:eastAsia="en-GB"/>
        </w:rPr>
        <w:drawing>
          <wp:inline distT="0" distB="0" distL="0" distR="0" wp14:anchorId="4BF5E693" wp14:editId="6F88725A">
            <wp:extent cx="3537922" cy="3432313"/>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4864" t="18407" r="2724"/>
                    <a:stretch/>
                  </pic:blipFill>
                  <pic:spPr bwMode="auto">
                    <a:xfrm>
                      <a:off x="0" y="0"/>
                      <a:ext cx="3550146" cy="344417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AB7021" w:rsidRDefault="00AB7021" w:rsidP="00AB7021">
      <w:pPr>
        <w:pStyle w:val="Caption"/>
      </w:pPr>
      <w:r>
        <w:t xml:space="preserve">Figure </w:t>
      </w:r>
      <w:fldSimple w:instr=" SEQ Figure \* ARABIC ">
        <w:r w:rsidR="004B4795">
          <w:rPr>
            <w:noProof/>
          </w:rPr>
          <w:t>5</w:t>
        </w:r>
      </w:fldSimple>
      <w:r>
        <w:t xml:space="preserve"> Lemon sole Length-frequency distributions central North Sea FSP survey </w:t>
      </w:r>
      <w:r w:rsidR="0009322F">
        <w:t>June-July</w:t>
      </w:r>
      <w:r>
        <w:t xml:space="preserve"> 2006 twin rig trawling 100 mm mesh</w:t>
      </w:r>
    </w:p>
    <w:p w:rsidR="00AB7021" w:rsidRPr="00AB7021" w:rsidRDefault="00AB7021" w:rsidP="00AB7021">
      <w:pPr>
        <w:pStyle w:val="Caption"/>
      </w:pPr>
    </w:p>
    <w:p w:rsidR="0009322F" w:rsidRDefault="00AB7021" w:rsidP="00F13D29">
      <w:pPr>
        <w:pStyle w:val="Caption"/>
      </w:pPr>
      <w:r>
        <w:rPr>
          <w:noProof/>
          <w:lang w:eastAsia="en-GB"/>
        </w:rPr>
        <w:drawing>
          <wp:inline distT="0" distB="0" distL="0" distR="0" wp14:anchorId="78D28946" wp14:editId="3FE9463B">
            <wp:extent cx="4644887" cy="4088295"/>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t="8710" r="4626"/>
                    <a:stretch/>
                  </pic:blipFill>
                  <pic:spPr bwMode="auto">
                    <a:xfrm>
                      <a:off x="0" y="0"/>
                      <a:ext cx="4653798" cy="4096138"/>
                    </a:xfrm>
                    <a:prstGeom prst="rect">
                      <a:avLst/>
                    </a:prstGeom>
                    <a:ln>
                      <a:noFill/>
                    </a:ln>
                    <a:extLst>
                      <a:ext uri="{53640926-AAD7-44D8-BBD7-CCE9431645EC}">
                        <a14:shadowObscured xmlns:a14="http://schemas.microsoft.com/office/drawing/2010/main"/>
                      </a:ext>
                    </a:extLst>
                  </pic:spPr>
                </pic:pic>
              </a:graphicData>
            </a:graphic>
          </wp:inline>
        </w:drawing>
      </w:r>
    </w:p>
    <w:p w:rsidR="0009322F" w:rsidRDefault="0009322F" w:rsidP="0009322F">
      <w:pPr>
        <w:pStyle w:val="Caption"/>
      </w:pPr>
      <w:r>
        <w:t xml:space="preserve">Figure </w:t>
      </w:r>
      <w:fldSimple w:instr=" SEQ Figure \* ARABIC ">
        <w:r w:rsidR="004B4795">
          <w:rPr>
            <w:noProof/>
          </w:rPr>
          <w:t>6</w:t>
        </w:r>
      </w:fldSimple>
      <w:r>
        <w:t xml:space="preserve"> </w:t>
      </w:r>
      <w:r w:rsidRPr="0009322F">
        <w:t xml:space="preserve">Plaice Length-frequency distributions central North Sea FSP survey </w:t>
      </w:r>
      <w:r>
        <w:t xml:space="preserve">June- </w:t>
      </w:r>
      <w:r w:rsidRPr="0009322F">
        <w:t xml:space="preserve">July </w:t>
      </w:r>
      <w:r>
        <w:t>2006</w:t>
      </w:r>
      <w:r w:rsidRPr="0009322F">
        <w:t xml:space="preserve"> twin rig trawling 100 mm mesh</w:t>
      </w:r>
    </w:p>
    <w:p w:rsidR="00DF1948" w:rsidRPr="00DF1948" w:rsidRDefault="00DF1948" w:rsidP="00DF1948">
      <w:pPr>
        <w:pStyle w:val="Heading4"/>
      </w:pPr>
      <w:r>
        <w:t xml:space="preserve">Central eastern North Sea; </w:t>
      </w:r>
      <w:r w:rsidRPr="00DF1948">
        <w:t>Osprey Trawlers North Sea twin-rigged plaice</w:t>
      </w:r>
      <w:r>
        <w:t xml:space="preserve"> certification report</w:t>
      </w:r>
      <w:r w:rsidR="00A74529">
        <w:t xml:space="preserve"> (</w:t>
      </w:r>
      <w:r w:rsidR="00A74529" w:rsidRPr="00A74529">
        <w:t>A</w:t>
      </w:r>
      <w:r w:rsidR="00A74529">
        <w:t xml:space="preserve">ndrews et al, </w:t>
      </w:r>
      <w:r w:rsidR="00A74529" w:rsidRPr="00A74529">
        <w:t>2016)</w:t>
      </w:r>
    </w:p>
    <w:p w:rsidR="00DF1948" w:rsidRDefault="00DF1948" w:rsidP="00F13D29">
      <w:pPr>
        <w:pStyle w:val="Caption"/>
      </w:pPr>
      <w:r>
        <w:rPr>
          <w:noProof/>
          <w:lang w:eastAsia="en-GB"/>
        </w:rPr>
        <w:drawing>
          <wp:inline distT="0" distB="0" distL="0" distR="0" wp14:anchorId="15EDC3CC" wp14:editId="26DD9437">
            <wp:extent cx="2345635" cy="2869096"/>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343942" cy="2867025"/>
                    </a:xfrm>
                    <a:prstGeom prst="rect">
                      <a:avLst/>
                    </a:prstGeom>
                  </pic:spPr>
                </pic:pic>
              </a:graphicData>
            </a:graphic>
          </wp:inline>
        </w:drawing>
      </w:r>
      <w:r>
        <w:t xml:space="preserve"> </w:t>
      </w:r>
    </w:p>
    <w:p w:rsidR="00DF1948" w:rsidRDefault="00DF1948" w:rsidP="00DF1948">
      <w:pPr>
        <w:pStyle w:val="Caption"/>
      </w:pPr>
      <w:r>
        <w:t xml:space="preserve">Figure </w:t>
      </w:r>
      <w:fldSimple w:instr=" SEQ Figure \* ARABIC ">
        <w:r w:rsidR="004B4795">
          <w:rPr>
            <w:noProof/>
          </w:rPr>
          <w:t>7</w:t>
        </w:r>
      </w:fldSimple>
      <w:r>
        <w:t xml:space="preserve"> Length distribution of plaice discards from 80mm and 100mm twinrig trawl fisheries and 80mm beam trawls (“Boomkor”) </w:t>
      </w:r>
      <w:r w:rsidR="00BB15A4">
        <w:t xml:space="preserve">from </w:t>
      </w:r>
      <w:r w:rsidR="004B4795">
        <w:t xml:space="preserve">before </w:t>
      </w:r>
      <w:r w:rsidR="00BB15A4">
        <w:t>2004 data</w:t>
      </w:r>
      <w:r w:rsidR="004B4795">
        <w:t xml:space="preserve"> (shown in Andrews, et al 2016) </w:t>
      </w:r>
    </w:p>
    <w:p w:rsidR="008C05CC" w:rsidRDefault="008C05CC">
      <w:pPr>
        <w:rPr>
          <w:rFonts w:asciiTheme="majorHAnsi" w:eastAsiaTheme="majorEastAsia" w:hAnsiTheme="majorHAnsi" w:cstheme="majorBidi"/>
          <w:b/>
          <w:bCs/>
          <w:color w:val="4F81BD" w:themeColor="accent1"/>
        </w:rPr>
      </w:pPr>
      <w:r>
        <w:br w:type="page"/>
      </w:r>
    </w:p>
    <w:p w:rsidR="00BB15A4" w:rsidRDefault="00BB15A4" w:rsidP="008C05CC">
      <w:pPr>
        <w:pStyle w:val="Heading3"/>
      </w:pPr>
      <w:r>
        <w:t>Length-weight relationships</w:t>
      </w:r>
    </w:p>
    <w:p w:rsidR="00BB15A4" w:rsidRDefault="00BB15A4" w:rsidP="00BB15A4"/>
    <w:p w:rsidR="008C05CC" w:rsidRPr="00BB15A4" w:rsidRDefault="008C05CC" w:rsidP="00BB15A4">
      <w:r>
        <w:rPr>
          <w:noProof/>
          <w:lang w:eastAsia="en-GB"/>
        </w:rPr>
        <w:drawing>
          <wp:inline distT="0" distB="0" distL="0" distR="0" wp14:anchorId="09A55506" wp14:editId="5FF01149">
            <wp:extent cx="3889513" cy="3737113"/>
            <wp:effectExtent l="0" t="0" r="15875" b="158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B4795" w:rsidRDefault="004B4795" w:rsidP="004B4795">
      <w:pPr>
        <w:pStyle w:val="Caption"/>
      </w:pPr>
      <w:r>
        <w:t xml:space="preserve">Figure </w:t>
      </w:r>
      <w:fldSimple w:instr=" SEQ Figure \* ARABIC ">
        <w:r>
          <w:rPr>
            <w:noProof/>
          </w:rPr>
          <w:t>8</w:t>
        </w:r>
      </w:fldSimple>
      <w:r>
        <w:t xml:space="preserve"> Length-weight relationship for l</w:t>
      </w:r>
      <w:r w:rsidRPr="004B4795">
        <w:t>emon sole from Macdonald et al (2017)</w:t>
      </w:r>
    </w:p>
    <w:p w:rsidR="00F13D29" w:rsidRDefault="004B4795" w:rsidP="004B4795">
      <w:pPr>
        <w:pStyle w:val="Caption"/>
      </w:pPr>
      <w:r>
        <w:rPr>
          <w:noProof/>
          <w:lang w:eastAsia="en-GB"/>
        </w:rPr>
        <w:drawing>
          <wp:inline distT="0" distB="0" distL="0" distR="0" wp14:anchorId="2CB480D8" wp14:editId="23BF9C83">
            <wp:extent cx="5731510" cy="3741402"/>
            <wp:effectExtent l="0" t="0" r="21590" b="1206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t xml:space="preserve">Figure </w:t>
      </w:r>
      <w:fldSimple w:instr=" SEQ Figure \* ARABIC ">
        <w:r>
          <w:rPr>
            <w:noProof/>
          </w:rPr>
          <w:t>9</w:t>
        </w:r>
      </w:fldSimple>
      <w:r>
        <w:t xml:space="preserve"> Length-weight relationship for plaice from Macdonald et al (2017)</w:t>
      </w:r>
      <w:r w:rsidR="00F13D29">
        <w:br w:type="page"/>
      </w:r>
    </w:p>
    <w:p w:rsidR="00950025" w:rsidRPr="00950025" w:rsidRDefault="00950025" w:rsidP="00950025"/>
    <w:p w:rsidR="00822906" w:rsidRDefault="00822906" w:rsidP="00822906">
      <w:pPr>
        <w:pStyle w:val="Heading2"/>
      </w:pPr>
      <w:r>
        <w:t>References</w:t>
      </w:r>
    </w:p>
    <w:p w:rsidR="00DF1948" w:rsidRPr="007E20B2" w:rsidRDefault="00DF1948" w:rsidP="00DF1948">
      <w:pPr>
        <w:rPr>
          <w:rFonts w:ascii="Arial" w:hAnsi="Arial" w:cs="Arial"/>
        </w:rPr>
      </w:pPr>
      <w:r w:rsidRPr="007E20B2">
        <w:rPr>
          <w:rFonts w:ascii="Arial" w:hAnsi="Arial" w:cs="Arial"/>
        </w:rPr>
        <w:t>Andrews J, Millner R, Cappell R (201</w:t>
      </w:r>
      <w:r w:rsidR="00BB15A4" w:rsidRPr="007E20B2">
        <w:rPr>
          <w:rFonts w:ascii="Arial" w:hAnsi="Arial" w:cs="Arial"/>
        </w:rPr>
        <w:t>6)</w:t>
      </w:r>
      <w:r w:rsidR="004B4795" w:rsidRPr="007E20B2">
        <w:rPr>
          <w:rFonts w:ascii="Arial" w:hAnsi="Arial" w:cs="Arial"/>
        </w:rPr>
        <w:t xml:space="preserve"> </w:t>
      </w:r>
      <w:r w:rsidRPr="007E20B2">
        <w:rPr>
          <w:rFonts w:ascii="Arial" w:hAnsi="Arial" w:cs="Arial"/>
        </w:rPr>
        <w:t>Public Certification Report Osprey Trawlers North Sea Twin Rigged Plaice</w:t>
      </w:r>
    </w:p>
    <w:p w:rsidR="00BB15A4" w:rsidRPr="007E20B2" w:rsidRDefault="00712F39" w:rsidP="00DF1948">
      <w:pPr>
        <w:rPr>
          <w:rStyle w:val="Hyperlink"/>
          <w:rFonts w:ascii="Arial" w:hAnsi="Arial" w:cs="Arial"/>
        </w:rPr>
      </w:pPr>
      <w:hyperlink r:id="rId25" w:history="1">
        <w:r w:rsidR="00BB15A4" w:rsidRPr="007E20B2">
          <w:rPr>
            <w:rStyle w:val="Hyperlink"/>
            <w:rFonts w:ascii="Arial" w:hAnsi="Arial" w:cs="Arial"/>
          </w:rPr>
          <w:t>https://fisheries.msc.org/en/fisheries/osprey-trawlers-north-sea-twin-rigged-plaice/@@assessments</w:t>
        </w:r>
      </w:hyperlink>
    </w:p>
    <w:p w:rsidR="00117781" w:rsidRPr="007E20B2" w:rsidRDefault="00117781" w:rsidP="00117781">
      <w:pPr>
        <w:rPr>
          <w:rStyle w:val="fontstyle01"/>
          <w:rFonts w:ascii="Arial" w:hAnsi="Arial" w:cs="Arial"/>
          <w:sz w:val="22"/>
          <w:szCs w:val="22"/>
        </w:rPr>
      </w:pPr>
      <w:r w:rsidRPr="007E20B2">
        <w:rPr>
          <w:rStyle w:val="fontstyle01"/>
          <w:rFonts w:ascii="Arial" w:hAnsi="Arial" w:cs="Arial"/>
          <w:sz w:val="22"/>
          <w:szCs w:val="22"/>
        </w:rPr>
        <w:t>Andrews, J and R. Milner 2018 Marine Stewardship Council 2nd Surveillance Report Osprey Group North Sea twin rigged plaice fishery, prepared by Acoura Marine</w:t>
      </w:r>
    </w:p>
    <w:p w:rsidR="00BB15A4" w:rsidRPr="007E20B2" w:rsidRDefault="00712F39" w:rsidP="00DF1948">
      <w:pPr>
        <w:rPr>
          <w:rFonts w:ascii="Arial" w:hAnsi="Arial" w:cs="Arial"/>
        </w:rPr>
      </w:pPr>
      <w:hyperlink r:id="rId26" w:history="1">
        <w:r w:rsidR="00117781" w:rsidRPr="007E20B2">
          <w:rPr>
            <w:rStyle w:val="Hyperlink"/>
            <w:rFonts w:ascii="Arial" w:hAnsi="Arial" w:cs="Arial"/>
          </w:rPr>
          <w:t>https://cert.msc.org/FileLoader/FileLinkDownload.asmx/GetFile?encryptedKey=a+hX5LhmZka94dLRxAEaOSjUY4ycQGBXtrUCBlZ4F8rBSYKCiQjwbJxHIMVJNcBl</w:t>
        </w:r>
      </w:hyperlink>
    </w:p>
    <w:p w:rsidR="002A1D4E" w:rsidRPr="007E20B2" w:rsidRDefault="00950025" w:rsidP="00950025">
      <w:pPr>
        <w:rPr>
          <w:rFonts w:ascii="Arial" w:hAnsi="Arial" w:cs="Arial"/>
        </w:rPr>
      </w:pPr>
      <w:r w:rsidRPr="007E20B2">
        <w:rPr>
          <w:rFonts w:ascii="Arial" w:hAnsi="Arial" w:cs="Arial"/>
        </w:rPr>
        <w:t>Armstrong, M.</w:t>
      </w:r>
      <w:r w:rsidR="00E43E26" w:rsidRPr="007E20B2">
        <w:rPr>
          <w:rFonts w:ascii="Arial" w:hAnsi="Arial" w:cs="Arial"/>
        </w:rPr>
        <w:t xml:space="preserve">, </w:t>
      </w:r>
      <w:r w:rsidRPr="007E20B2">
        <w:rPr>
          <w:rFonts w:ascii="Arial" w:hAnsi="Arial" w:cs="Arial"/>
        </w:rPr>
        <w:t>Dann, J</w:t>
      </w:r>
      <w:r w:rsidR="00E43E26" w:rsidRPr="007E20B2">
        <w:rPr>
          <w:rFonts w:ascii="Arial" w:hAnsi="Arial" w:cs="Arial"/>
        </w:rPr>
        <w:t xml:space="preserve">., </w:t>
      </w:r>
      <w:r w:rsidRPr="007E20B2">
        <w:rPr>
          <w:rFonts w:ascii="Arial" w:hAnsi="Arial" w:cs="Arial"/>
        </w:rPr>
        <w:t>Keable</w:t>
      </w:r>
      <w:r w:rsidR="00E43E26" w:rsidRPr="007E20B2">
        <w:rPr>
          <w:rFonts w:ascii="Arial" w:hAnsi="Arial" w:cs="Arial"/>
        </w:rPr>
        <w:t xml:space="preserve"> J., and </w:t>
      </w:r>
      <w:r w:rsidRPr="007E20B2">
        <w:rPr>
          <w:rFonts w:ascii="Arial" w:hAnsi="Arial" w:cs="Arial"/>
        </w:rPr>
        <w:t>Ashworth</w:t>
      </w:r>
      <w:r w:rsidR="00E43E26" w:rsidRPr="007E20B2">
        <w:rPr>
          <w:rFonts w:ascii="Arial" w:hAnsi="Arial" w:cs="Arial"/>
        </w:rPr>
        <w:t>, J</w:t>
      </w:r>
      <w:r w:rsidRPr="007E20B2">
        <w:rPr>
          <w:rFonts w:ascii="Arial" w:hAnsi="Arial" w:cs="Arial"/>
        </w:rPr>
        <w:t xml:space="preserve"> (</w:t>
      </w:r>
      <w:r w:rsidR="00DF1D9A" w:rsidRPr="007E20B2">
        <w:rPr>
          <w:rFonts w:ascii="Arial" w:hAnsi="Arial" w:cs="Arial"/>
        </w:rPr>
        <w:t>2005</w:t>
      </w:r>
      <w:r w:rsidRPr="007E20B2">
        <w:rPr>
          <w:rFonts w:ascii="Arial" w:hAnsi="Arial" w:cs="Arial"/>
        </w:rPr>
        <w:t>)</w:t>
      </w:r>
      <w:r w:rsidR="007E20B2">
        <w:rPr>
          <w:rFonts w:ascii="Arial" w:hAnsi="Arial" w:cs="Arial"/>
        </w:rPr>
        <w:t xml:space="preserve"> </w:t>
      </w:r>
      <w:r w:rsidR="002A1D4E" w:rsidRPr="007E20B2">
        <w:rPr>
          <w:rFonts w:ascii="Arial" w:hAnsi="Arial" w:cs="Arial"/>
        </w:rPr>
        <w:t>Fisheri</w:t>
      </w:r>
      <w:r w:rsidRPr="007E20B2">
        <w:rPr>
          <w:rFonts w:ascii="Arial" w:hAnsi="Arial" w:cs="Arial"/>
        </w:rPr>
        <w:t xml:space="preserve">es Science Partnership: 2005/06 </w:t>
      </w:r>
      <w:r w:rsidR="002A1D4E" w:rsidRPr="007E20B2">
        <w:rPr>
          <w:rFonts w:ascii="Arial" w:hAnsi="Arial" w:cs="Arial"/>
        </w:rPr>
        <w:t>Final Report (</w:t>
      </w:r>
      <w:r w:rsidRPr="007E20B2">
        <w:rPr>
          <w:rFonts w:ascii="Arial" w:hAnsi="Arial" w:cs="Arial"/>
        </w:rPr>
        <w:t xml:space="preserve">1st draft for industry comment) </w:t>
      </w:r>
      <w:r w:rsidR="002A1D4E" w:rsidRPr="007E20B2">
        <w:rPr>
          <w:rFonts w:ascii="Arial" w:hAnsi="Arial" w:cs="Arial"/>
        </w:rPr>
        <w:t>Programme 4: North Sea lemon sole</w:t>
      </w:r>
    </w:p>
    <w:p w:rsidR="002A1D4E" w:rsidRPr="007E20B2" w:rsidRDefault="00712F39" w:rsidP="00923862">
      <w:pPr>
        <w:rPr>
          <w:rFonts w:ascii="Arial" w:hAnsi="Arial" w:cs="Arial"/>
        </w:rPr>
      </w:pPr>
      <w:hyperlink r:id="rId27" w:history="1">
        <w:r w:rsidR="00E43E26" w:rsidRPr="007E20B2">
          <w:rPr>
            <w:rStyle w:val="Hyperlink"/>
            <w:rFonts w:ascii="Arial" w:hAnsi="Arial" w:cs="Arial"/>
          </w:rPr>
          <w:t>https://webarchive.nationalarchives.gov.uk/20150204060540/http://www.cefas.defra.gov.uk/publications-and-data/scientific-series/fisheries-science-partnership-reports.aspx</w:t>
        </w:r>
      </w:hyperlink>
    </w:p>
    <w:p w:rsidR="003D385C" w:rsidRDefault="00116C68" w:rsidP="00923862">
      <w:pPr>
        <w:rPr>
          <w:rFonts w:ascii="Arial" w:hAnsi="Arial" w:cs="Arial"/>
        </w:rPr>
      </w:pPr>
      <w:r w:rsidRPr="007E20B2">
        <w:rPr>
          <w:rFonts w:ascii="Arial" w:hAnsi="Arial" w:cs="Arial"/>
        </w:rPr>
        <w:t>Herrmann, B., L. A. Krag, R. P. Frandsen, B. Lundgren, N. Madsen and K-J Stæhr (2008) Simulering af selektiviteti fiskeredskaber Del 1: Hovedrapport Udarbejdet af:  DTU Aqua</w:t>
      </w:r>
    </w:p>
    <w:p w:rsidR="00A74529" w:rsidRPr="00A74529" w:rsidRDefault="00A74529" w:rsidP="00923862">
      <w:pPr>
        <w:rPr>
          <w:rFonts w:ascii="Arial" w:hAnsi="Arial" w:cs="Arial"/>
        </w:rPr>
      </w:pPr>
      <w:r w:rsidRPr="00A74529">
        <w:rPr>
          <w:rFonts w:ascii="Arial" w:hAnsi="Arial" w:cs="Arial"/>
        </w:rPr>
        <w:t xml:space="preserve">Macdonald </w:t>
      </w:r>
      <w:r>
        <w:rPr>
          <w:rFonts w:ascii="Arial" w:hAnsi="Arial" w:cs="Arial"/>
        </w:rPr>
        <w:t xml:space="preserve">P </w:t>
      </w:r>
      <w:r w:rsidRPr="00A74529">
        <w:rPr>
          <w:rFonts w:ascii="Arial" w:hAnsi="Arial" w:cs="Arial"/>
        </w:rPr>
        <w:t xml:space="preserve">et al </w:t>
      </w:r>
      <w:r>
        <w:rPr>
          <w:rFonts w:ascii="Arial" w:hAnsi="Arial" w:cs="Arial"/>
        </w:rPr>
        <w:t>(</w:t>
      </w:r>
      <w:r w:rsidRPr="00A74529">
        <w:rPr>
          <w:rFonts w:ascii="Arial" w:hAnsi="Arial" w:cs="Arial"/>
        </w:rPr>
        <w:t>2017</w:t>
      </w:r>
      <w:r>
        <w:rPr>
          <w:rFonts w:ascii="Arial" w:hAnsi="Arial" w:cs="Arial"/>
        </w:rPr>
        <w:t>)</w:t>
      </w:r>
      <w:r w:rsidRPr="00A74529">
        <w:rPr>
          <w:rFonts w:ascii="Arial" w:hAnsi="Arial" w:cs="Arial"/>
        </w:rPr>
        <w:t xml:space="preserve"> </w:t>
      </w:r>
      <w:r>
        <w:rPr>
          <w:rFonts w:ascii="Arial" w:hAnsi="Arial" w:cs="Arial"/>
        </w:rPr>
        <w:t xml:space="preserve">NAFC Marine Centre </w:t>
      </w:r>
      <w:hyperlink r:id="rId28" w:tgtFrame="_blank" w:history="1">
        <w:r w:rsidRPr="00A74529">
          <w:rPr>
            <w:rFonts w:ascii="Arial" w:hAnsi="Arial" w:cs="Arial"/>
            <w:color w:val="0000FF"/>
            <w:u w:val="single"/>
            <w:lang w:val="en"/>
          </w:rPr>
          <w:t>Data Limited Fish Stocks in the Northern North Sea</w:t>
        </w:r>
      </w:hyperlink>
    </w:p>
    <w:p w:rsidR="003E7DF2" w:rsidRPr="007E20B2" w:rsidRDefault="00163FB6" w:rsidP="00163FB6">
      <w:pPr>
        <w:autoSpaceDE w:val="0"/>
        <w:autoSpaceDN w:val="0"/>
        <w:adjustRightInd w:val="0"/>
        <w:spacing w:after="0" w:line="240" w:lineRule="auto"/>
        <w:jc w:val="both"/>
        <w:rPr>
          <w:rFonts w:ascii="Arial" w:hAnsi="Arial" w:cs="Arial"/>
          <w:color w:val="000000"/>
        </w:rPr>
      </w:pPr>
      <w:r w:rsidRPr="007E20B2">
        <w:rPr>
          <w:rFonts w:ascii="Arial" w:hAnsi="Arial" w:cs="Arial"/>
          <w:color w:val="000000"/>
        </w:rPr>
        <w:t>Jones, H., and G. Honneland (2018)</w:t>
      </w:r>
      <w:r w:rsidRPr="007E20B2">
        <w:rPr>
          <w:rFonts w:ascii="Arial" w:hAnsi="Arial" w:cs="Arial"/>
        </w:rPr>
        <w:t xml:space="preserve"> </w:t>
      </w:r>
      <w:r w:rsidRPr="007E20B2">
        <w:rPr>
          <w:rFonts w:ascii="Arial" w:hAnsi="Arial" w:cs="Arial"/>
          <w:color w:val="000000"/>
        </w:rPr>
        <w:t xml:space="preserve">Marine Stewardship Council (MSC) 2nd Annual </w:t>
      </w:r>
      <w:r w:rsidR="007E20B2">
        <w:rPr>
          <w:rFonts w:ascii="Arial" w:hAnsi="Arial" w:cs="Arial"/>
          <w:color w:val="000000"/>
        </w:rPr>
        <w:t xml:space="preserve">Surveillance Report </w:t>
      </w:r>
      <w:r w:rsidRPr="007E20B2">
        <w:rPr>
          <w:rFonts w:ascii="Arial" w:hAnsi="Arial" w:cs="Arial"/>
          <w:color w:val="000000"/>
        </w:rPr>
        <w:t>SFSAG North Sea haddock On behalf of SFSAG Prepared by ME Certification Ltd</w:t>
      </w:r>
    </w:p>
    <w:p w:rsidR="003E7DF2" w:rsidRPr="007E20B2" w:rsidRDefault="00712F39" w:rsidP="003E7DF2">
      <w:pPr>
        <w:autoSpaceDE w:val="0"/>
        <w:autoSpaceDN w:val="0"/>
        <w:adjustRightInd w:val="0"/>
        <w:spacing w:after="0" w:line="240" w:lineRule="auto"/>
        <w:jc w:val="both"/>
        <w:rPr>
          <w:rFonts w:ascii="Arial" w:hAnsi="Arial" w:cs="Arial"/>
          <w:color w:val="000000"/>
        </w:rPr>
      </w:pPr>
      <w:hyperlink r:id="rId29" w:history="1">
        <w:r w:rsidR="003E7DF2" w:rsidRPr="007E20B2">
          <w:rPr>
            <w:rStyle w:val="Hyperlink"/>
            <w:rFonts w:ascii="Arial" w:hAnsi="Arial" w:cs="Arial"/>
          </w:rPr>
          <w:t>https://fisheries.msc.org/en/fisheries/sfsag-northern-demersal-stocks/@@assessment-documentsets?documentset_name=Surveillance+report&amp;phase_name=Ongoing+surveillance&amp;start_date=2018-03-08&amp;title=Surveillance+Audit</w:t>
        </w:r>
      </w:hyperlink>
    </w:p>
    <w:p w:rsidR="003E7DF2" w:rsidRDefault="003E7DF2" w:rsidP="003E7DF2">
      <w:pPr>
        <w:autoSpaceDE w:val="0"/>
        <w:autoSpaceDN w:val="0"/>
        <w:adjustRightInd w:val="0"/>
        <w:spacing w:after="0" w:line="240" w:lineRule="auto"/>
        <w:jc w:val="both"/>
        <w:rPr>
          <w:rFonts w:ascii="Arial" w:hAnsi="Arial" w:cs="Arial"/>
          <w:color w:val="000000"/>
          <w:sz w:val="18"/>
          <w:szCs w:val="18"/>
        </w:rPr>
      </w:pPr>
    </w:p>
    <w:p w:rsidR="00B74EC2" w:rsidRPr="007E20B2" w:rsidRDefault="00B74EC2" w:rsidP="00B74EC2">
      <w:pPr>
        <w:rPr>
          <w:rStyle w:val="fontstyle01"/>
          <w:rFonts w:ascii="Arial" w:hAnsi="Arial" w:cs="Arial"/>
          <w:sz w:val="22"/>
          <w:szCs w:val="22"/>
        </w:rPr>
      </w:pPr>
      <w:r w:rsidRPr="007E20B2">
        <w:rPr>
          <w:rStyle w:val="fontstyle01"/>
          <w:rFonts w:ascii="Arial" w:hAnsi="Arial" w:cs="Arial"/>
          <w:sz w:val="22"/>
          <w:szCs w:val="22"/>
        </w:rPr>
        <w:t xml:space="preserve">Parker-Humphreys, M Velterop M R and Bush R </w:t>
      </w:r>
      <w:r>
        <w:rPr>
          <w:rStyle w:val="fontstyle01"/>
          <w:rFonts w:ascii="Arial" w:hAnsi="Arial" w:cs="Arial"/>
          <w:sz w:val="22"/>
          <w:szCs w:val="22"/>
        </w:rPr>
        <w:t>(</w:t>
      </w:r>
      <w:r w:rsidRPr="007E20B2">
        <w:rPr>
          <w:rStyle w:val="fontstyle01"/>
          <w:rFonts w:ascii="Arial" w:hAnsi="Arial" w:cs="Arial"/>
          <w:sz w:val="22"/>
          <w:szCs w:val="22"/>
        </w:rPr>
        <w:t>2007</w:t>
      </w:r>
      <w:r>
        <w:rPr>
          <w:rStyle w:val="fontstyle01"/>
          <w:rFonts w:ascii="Arial" w:hAnsi="Arial" w:cs="Arial"/>
          <w:sz w:val="22"/>
          <w:szCs w:val="22"/>
        </w:rPr>
        <w:t>)</w:t>
      </w:r>
      <w:r w:rsidRPr="007E20B2">
        <w:rPr>
          <w:rStyle w:val="fontstyle01"/>
          <w:rFonts w:ascii="Arial" w:hAnsi="Arial" w:cs="Arial"/>
          <w:sz w:val="22"/>
          <w:szCs w:val="22"/>
        </w:rPr>
        <w:t xml:space="preserve"> Fisheries Science Partnership: 2006/07 Final Report. Programme 11: North Sea lemon sole and plaice</w:t>
      </w:r>
    </w:p>
    <w:p w:rsidR="00B74EC2" w:rsidRPr="007E20B2" w:rsidRDefault="00712F39" w:rsidP="00B74EC2">
      <w:pPr>
        <w:rPr>
          <w:rStyle w:val="Hyperlink"/>
          <w:rFonts w:ascii="Arial" w:hAnsi="Arial" w:cs="Arial"/>
        </w:rPr>
      </w:pPr>
      <w:hyperlink r:id="rId30" w:history="1">
        <w:r w:rsidR="00B74EC2" w:rsidRPr="007E20B2">
          <w:rPr>
            <w:rStyle w:val="Hyperlink"/>
            <w:rFonts w:ascii="Arial" w:hAnsi="Arial" w:cs="Arial"/>
          </w:rPr>
          <w:t>https://webarchive.nationalarchives.gov.uk/20150204060540/http://www.cefas.defra.gov.uk/publications-and-data/scientific-series/fisheries-science-partnership-reports.aspx</w:t>
        </w:r>
      </w:hyperlink>
    </w:p>
    <w:p w:rsidR="00B74EC2" w:rsidRDefault="00B74EC2" w:rsidP="003E7DF2">
      <w:pPr>
        <w:autoSpaceDE w:val="0"/>
        <w:autoSpaceDN w:val="0"/>
        <w:adjustRightInd w:val="0"/>
        <w:spacing w:after="0" w:line="240" w:lineRule="auto"/>
        <w:jc w:val="both"/>
        <w:rPr>
          <w:rFonts w:ascii="Arial" w:hAnsi="Arial" w:cs="Arial"/>
          <w:color w:val="000000"/>
          <w:sz w:val="18"/>
          <w:szCs w:val="18"/>
        </w:rPr>
      </w:pPr>
    </w:p>
    <w:p w:rsidR="00117781" w:rsidRDefault="00117781" w:rsidP="00117781">
      <w:pPr>
        <w:rPr>
          <w:rStyle w:val="fontstyle01"/>
        </w:rPr>
      </w:pPr>
    </w:p>
    <w:p w:rsidR="00117781" w:rsidRDefault="00117781" w:rsidP="00117781">
      <w:pPr>
        <w:rPr>
          <w:rStyle w:val="fontstyle01"/>
        </w:rPr>
      </w:pPr>
    </w:p>
    <w:p w:rsidR="00E43E26" w:rsidRPr="00E43E26" w:rsidRDefault="00E43E26" w:rsidP="00E43E26">
      <w:pPr>
        <w:rPr>
          <w:rStyle w:val="fontstyle01"/>
        </w:rPr>
      </w:pPr>
    </w:p>
    <w:p w:rsidR="003D385C" w:rsidRPr="00923862" w:rsidRDefault="003D385C" w:rsidP="00923862"/>
    <w:sectPr w:rsidR="003D385C" w:rsidRPr="00923862">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F39" w:rsidRDefault="00712F39" w:rsidP="00E43E26">
      <w:pPr>
        <w:spacing w:after="0" w:line="240" w:lineRule="auto"/>
      </w:pPr>
      <w:r>
        <w:separator/>
      </w:r>
    </w:p>
  </w:endnote>
  <w:endnote w:type="continuationSeparator" w:id="0">
    <w:p w:rsidR="00712F39" w:rsidRDefault="00712F39" w:rsidP="00E43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529" w:rsidRDefault="00A74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529" w:rsidRDefault="00A74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529" w:rsidRDefault="00A74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F39" w:rsidRDefault="00712F39" w:rsidP="00E43E26">
      <w:pPr>
        <w:spacing w:after="0" w:line="240" w:lineRule="auto"/>
      </w:pPr>
      <w:r>
        <w:separator/>
      </w:r>
    </w:p>
  </w:footnote>
  <w:footnote w:type="continuationSeparator" w:id="0">
    <w:p w:rsidR="00712F39" w:rsidRDefault="00712F39" w:rsidP="00E43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529" w:rsidRDefault="00712F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71368"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529" w:rsidRDefault="00712F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71369"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529" w:rsidRDefault="00712F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71367"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1BBF"/>
    <w:multiLevelType w:val="hybridMultilevel"/>
    <w:tmpl w:val="7032D260"/>
    <w:lvl w:ilvl="0" w:tplc="3908743C">
      <w:start w:val="1"/>
      <w:numFmt w:val="bullet"/>
      <w:lvlText w:val="•"/>
      <w:lvlJc w:val="left"/>
      <w:pPr>
        <w:tabs>
          <w:tab w:val="num" w:pos="720"/>
        </w:tabs>
        <w:ind w:left="720" w:hanging="360"/>
      </w:pPr>
      <w:rPr>
        <w:rFonts w:ascii="Arial" w:hAnsi="Arial" w:hint="default"/>
      </w:rPr>
    </w:lvl>
    <w:lvl w:ilvl="1" w:tplc="84C0497E" w:tentative="1">
      <w:start w:val="1"/>
      <w:numFmt w:val="bullet"/>
      <w:lvlText w:val="•"/>
      <w:lvlJc w:val="left"/>
      <w:pPr>
        <w:tabs>
          <w:tab w:val="num" w:pos="1440"/>
        </w:tabs>
        <w:ind w:left="1440" w:hanging="360"/>
      </w:pPr>
      <w:rPr>
        <w:rFonts w:ascii="Arial" w:hAnsi="Arial" w:hint="default"/>
      </w:rPr>
    </w:lvl>
    <w:lvl w:ilvl="2" w:tplc="F5A44AD8" w:tentative="1">
      <w:start w:val="1"/>
      <w:numFmt w:val="bullet"/>
      <w:lvlText w:val="•"/>
      <w:lvlJc w:val="left"/>
      <w:pPr>
        <w:tabs>
          <w:tab w:val="num" w:pos="2160"/>
        </w:tabs>
        <w:ind w:left="2160" w:hanging="360"/>
      </w:pPr>
      <w:rPr>
        <w:rFonts w:ascii="Arial" w:hAnsi="Arial" w:hint="default"/>
      </w:rPr>
    </w:lvl>
    <w:lvl w:ilvl="3" w:tplc="D43A58B4" w:tentative="1">
      <w:start w:val="1"/>
      <w:numFmt w:val="bullet"/>
      <w:lvlText w:val="•"/>
      <w:lvlJc w:val="left"/>
      <w:pPr>
        <w:tabs>
          <w:tab w:val="num" w:pos="2880"/>
        </w:tabs>
        <w:ind w:left="2880" w:hanging="360"/>
      </w:pPr>
      <w:rPr>
        <w:rFonts w:ascii="Arial" w:hAnsi="Arial" w:hint="default"/>
      </w:rPr>
    </w:lvl>
    <w:lvl w:ilvl="4" w:tplc="6DD63CFC" w:tentative="1">
      <w:start w:val="1"/>
      <w:numFmt w:val="bullet"/>
      <w:lvlText w:val="•"/>
      <w:lvlJc w:val="left"/>
      <w:pPr>
        <w:tabs>
          <w:tab w:val="num" w:pos="3600"/>
        </w:tabs>
        <w:ind w:left="3600" w:hanging="360"/>
      </w:pPr>
      <w:rPr>
        <w:rFonts w:ascii="Arial" w:hAnsi="Arial" w:hint="default"/>
      </w:rPr>
    </w:lvl>
    <w:lvl w:ilvl="5" w:tplc="E67E3494" w:tentative="1">
      <w:start w:val="1"/>
      <w:numFmt w:val="bullet"/>
      <w:lvlText w:val="•"/>
      <w:lvlJc w:val="left"/>
      <w:pPr>
        <w:tabs>
          <w:tab w:val="num" w:pos="4320"/>
        </w:tabs>
        <w:ind w:left="4320" w:hanging="360"/>
      </w:pPr>
      <w:rPr>
        <w:rFonts w:ascii="Arial" w:hAnsi="Arial" w:hint="default"/>
      </w:rPr>
    </w:lvl>
    <w:lvl w:ilvl="6" w:tplc="86A4DB0A" w:tentative="1">
      <w:start w:val="1"/>
      <w:numFmt w:val="bullet"/>
      <w:lvlText w:val="•"/>
      <w:lvlJc w:val="left"/>
      <w:pPr>
        <w:tabs>
          <w:tab w:val="num" w:pos="5040"/>
        </w:tabs>
        <w:ind w:left="5040" w:hanging="360"/>
      </w:pPr>
      <w:rPr>
        <w:rFonts w:ascii="Arial" w:hAnsi="Arial" w:hint="default"/>
      </w:rPr>
    </w:lvl>
    <w:lvl w:ilvl="7" w:tplc="A508AF66" w:tentative="1">
      <w:start w:val="1"/>
      <w:numFmt w:val="bullet"/>
      <w:lvlText w:val="•"/>
      <w:lvlJc w:val="left"/>
      <w:pPr>
        <w:tabs>
          <w:tab w:val="num" w:pos="5760"/>
        </w:tabs>
        <w:ind w:left="5760" w:hanging="360"/>
      </w:pPr>
      <w:rPr>
        <w:rFonts w:ascii="Arial" w:hAnsi="Arial" w:hint="default"/>
      </w:rPr>
    </w:lvl>
    <w:lvl w:ilvl="8" w:tplc="648A8E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5501F8"/>
    <w:multiLevelType w:val="hybridMultilevel"/>
    <w:tmpl w:val="6FF45494"/>
    <w:lvl w:ilvl="0" w:tplc="3A72A096">
      <w:start w:val="1"/>
      <w:numFmt w:val="bullet"/>
      <w:lvlText w:val="•"/>
      <w:lvlJc w:val="left"/>
      <w:pPr>
        <w:tabs>
          <w:tab w:val="num" w:pos="720"/>
        </w:tabs>
        <w:ind w:left="720" w:hanging="360"/>
      </w:pPr>
      <w:rPr>
        <w:rFonts w:ascii="Arial" w:hAnsi="Arial" w:hint="default"/>
      </w:rPr>
    </w:lvl>
    <w:lvl w:ilvl="1" w:tplc="23B8A252" w:tentative="1">
      <w:start w:val="1"/>
      <w:numFmt w:val="bullet"/>
      <w:lvlText w:val="•"/>
      <w:lvlJc w:val="left"/>
      <w:pPr>
        <w:tabs>
          <w:tab w:val="num" w:pos="1440"/>
        </w:tabs>
        <w:ind w:left="1440" w:hanging="360"/>
      </w:pPr>
      <w:rPr>
        <w:rFonts w:ascii="Arial" w:hAnsi="Arial" w:hint="default"/>
      </w:rPr>
    </w:lvl>
    <w:lvl w:ilvl="2" w:tplc="936051B2" w:tentative="1">
      <w:start w:val="1"/>
      <w:numFmt w:val="bullet"/>
      <w:lvlText w:val="•"/>
      <w:lvlJc w:val="left"/>
      <w:pPr>
        <w:tabs>
          <w:tab w:val="num" w:pos="2160"/>
        </w:tabs>
        <w:ind w:left="2160" w:hanging="360"/>
      </w:pPr>
      <w:rPr>
        <w:rFonts w:ascii="Arial" w:hAnsi="Arial" w:hint="default"/>
      </w:rPr>
    </w:lvl>
    <w:lvl w:ilvl="3" w:tplc="A80ED136" w:tentative="1">
      <w:start w:val="1"/>
      <w:numFmt w:val="bullet"/>
      <w:lvlText w:val="•"/>
      <w:lvlJc w:val="left"/>
      <w:pPr>
        <w:tabs>
          <w:tab w:val="num" w:pos="2880"/>
        </w:tabs>
        <w:ind w:left="2880" w:hanging="360"/>
      </w:pPr>
      <w:rPr>
        <w:rFonts w:ascii="Arial" w:hAnsi="Arial" w:hint="default"/>
      </w:rPr>
    </w:lvl>
    <w:lvl w:ilvl="4" w:tplc="A5B6E110" w:tentative="1">
      <w:start w:val="1"/>
      <w:numFmt w:val="bullet"/>
      <w:lvlText w:val="•"/>
      <w:lvlJc w:val="left"/>
      <w:pPr>
        <w:tabs>
          <w:tab w:val="num" w:pos="3600"/>
        </w:tabs>
        <w:ind w:left="3600" w:hanging="360"/>
      </w:pPr>
      <w:rPr>
        <w:rFonts w:ascii="Arial" w:hAnsi="Arial" w:hint="default"/>
      </w:rPr>
    </w:lvl>
    <w:lvl w:ilvl="5" w:tplc="B8E2274E" w:tentative="1">
      <w:start w:val="1"/>
      <w:numFmt w:val="bullet"/>
      <w:lvlText w:val="•"/>
      <w:lvlJc w:val="left"/>
      <w:pPr>
        <w:tabs>
          <w:tab w:val="num" w:pos="4320"/>
        </w:tabs>
        <w:ind w:left="4320" w:hanging="360"/>
      </w:pPr>
      <w:rPr>
        <w:rFonts w:ascii="Arial" w:hAnsi="Arial" w:hint="default"/>
      </w:rPr>
    </w:lvl>
    <w:lvl w:ilvl="6" w:tplc="43DA512A" w:tentative="1">
      <w:start w:val="1"/>
      <w:numFmt w:val="bullet"/>
      <w:lvlText w:val="•"/>
      <w:lvlJc w:val="left"/>
      <w:pPr>
        <w:tabs>
          <w:tab w:val="num" w:pos="5040"/>
        </w:tabs>
        <w:ind w:left="5040" w:hanging="360"/>
      </w:pPr>
      <w:rPr>
        <w:rFonts w:ascii="Arial" w:hAnsi="Arial" w:hint="default"/>
      </w:rPr>
    </w:lvl>
    <w:lvl w:ilvl="7" w:tplc="2E143EB4" w:tentative="1">
      <w:start w:val="1"/>
      <w:numFmt w:val="bullet"/>
      <w:lvlText w:val="•"/>
      <w:lvlJc w:val="left"/>
      <w:pPr>
        <w:tabs>
          <w:tab w:val="num" w:pos="5760"/>
        </w:tabs>
        <w:ind w:left="5760" w:hanging="360"/>
      </w:pPr>
      <w:rPr>
        <w:rFonts w:ascii="Arial" w:hAnsi="Arial" w:hint="default"/>
      </w:rPr>
    </w:lvl>
    <w:lvl w:ilvl="8" w:tplc="FA2C09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1E3125"/>
    <w:multiLevelType w:val="hybridMultilevel"/>
    <w:tmpl w:val="131C8E02"/>
    <w:lvl w:ilvl="0" w:tplc="67D849D2">
      <w:start w:val="1"/>
      <w:numFmt w:val="bullet"/>
      <w:lvlText w:val="•"/>
      <w:lvlJc w:val="left"/>
      <w:pPr>
        <w:tabs>
          <w:tab w:val="num" w:pos="720"/>
        </w:tabs>
        <w:ind w:left="720" w:hanging="360"/>
      </w:pPr>
      <w:rPr>
        <w:rFonts w:ascii="Arial" w:hAnsi="Arial" w:hint="default"/>
      </w:rPr>
    </w:lvl>
    <w:lvl w:ilvl="1" w:tplc="916EBFF0" w:tentative="1">
      <w:start w:val="1"/>
      <w:numFmt w:val="bullet"/>
      <w:lvlText w:val="•"/>
      <w:lvlJc w:val="left"/>
      <w:pPr>
        <w:tabs>
          <w:tab w:val="num" w:pos="1440"/>
        </w:tabs>
        <w:ind w:left="1440" w:hanging="360"/>
      </w:pPr>
      <w:rPr>
        <w:rFonts w:ascii="Arial" w:hAnsi="Arial" w:hint="default"/>
      </w:rPr>
    </w:lvl>
    <w:lvl w:ilvl="2" w:tplc="F9FE1CA8" w:tentative="1">
      <w:start w:val="1"/>
      <w:numFmt w:val="bullet"/>
      <w:lvlText w:val="•"/>
      <w:lvlJc w:val="left"/>
      <w:pPr>
        <w:tabs>
          <w:tab w:val="num" w:pos="2160"/>
        </w:tabs>
        <w:ind w:left="2160" w:hanging="360"/>
      </w:pPr>
      <w:rPr>
        <w:rFonts w:ascii="Arial" w:hAnsi="Arial" w:hint="default"/>
      </w:rPr>
    </w:lvl>
    <w:lvl w:ilvl="3" w:tplc="9F120E44" w:tentative="1">
      <w:start w:val="1"/>
      <w:numFmt w:val="bullet"/>
      <w:lvlText w:val="•"/>
      <w:lvlJc w:val="left"/>
      <w:pPr>
        <w:tabs>
          <w:tab w:val="num" w:pos="2880"/>
        </w:tabs>
        <w:ind w:left="2880" w:hanging="360"/>
      </w:pPr>
      <w:rPr>
        <w:rFonts w:ascii="Arial" w:hAnsi="Arial" w:hint="default"/>
      </w:rPr>
    </w:lvl>
    <w:lvl w:ilvl="4" w:tplc="ABE2A380" w:tentative="1">
      <w:start w:val="1"/>
      <w:numFmt w:val="bullet"/>
      <w:lvlText w:val="•"/>
      <w:lvlJc w:val="left"/>
      <w:pPr>
        <w:tabs>
          <w:tab w:val="num" w:pos="3600"/>
        </w:tabs>
        <w:ind w:left="3600" w:hanging="360"/>
      </w:pPr>
      <w:rPr>
        <w:rFonts w:ascii="Arial" w:hAnsi="Arial" w:hint="default"/>
      </w:rPr>
    </w:lvl>
    <w:lvl w:ilvl="5" w:tplc="FAA2CD04" w:tentative="1">
      <w:start w:val="1"/>
      <w:numFmt w:val="bullet"/>
      <w:lvlText w:val="•"/>
      <w:lvlJc w:val="left"/>
      <w:pPr>
        <w:tabs>
          <w:tab w:val="num" w:pos="4320"/>
        </w:tabs>
        <w:ind w:left="4320" w:hanging="360"/>
      </w:pPr>
      <w:rPr>
        <w:rFonts w:ascii="Arial" w:hAnsi="Arial" w:hint="default"/>
      </w:rPr>
    </w:lvl>
    <w:lvl w:ilvl="6" w:tplc="BD2613AC" w:tentative="1">
      <w:start w:val="1"/>
      <w:numFmt w:val="bullet"/>
      <w:lvlText w:val="•"/>
      <w:lvlJc w:val="left"/>
      <w:pPr>
        <w:tabs>
          <w:tab w:val="num" w:pos="5040"/>
        </w:tabs>
        <w:ind w:left="5040" w:hanging="360"/>
      </w:pPr>
      <w:rPr>
        <w:rFonts w:ascii="Arial" w:hAnsi="Arial" w:hint="default"/>
      </w:rPr>
    </w:lvl>
    <w:lvl w:ilvl="7" w:tplc="0396DF3E" w:tentative="1">
      <w:start w:val="1"/>
      <w:numFmt w:val="bullet"/>
      <w:lvlText w:val="•"/>
      <w:lvlJc w:val="left"/>
      <w:pPr>
        <w:tabs>
          <w:tab w:val="num" w:pos="5760"/>
        </w:tabs>
        <w:ind w:left="5760" w:hanging="360"/>
      </w:pPr>
      <w:rPr>
        <w:rFonts w:ascii="Arial" w:hAnsi="Arial" w:hint="default"/>
      </w:rPr>
    </w:lvl>
    <w:lvl w:ilvl="8" w:tplc="0284BB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A90BC2"/>
    <w:multiLevelType w:val="hybridMultilevel"/>
    <w:tmpl w:val="74F0A978"/>
    <w:lvl w:ilvl="0" w:tplc="F0FA2B62">
      <w:start w:val="1"/>
      <w:numFmt w:val="bullet"/>
      <w:lvlText w:val="•"/>
      <w:lvlJc w:val="left"/>
      <w:pPr>
        <w:tabs>
          <w:tab w:val="num" w:pos="720"/>
        </w:tabs>
        <w:ind w:left="720" w:hanging="360"/>
      </w:pPr>
      <w:rPr>
        <w:rFonts w:ascii="Arial" w:hAnsi="Arial" w:hint="default"/>
      </w:rPr>
    </w:lvl>
    <w:lvl w:ilvl="1" w:tplc="B456C020" w:tentative="1">
      <w:start w:val="1"/>
      <w:numFmt w:val="bullet"/>
      <w:lvlText w:val="•"/>
      <w:lvlJc w:val="left"/>
      <w:pPr>
        <w:tabs>
          <w:tab w:val="num" w:pos="1440"/>
        </w:tabs>
        <w:ind w:left="1440" w:hanging="360"/>
      </w:pPr>
      <w:rPr>
        <w:rFonts w:ascii="Arial" w:hAnsi="Arial" w:hint="default"/>
      </w:rPr>
    </w:lvl>
    <w:lvl w:ilvl="2" w:tplc="4574CD08" w:tentative="1">
      <w:start w:val="1"/>
      <w:numFmt w:val="bullet"/>
      <w:lvlText w:val="•"/>
      <w:lvlJc w:val="left"/>
      <w:pPr>
        <w:tabs>
          <w:tab w:val="num" w:pos="2160"/>
        </w:tabs>
        <w:ind w:left="2160" w:hanging="360"/>
      </w:pPr>
      <w:rPr>
        <w:rFonts w:ascii="Arial" w:hAnsi="Arial" w:hint="default"/>
      </w:rPr>
    </w:lvl>
    <w:lvl w:ilvl="3" w:tplc="58F880A2" w:tentative="1">
      <w:start w:val="1"/>
      <w:numFmt w:val="bullet"/>
      <w:lvlText w:val="•"/>
      <w:lvlJc w:val="left"/>
      <w:pPr>
        <w:tabs>
          <w:tab w:val="num" w:pos="2880"/>
        </w:tabs>
        <w:ind w:left="2880" w:hanging="360"/>
      </w:pPr>
      <w:rPr>
        <w:rFonts w:ascii="Arial" w:hAnsi="Arial" w:hint="default"/>
      </w:rPr>
    </w:lvl>
    <w:lvl w:ilvl="4" w:tplc="6DEA023E" w:tentative="1">
      <w:start w:val="1"/>
      <w:numFmt w:val="bullet"/>
      <w:lvlText w:val="•"/>
      <w:lvlJc w:val="left"/>
      <w:pPr>
        <w:tabs>
          <w:tab w:val="num" w:pos="3600"/>
        </w:tabs>
        <w:ind w:left="3600" w:hanging="360"/>
      </w:pPr>
      <w:rPr>
        <w:rFonts w:ascii="Arial" w:hAnsi="Arial" w:hint="default"/>
      </w:rPr>
    </w:lvl>
    <w:lvl w:ilvl="5" w:tplc="81DEA55A" w:tentative="1">
      <w:start w:val="1"/>
      <w:numFmt w:val="bullet"/>
      <w:lvlText w:val="•"/>
      <w:lvlJc w:val="left"/>
      <w:pPr>
        <w:tabs>
          <w:tab w:val="num" w:pos="4320"/>
        </w:tabs>
        <w:ind w:left="4320" w:hanging="360"/>
      </w:pPr>
      <w:rPr>
        <w:rFonts w:ascii="Arial" w:hAnsi="Arial" w:hint="default"/>
      </w:rPr>
    </w:lvl>
    <w:lvl w:ilvl="6" w:tplc="18165556" w:tentative="1">
      <w:start w:val="1"/>
      <w:numFmt w:val="bullet"/>
      <w:lvlText w:val="•"/>
      <w:lvlJc w:val="left"/>
      <w:pPr>
        <w:tabs>
          <w:tab w:val="num" w:pos="5040"/>
        </w:tabs>
        <w:ind w:left="5040" w:hanging="360"/>
      </w:pPr>
      <w:rPr>
        <w:rFonts w:ascii="Arial" w:hAnsi="Arial" w:hint="default"/>
      </w:rPr>
    </w:lvl>
    <w:lvl w:ilvl="7" w:tplc="553A0374" w:tentative="1">
      <w:start w:val="1"/>
      <w:numFmt w:val="bullet"/>
      <w:lvlText w:val="•"/>
      <w:lvlJc w:val="left"/>
      <w:pPr>
        <w:tabs>
          <w:tab w:val="num" w:pos="5760"/>
        </w:tabs>
        <w:ind w:left="5760" w:hanging="360"/>
      </w:pPr>
      <w:rPr>
        <w:rFonts w:ascii="Arial" w:hAnsi="Arial" w:hint="default"/>
      </w:rPr>
    </w:lvl>
    <w:lvl w:ilvl="8" w:tplc="BACEF3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662D62"/>
    <w:multiLevelType w:val="hybridMultilevel"/>
    <w:tmpl w:val="921A7992"/>
    <w:lvl w:ilvl="0" w:tplc="65C81A92">
      <w:start w:val="1"/>
      <w:numFmt w:val="bullet"/>
      <w:lvlText w:val="•"/>
      <w:lvlJc w:val="left"/>
      <w:pPr>
        <w:tabs>
          <w:tab w:val="num" w:pos="720"/>
        </w:tabs>
        <w:ind w:left="720" w:hanging="360"/>
      </w:pPr>
      <w:rPr>
        <w:rFonts w:ascii="Arial" w:hAnsi="Arial" w:hint="default"/>
      </w:rPr>
    </w:lvl>
    <w:lvl w:ilvl="1" w:tplc="DD1AD258" w:tentative="1">
      <w:start w:val="1"/>
      <w:numFmt w:val="bullet"/>
      <w:lvlText w:val="•"/>
      <w:lvlJc w:val="left"/>
      <w:pPr>
        <w:tabs>
          <w:tab w:val="num" w:pos="1440"/>
        </w:tabs>
        <w:ind w:left="1440" w:hanging="360"/>
      </w:pPr>
      <w:rPr>
        <w:rFonts w:ascii="Arial" w:hAnsi="Arial" w:hint="default"/>
      </w:rPr>
    </w:lvl>
    <w:lvl w:ilvl="2" w:tplc="22DA6C9E" w:tentative="1">
      <w:start w:val="1"/>
      <w:numFmt w:val="bullet"/>
      <w:lvlText w:val="•"/>
      <w:lvlJc w:val="left"/>
      <w:pPr>
        <w:tabs>
          <w:tab w:val="num" w:pos="2160"/>
        </w:tabs>
        <w:ind w:left="2160" w:hanging="360"/>
      </w:pPr>
      <w:rPr>
        <w:rFonts w:ascii="Arial" w:hAnsi="Arial" w:hint="default"/>
      </w:rPr>
    </w:lvl>
    <w:lvl w:ilvl="3" w:tplc="4080CDCC" w:tentative="1">
      <w:start w:val="1"/>
      <w:numFmt w:val="bullet"/>
      <w:lvlText w:val="•"/>
      <w:lvlJc w:val="left"/>
      <w:pPr>
        <w:tabs>
          <w:tab w:val="num" w:pos="2880"/>
        </w:tabs>
        <w:ind w:left="2880" w:hanging="360"/>
      </w:pPr>
      <w:rPr>
        <w:rFonts w:ascii="Arial" w:hAnsi="Arial" w:hint="default"/>
      </w:rPr>
    </w:lvl>
    <w:lvl w:ilvl="4" w:tplc="943420DC" w:tentative="1">
      <w:start w:val="1"/>
      <w:numFmt w:val="bullet"/>
      <w:lvlText w:val="•"/>
      <w:lvlJc w:val="left"/>
      <w:pPr>
        <w:tabs>
          <w:tab w:val="num" w:pos="3600"/>
        </w:tabs>
        <w:ind w:left="3600" w:hanging="360"/>
      </w:pPr>
      <w:rPr>
        <w:rFonts w:ascii="Arial" w:hAnsi="Arial" w:hint="default"/>
      </w:rPr>
    </w:lvl>
    <w:lvl w:ilvl="5" w:tplc="1E6C5AB4" w:tentative="1">
      <w:start w:val="1"/>
      <w:numFmt w:val="bullet"/>
      <w:lvlText w:val="•"/>
      <w:lvlJc w:val="left"/>
      <w:pPr>
        <w:tabs>
          <w:tab w:val="num" w:pos="4320"/>
        </w:tabs>
        <w:ind w:left="4320" w:hanging="360"/>
      </w:pPr>
      <w:rPr>
        <w:rFonts w:ascii="Arial" w:hAnsi="Arial" w:hint="default"/>
      </w:rPr>
    </w:lvl>
    <w:lvl w:ilvl="6" w:tplc="0BA2B606" w:tentative="1">
      <w:start w:val="1"/>
      <w:numFmt w:val="bullet"/>
      <w:lvlText w:val="•"/>
      <w:lvlJc w:val="left"/>
      <w:pPr>
        <w:tabs>
          <w:tab w:val="num" w:pos="5040"/>
        </w:tabs>
        <w:ind w:left="5040" w:hanging="360"/>
      </w:pPr>
      <w:rPr>
        <w:rFonts w:ascii="Arial" w:hAnsi="Arial" w:hint="default"/>
      </w:rPr>
    </w:lvl>
    <w:lvl w:ilvl="7" w:tplc="B03EE48A" w:tentative="1">
      <w:start w:val="1"/>
      <w:numFmt w:val="bullet"/>
      <w:lvlText w:val="•"/>
      <w:lvlJc w:val="left"/>
      <w:pPr>
        <w:tabs>
          <w:tab w:val="num" w:pos="5760"/>
        </w:tabs>
        <w:ind w:left="5760" w:hanging="360"/>
      </w:pPr>
      <w:rPr>
        <w:rFonts w:ascii="Arial" w:hAnsi="Arial" w:hint="default"/>
      </w:rPr>
    </w:lvl>
    <w:lvl w:ilvl="8" w:tplc="1472BB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9439E6"/>
    <w:multiLevelType w:val="hybridMultilevel"/>
    <w:tmpl w:val="B940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B03C8"/>
    <w:multiLevelType w:val="hybridMultilevel"/>
    <w:tmpl w:val="779AE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4865C7"/>
    <w:multiLevelType w:val="multilevel"/>
    <w:tmpl w:val="E7A8A6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969B2"/>
    <w:multiLevelType w:val="hybridMultilevel"/>
    <w:tmpl w:val="4B603574"/>
    <w:lvl w:ilvl="0" w:tplc="F57E9130">
      <w:start w:val="1"/>
      <w:numFmt w:val="bullet"/>
      <w:lvlText w:val="•"/>
      <w:lvlJc w:val="left"/>
      <w:pPr>
        <w:tabs>
          <w:tab w:val="num" w:pos="720"/>
        </w:tabs>
        <w:ind w:left="720" w:hanging="360"/>
      </w:pPr>
      <w:rPr>
        <w:rFonts w:ascii="Arial" w:hAnsi="Arial" w:hint="default"/>
      </w:rPr>
    </w:lvl>
    <w:lvl w:ilvl="1" w:tplc="5DFA9CE2" w:tentative="1">
      <w:start w:val="1"/>
      <w:numFmt w:val="bullet"/>
      <w:lvlText w:val="•"/>
      <w:lvlJc w:val="left"/>
      <w:pPr>
        <w:tabs>
          <w:tab w:val="num" w:pos="1440"/>
        </w:tabs>
        <w:ind w:left="1440" w:hanging="360"/>
      </w:pPr>
      <w:rPr>
        <w:rFonts w:ascii="Arial" w:hAnsi="Arial" w:hint="default"/>
      </w:rPr>
    </w:lvl>
    <w:lvl w:ilvl="2" w:tplc="2A1A75DC" w:tentative="1">
      <w:start w:val="1"/>
      <w:numFmt w:val="bullet"/>
      <w:lvlText w:val="•"/>
      <w:lvlJc w:val="left"/>
      <w:pPr>
        <w:tabs>
          <w:tab w:val="num" w:pos="2160"/>
        </w:tabs>
        <w:ind w:left="2160" w:hanging="360"/>
      </w:pPr>
      <w:rPr>
        <w:rFonts w:ascii="Arial" w:hAnsi="Arial" w:hint="default"/>
      </w:rPr>
    </w:lvl>
    <w:lvl w:ilvl="3" w:tplc="F7DAED00" w:tentative="1">
      <w:start w:val="1"/>
      <w:numFmt w:val="bullet"/>
      <w:lvlText w:val="•"/>
      <w:lvlJc w:val="left"/>
      <w:pPr>
        <w:tabs>
          <w:tab w:val="num" w:pos="2880"/>
        </w:tabs>
        <w:ind w:left="2880" w:hanging="360"/>
      </w:pPr>
      <w:rPr>
        <w:rFonts w:ascii="Arial" w:hAnsi="Arial" w:hint="default"/>
      </w:rPr>
    </w:lvl>
    <w:lvl w:ilvl="4" w:tplc="C776A2EE" w:tentative="1">
      <w:start w:val="1"/>
      <w:numFmt w:val="bullet"/>
      <w:lvlText w:val="•"/>
      <w:lvlJc w:val="left"/>
      <w:pPr>
        <w:tabs>
          <w:tab w:val="num" w:pos="3600"/>
        </w:tabs>
        <w:ind w:left="3600" w:hanging="360"/>
      </w:pPr>
      <w:rPr>
        <w:rFonts w:ascii="Arial" w:hAnsi="Arial" w:hint="default"/>
      </w:rPr>
    </w:lvl>
    <w:lvl w:ilvl="5" w:tplc="34C84034" w:tentative="1">
      <w:start w:val="1"/>
      <w:numFmt w:val="bullet"/>
      <w:lvlText w:val="•"/>
      <w:lvlJc w:val="left"/>
      <w:pPr>
        <w:tabs>
          <w:tab w:val="num" w:pos="4320"/>
        </w:tabs>
        <w:ind w:left="4320" w:hanging="360"/>
      </w:pPr>
      <w:rPr>
        <w:rFonts w:ascii="Arial" w:hAnsi="Arial" w:hint="default"/>
      </w:rPr>
    </w:lvl>
    <w:lvl w:ilvl="6" w:tplc="66F2DFCC" w:tentative="1">
      <w:start w:val="1"/>
      <w:numFmt w:val="bullet"/>
      <w:lvlText w:val="•"/>
      <w:lvlJc w:val="left"/>
      <w:pPr>
        <w:tabs>
          <w:tab w:val="num" w:pos="5040"/>
        </w:tabs>
        <w:ind w:left="5040" w:hanging="360"/>
      </w:pPr>
      <w:rPr>
        <w:rFonts w:ascii="Arial" w:hAnsi="Arial" w:hint="default"/>
      </w:rPr>
    </w:lvl>
    <w:lvl w:ilvl="7" w:tplc="0E90E558" w:tentative="1">
      <w:start w:val="1"/>
      <w:numFmt w:val="bullet"/>
      <w:lvlText w:val="•"/>
      <w:lvlJc w:val="left"/>
      <w:pPr>
        <w:tabs>
          <w:tab w:val="num" w:pos="5760"/>
        </w:tabs>
        <w:ind w:left="5760" w:hanging="360"/>
      </w:pPr>
      <w:rPr>
        <w:rFonts w:ascii="Arial" w:hAnsi="Arial" w:hint="default"/>
      </w:rPr>
    </w:lvl>
    <w:lvl w:ilvl="8" w:tplc="0F9C47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CA7BDC"/>
    <w:multiLevelType w:val="hybridMultilevel"/>
    <w:tmpl w:val="16669EFA"/>
    <w:lvl w:ilvl="0" w:tplc="8D36C268">
      <w:start w:val="1"/>
      <w:numFmt w:val="bullet"/>
      <w:lvlText w:val="•"/>
      <w:lvlJc w:val="left"/>
      <w:pPr>
        <w:tabs>
          <w:tab w:val="num" w:pos="720"/>
        </w:tabs>
        <w:ind w:left="720" w:hanging="360"/>
      </w:pPr>
      <w:rPr>
        <w:rFonts w:ascii="Arial" w:hAnsi="Arial" w:hint="default"/>
      </w:rPr>
    </w:lvl>
    <w:lvl w:ilvl="1" w:tplc="C3B820AA" w:tentative="1">
      <w:start w:val="1"/>
      <w:numFmt w:val="bullet"/>
      <w:lvlText w:val="•"/>
      <w:lvlJc w:val="left"/>
      <w:pPr>
        <w:tabs>
          <w:tab w:val="num" w:pos="1440"/>
        </w:tabs>
        <w:ind w:left="1440" w:hanging="360"/>
      </w:pPr>
      <w:rPr>
        <w:rFonts w:ascii="Arial" w:hAnsi="Arial" w:hint="default"/>
      </w:rPr>
    </w:lvl>
    <w:lvl w:ilvl="2" w:tplc="61F0B3BA" w:tentative="1">
      <w:start w:val="1"/>
      <w:numFmt w:val="bullet"/>
      <w:lvlText w:val="•"/>
      <w:lvlJc w:val="left"/>
      <w:pPr>
        <w:tabs>
          <w:tab w:val="num" w:pos="2160"/>
        </w:tabs>
        <w:ind w:left="2160" w:hanging="360"/>
      </w:pPr>
      <w:rPr>
        <w:rFonts w:ascii="Arial" w:hAnsi="Arial" w:hint="default"/>
      </w:rPr>
    </w:lvl>
    <w:lvl w:ilvl="3" w:tplc="6062FDFA" w:tentative="1">
      <w:start w:val="1"/>
      <w:numFmt w:val="bullet"/>
      <w:lvlText w:val="•"/>
      <w:lvlJc w:val="left"/>
      <w:pPr>
        <w:tabs>
          <w:tab w:val="num" w:pos="2880"/>
        </w:tabs>
        <w:ind w:left="2880" w:hanging="360"/>
      </w:pPr>
      <w:rPr>
        <w:rFonts w:ascii="Arial" w:hAnsi="Arial" w:hint="default"/>
      </w:rPr>
    </w:lvl>
    <w:lvl w:ilvl="4" w:tplc="1DBE8204" w:tentative="1">
      <w:start w:val="1"/>
      <w:numFmt w:val="bullet"/>
      <w:lvlText w:val="•"/>
      <w:lvlJc w:val="left"/>
      <w:pPr>
        <w:tabs>
          <w:tab w:val="num" w:pos="3600"/>
        </w:tabs>
        <w:ind w:left="3600" w:hanging="360"/>
      </w:pPr>
      <w:rPr>
        <w:rFonts w:ascii="Arial" w:hAnsi="Arial" w:hint="default"/>
      </w:rPr>
    </w:lvl>
    <w:lvl w:ilvl="5" w:tplc="4E5EF6B8" w:tentative="1">
      <w:start w:val="1"/>
      <w:numFmt w:val="bullet"/>
      <w:lvlText w:val="•"/>
      <w:lvlJc w:val="left"/>
      <w:pPr>
        <w:tabs>
          <w:tab w:val="num" w:pos="4320"/>
        </w:tabs>
        <w:ind w:left="4320" w:hanging="360"/>
      </w:pPr>
      <w:rPr>
        <w:rFonts w:ascii="Arial" w:hAnsi="Arial" w:hint="default"/>
      </w:rPr>
    </w:lvl>
    <w:lvl w:ilvl="6" w:tplc="8870C37A" w:tentative="1">
      <w:start w:val="1"/>
      <w:numFmt w:val="bullet"/>
      <w:lvlText w:val="•"/>
      <w:lvlJc w:val="left"/>
      <w:pPr>
        <w:tabs>
          <w:tab w:val="num" w:pos="5040"/>
        </w:tabs>
        <w:ind w:left="5040" w:hanging="360"/>
      </w:pPr>
      <w:rPr>
        <w:rFonts w:ascii="Arial" w:hAnsi="Arial" w:hint="default"/>
      </w:rPr>
    </w:lvl>
    <w:lvl w:ilvl="7" w:tplc="D862CD94" w:tentative="1">
      <w:start w:val="1"/>
      <w:numFmt w:val="bullet"/>
      <w:lvlText w:val="•"/>
      <w:lvlJc w:val="left"/>
      <w:pPr>
        <w:tabs>
          <w:tab w:val="num" w:pos="5760"/>
        </w:tabs>
        <w:ind w:left="5760" w:hanging="360"/>
      </w:pPr>
      <w:rPr>
        <w:rFonts w:ascii="Arial" w:hAnsi="Arial" w:hint="default"/>
      </w:rPr>
    </w:lvl>
    <w:lvl w:ilvl="8" w:tplc="1EF876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B830E2"/>
    <w:multiLevelType w:val="multilevel"/>
    <w:tmpl w:val="378AF8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62A31BF"/>
    <w:multiLevelType w:val="hybridMultilevel"/>
    <w:tmpl w:val="777C30BE"/>
    <w:lvl w:ilvl="0" w:tplc="08090001">
      <w:start w:val="1"/>
      <w:numFmt w:val="bullet"/>
      <w:lvlText w:val=""/>
      <w:lvlJc w:val="left"/>
      <w:pPr>
        <w:tabs>
          <w:tab w:val="num" w:pos="720"/>
        </w:tabs>
        <w:ind w:left="720" w:hanging="360"/>
      </w:pPr>
      <w:rPr>
        <w:rFonts w:ascii="Symbol" w:hAnsi="Symbol" w:hint="default"/>
      </w:rPr>
    </w:lvl>
    <w:lvl w:ilvl="1" w:tplc="DD1AD258" w:tentative="1">
      <w:start w:val="1"/>
      <w:numFmt w:val="bullet"/>
      <w:lvlText w:val="•"/>
      <w:lvlJc w:val="left"/>
      <w:pPr>
        <w:tabs>
          <w:tab w:val="num" w:pos="1440"/>
        </w:tabs>
        <w:ind w:left="1440" w:hanging="360"/>
      </w:pPr>
      <w:rPr>
        <w:rFonts w:ascii="Arial" w:hAnsi="Arial" w:hint="default"/>
      </w:rPr>
    </w:lvl>
    <w:lvl w:ilvl="2" w:tplc="22DA6C9E" w:tentative="1">
      <w:start w:val="1"/>
      <w:numFmt w:val="bullet"/>
      <w:lvlText w:val="•"/>
      <w:lvlJc w:val="left"/>
      <w:pPr>
        <w:tabs>
          <w:tab w:val="num" w:pos="2160"/>
        </w:tabs>
        <w:ind w:left="2160" w:hanging="360"/>
      </w:pPr>
      <w:rPr>
        <w:rFonts w:ascii="Arial" w:hAnsi="Arial" w:hint="default"/>
      </w:rPr>
    </w:lvl>
    <w:lvl w:ilvl="3" w:tplc="4080CDCC" w:tentative="1">
      <w:start w:val="1"/>
      <w:numFmt w:val="bullet"/>
      <w:lvlText w:val="•"/>
      <w:lvlJc w:val="left"/>
      <w:pPr>
        <w:tabs>
          <w:tab w:val="num" w:pos="2880"/>
        </w:tabs>
        <w:ind w:left="2880" w:hanging="360"/>
      </w:pPr>
      <w:rPr>
        <w:rFonts w:ascii="Arial" w:hAnsi="Arial" w:hint="default"/>
      </w:rPr>
    </w:lvl>
    <w:lvl w:ilvl="4" w:tplc="943420DC" w:tentative="1">
      <w:start w:val="1"/>
      <w:numFmt w:val="bullet"/>
      <w:lvlText w:val="•"/>
      <w:lvlJc w:val="left"/>
      <w:pPr>
        <w:tabs>
          <w:tab w:val="num" w:pos="3600"/>
        </w:tabs>
        <w:ind w:left="3600" w:hanging="360"/>
      </w:pPr>
      <w:rPr>
        <w:rFonts w:ascii="Arial" w:hAnsi="Arial" w:hint="default"/>
      </w:rPr>
    </w:lvl>
    <w:lvl w:ilvl="5" w:tplc="1E6C5AB4" w:tentative="1">
      <w:start w:val="1"/>
      <w:numFmt w:val="bullet"/>
      <w:lvlText w:val="•"/>
      <w:lvlJc w:val="left"/>
      <w:pPr>
        <w:tabs>
          <w:tab w:val="num" w:pos="4320"/>
        </w:tabs>
        <w:ind w:left="4320" w:hanging="360"/>
      </w:pPr>
      <w:rPr>
        <w:rFonts w:ascii="Arial" w:hAnsi="Arial" w:hint="default"/>
      </w:rPr>
    </w:lvl>
    <w:lvl w:ilvl="6" w:tplc="0BA2B606" w:tentative="1">
      <w:start w:val="1"/>
      <w:numFmt w:val="bullet"/>
      <w:lvlText w:val="•"/>
      <w:lvlJc w:val="left"/>
      <w:pPr>
        <w:tabs>
          <w:tab w:val="num" w:pos="5040"/>
        </w:tabs>
        <w:ind w:left="5040" w:hanging="360"/>
      </w:pPr>
      <w:rPr>
        <w:rFonts w:ascii="Arial" w:hAnsi="Arial" w:hint="default"/>
      </w:rPr>
    </w:lvl>
    <w:lvl w:ilvl="7" w:tplc="B03EE48A" w:tentative="1">
      <w:start w:val="1"/>
      <w:numFmt w:val="bullet"/>
      <w:lvlText w:val="•"/>
      <w:lvlJc w:val="left"/>
      <w:pPr>
        <w:tabs>
          <w:tab w:val="num" w:pos="5760"/>
        </w:tabs>
        <w:ind w:left="5760" w:hanging="360"/>
      </w:pPr>
      <w:rPr>
        <w:rFonts w:ascii="Arial" w:hAnsi="Arial" w:hint="default"/>
      </w:rPr>
    </w:lvl>
    <w:lvl w:ilvl="8" w:tplc="1472BB5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B672190"/>
    <w:multiLevelType w:val="hybridMultilevel"/>
    <w:tmpl w:val="B3AECED0"/>
    <w:lvl w:ilvl="0" w:tplc="95FECB14">
      <w:start w:val="1"/>
      <w:numFmt w:val="bullet"/>
      <w:lvlText w:val="•"/>
      <w:lvlJc w:val="left"/>
      <w:pPr>
        <w:tabs>
          <w:tab w:val="num" w:pos="720"/>
        </w:tabs>
        <w:ind w:left="720" w:hanging="360"/>
      </w:pPr>
      <w:rPr>
        <w:rFonts w:ascii="Arial" w:hAnsi="Arial" w:hint="default"/>
      </w:rPr>
    </w:lvl>
    <w:lvl w:ilvl="1" w:tplc="3D705CDC" w:tentative="1">
      <w:start w:val="1"/>
      <w:numFmt w:val="bullet"/>
      <w:lvlText w:val="•"/>
      <w:lvlJc w:val="left"/>
      <w:pPr>
        <w:tabs>
          <w:tab w:val="num" w:pos="1440"/>
        </w:tabs>
        <w:ind w:left="1440" w:hanging="360"/>
      </w:pPr>
      <w:rPr>
        <w:rFonts w:ascii="Arial" w:hAnsi="Arial" w:hint="default"/>
      </w:rPr>
    </w:lvl>
    <w:lvl w:ilvl="2" w:tplc="F4E81202" w:tentative="1">
      <w:start w:val="1"/>
      <w:numFmt w:val="bullet"/>
      <w:lvlText w:val="•"/>
      <w:lvlJc w:val="left"/>
      <w:pPr>
        <w:tabs>
          <w:tab w:val="num" w:pos="2160"/>
        </w:tabs>
        <w:ind w:left="2160" w:hanging="360"/>
      </w:pPr>
      <w:rPr>
        <w:rFonts w:ascii="Arial" w:hAnsi="Arial" w:hint="default"/>
      </w:rPr>
    </w:lvl>
    <w:lvl w:ilvl="3" w:tplc="20A4A7EC" w:tentative="1">
      <w:start w:val="1"/>
      <w:numFmt w:val="bullet"/>
      <w:lvlText w:val="•"/>
      <w:lvlJc w:val="left"/>
      <w:pPr>
        <w:tabs>
          <w:tab w:val="num" w:pos="2880"/>
        </w:tabs>
        <w:ind w:left="2880" w:hanging="360"/>
      </w:pPr>
      <w:rPr>
        <w:rFonts w:ascii="Arial" w:hAnsi="Arial" w:hint="default"/>
      </w:rPr>
    </w:lvl>
    <w:lvl w:ilvl="4" w:tplc="B8B206DC" w:tentative="1">
      <w:start w:val="1"/>
      <w:numFmt w:val="bullet"/>
      <w:lvlText w:val="•"/>
      <w:lvlJc w:val="left"/>
      <w:pPr>
        <w:tabs>
          <w:tab w:val="num" w:pos="3600"/>
        </w:tabs>
        <w:ind w:left="3600" w:hanging="360"/>
      </w:pPr>
      <w:rPr>
        <w:rFonts w:ascii="Arial" w:hAnsi="Arial" w:hint="default"/>
      </w:rPr>
    </w:lvl>
    <w:lvl w:ilvl="5" w:tplc="61DCC42C" w:tentative="1">
      <w:start w:val="1"/>
      <w:numFmt w:val="bullet"/>
      <w:lvlText w:val="•"/>
      <w:lvlJc w:val="left"/>
      <w:pPr>
        <w:tabs>
          <w:tab w:val="num" w:pos="4320"/>
        </w:tabs>
        <w:ind w:left="4320" w:hanging="360"/>
      </w:pPr>
      <w:rPr>
        <w:rFonts w:ascii="Arial" w:hAnsi="Arial" w:hint="default"/>
      </w:rPr>
    </w:lvl>
    <w:lvl w:ilvl="6" w:tplc="64F69BB6" w:tentative="1">
      <w:start w:val="1"/>
      <w:numFmt w:val="bullet"/>
      <w:lvlText w:val="•"/>
      <w:lvlJc w:val="left"/>
      <w:pPr>
        <w:tabs>
          <w:tab w:val="num" w:pos="5040"/>
        </w:tabs>
        <w:ind w:left="5040" w:hanging="360"/>
      </w:pPr>
      <w:rPr>
        <w:rFonts w:ascii="Arial" w:hAnsi="Arial" w:hint="default"/>
      </w:rPr>
    </w:lvl>
    <w:lvl w:ilvl="7" w:tplc="173CB8DE" w:tentative="1">
      <w:start w:val="1"/>
      <w:numFmt w:val="bullet"/>
      <w:lvlText w:val="•"/>
      <w:lvlJc w:val="left"/>
      <w:pPr>
        <w:tabs>
          <w:tab w:val="num" w:pos="5760"/>
        </w:tabs>
        <w:ind w:left="5760" w:hanging="360"/>
      </w:pPr>
      <w:rPr>
        <w:rFonts w:ascii="Arial" w:hAnsi="Arial" w:hint="default"/>
      </w:rPr>
    </w:lvl>
    <w:lvl w:ilvl="8" w:tplc="B16E76D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9"/>
  </w:num>
  <w:num w:numId="3">
    <w:abstractNumId w:val="2"/>
  </w:num>
  <w:num w:numId="4">
    <w:abstractNumId w:val="0"/>
  </w:num>
  <w:num w:numId="5">
    <w:abstractNumId w:val="12"/>
  </w:num>
  <w:num w:numId="6">
    <w:abstractNumId w:val="1"/>
  </w:num>
  <w:num w:numId="7">
    <w:abstractNumId w:val="8"/>
  </w:num>
  <w:num w:numId="8">
    <w:abstractNumId w:val="3"/>
  </w:num>
  <w:num w:numId="9">
    <w:abstractNumId w:val="7"/>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00"/>
    <w:rsid w:val="0009322F"/>
    <w:rsid w:val="00096E08"/>
    <w:rsid w:val="00116C68"/>
    <w:rsid w:val="00117781"/>
    <w:rsid w:val="00163FB6"/>
    <w:rsid w:val="002512B1"/>
    <w:rsid w:val="0028496C"/>
    <w:rsid w:val="002A1D4E"/>
    <w:rsid w:val="003B0D25"/>
    <w:rsid w:val="003B4191"/>
    <w:rsid w:val="003C0C95"/>
    <w:rsid w:val="003D385C"/>
    <w:rsid w:val="003E3C01"/>
    <w:rsid w:val="003E7DF2"/>
    <w:rsid w:val="00406324"/>
    <w:rsid w:val="00417196"/>
    <w:rsid w:val="004A0C70"/>
    <w:rsid w:val="004B4795"/>
    <w:rsid w:val="00680844"/>
    <w:rsid w:val="00690EDA"/>
    <w:rsid w:val="006D56B5"/>
    <w:rsid w:val="00712F39"/>
    <w:rsid w:val="00792EEB"/>
    <w:rsid w:val="007E20B2"/>
    <w:rsid w:val="00822906"/>
    <w:rsid w:val="008C05CC"/>
    <w:rsid w:val="008F6870"/>
    <w:rsid w:val="00923862"/>
    <w:rsid w:val="00950025"/>
    <w:rsid w:val="00976A9F"/>
    <w:rsid w:val="009C7DEE"/>
    <w:rsid w:val="009F6C70"/>
    <w:rsid w:val="00A30A32"/>
    <w:rsid w:val="00A74529"/>
    <w:rsid w:val="00A84439"/>
    <w:rsid w:val="00AB4453"/>
    <w:rsid w:val="00AB7021"/>
    <w:rsid w:val="00AC3FB5"/>
    <w:rsid w:val="00AF6B5B"/>
    <w:rsid w:val="00B268D6"/>
    <w:rsid w:val="00B62519"/>
    <w:rsid w:val="00B65C07"/>
    <w:rsid w:val="00B74EC2"/>
    <w:rsid w:val="00B75DF2"/>
    <w:rsid w:val="00BB15A4"/>
    <w:rsid w:val="00C21C9D"/>
    <w:rsid w:val="00C272C8"/>
    <w:rsid w:val="00CF7700"/>
    <w:rsid w:val="00D647EE"/>
    <w:rsid w:val="00DF1948"/>
    <w:rsid w:val="00DF1D9A"/>
    <w:rsid w:val="00E41D06"/>
    <w:rsid w:val="00E43E26"/>
    <w:rsid w:val="00E90EE0"/>
    <w:rsid w:val="00F13D29"/>
    <w:rsid w:val="00F47106"/>
    <w:rsid w:val="00FE1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10094F2-8B3B-46A5-8D7D-CC13D6B8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71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68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0D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7EE"/>
    <w:rPr>
      <w:color w:val="0000FF" w:themeColor="hyperlink"/>
      <w:u w:val="single"/>
    </w:rPr>
  </w:style>
  <w:style w:type="paragraph" w:styleId="BalloonText">
    <w:name w:val="Balloon Text"/>
    <w:basedOn w:val="Normal"/>
    <w:link w:val="BalloonTextChar"/>
    <w:uiPriority w:val="99"/>
    <w:semiHidden/>
    <w:unhideWhenUsed/>
    <w:rsid w:val="00A84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439"/>
    <w:rPr>
      <w:rFonts w:ascii="Tahoma" w:hAnsi="Tahoma" w:cs="Tahoma"/>
      <w:sz w:val="16"/>
      <w:szCs w:val="16"/>
    </w:rPr>
  </w:style>
  <w:style w:type="character" w:customStyle="1" w:styleId="Heading1Char">
    <w:name w:val="Heading 1 Char"/>
    <w:basedOn w:val="DefaultParagraphFont"/>
    <w:link w:val="Heading1"/>
    <w:uiPriority w:val="9"/>
    <w:rsid w:val="0041719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171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719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171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687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8F6870"/>
    <w:rPr>
      <w:color w:val="800080" w:themeColor="followedHyperlink"/>
      <w:u w:val="single"/>
    </w:rPr>
  </w:style>
  <w:style w:type="character" w:customStyle="1" w:styleId="Heading4Char">
    <w:name w:val="Heading 4 Char"/>
    <w:basedOn w:val="DefaultParagraphFont"/>
    <w:link w:val="Heading4"/>
    <w:uiPriority w:val="9"/>
    <w:rsid w:val="003B0D25"/>
    <w:rPr>
      <w:rFonts w:asciiTheme="majorHAnsi" w:eastAsiaTheme="majorEastAsia" w:hAnsiTheme="majorHAnsi" w:cstheme="majorBidi"/>
      <w:b/>
      <w:bCs/>
      <w:i/>
      <w:iCs/>
      <w:color w:val="4F81BD" w:themeColor="accent1"/>
    </w:rPr>
  </w:style>
  <w:style w:type="character" w:customStyle="1" w:styleId="fontstyle01">
    <w:name w:val="fontstyle01"/>
    <w:basedOn w:val="DefaultParagraphFont"/>
    <w:rsid w:val="003D385C"/>
    <w:rPr>
      <w:rFonts w:ascii="Calibri" w:hAnsi="Calibri" w:hint="default"/>
      <w:b w:val="0"/>
      <w:bCs w:val="0"/>
      <w:i w:val="0"/>
      <w:iCs w:val="0"/>
      <w:color w:val="000000"/>
      <w:sz w:val="24"/>
      <w:szCs w:val="24"/>
    </w:rPr>
  </w:style>
  <w:style w:type="table" w:styleId="TableGrid">
    <w:name w:val="Table Grid"/>
    <w:basedOn w:val="TableNormal"/>
    <w:uiPriority w:val="59"/>
    <w:rsid w:val="003C0C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C68"/>
    <w:pPr>
      <w:ind w:left="720"/>
      <w:contextualSpacing/>
    </w:pPr>
  </w:style>
  <w:style w:type="paragraph" w:styleId="Caption">
    <w:name w:val="caption"/>
    <w:basedOn w:val="Normal"/>
    <w:next w:val="Normal"/>
    <w:uiPriority w:val="35"/>
    <w:unhideWhenUsed/>
    <w:qFormat/>
    <w:rsid w:val="00B75DF2"/>
    <w:pPr>
      <w:spacing w:line="240" w:lineRule="auto"/>
    </w:pPr>
    <w:rPr>
      <w:b/>
      <w:bCs/>
      <w:color w:val="4F81BD" w:themeColor="accent1"/>
      <w:sz w:val="18"/>
      <w:szCs w:val="18"/>
    </w:rPr>
  </w:style>
  <w:style w:type="paragraph" w:styleId="Header">
    <w:name w:val="header"/>
    <w:basedOn w:val="Normal"/>
    <w:link w:val="HeaderChar"/>
    <w:uiPriority w:val="99"/>
    <w:unhideWhenUsed/>
    <w:rsid w:val="00E43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E26"/>
  </w:style>
  <w:style w:type="paragraph" w:styleId="Footer">
    <w:name w:val="footer"/>
    <w:basedOn w:val="Normal"/>
    <w:link w:val="FooterChar"/>
    <w:uiPriority w:val="99"/>
    <w:unhideWhenUsed/>
    <w:rsid w:val="00E43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0533">
      <w:bodyDiv w:val="1"/>
      <w:marLeft w:val="0"/>
      <w:marRight w:val="0"/>
      <w:marTop w:val="0"/>
      <w:marBottom w:val="0"/>
      <w:divBdr>
        <w:top w:val="none" w:sz="0" w:space="0" w:color="auto"/>
        <w:left w:val="none" w:sz="0" w:space="0" w:color="auto"/>
        <w:bottom w:val="none" w:sz="0" w:space="0" w:color="auto"/>
        <w:right w:val="none" w:sz="0" w:space="0" w:color="auto"/>
      </w:divBdr>
      <w:divsChild>
        <w:div w:id="2107580353">
          <w:marLeft w:val="547"/>
          <w:marRight w:val="0"/>
          <w:marTop w:val="77"/>
          <w:marBottom w:val="0"/>
          <w:divBdr>
            <w:top w:val="none" w:sz="0" w:space="0" w:color="auto"/>
            <w:left w:val="none" w:sz="0" w:space="0" w:color="auto"/>
            <w:bottom w:val="none" w:sz="0" w:space="0" w:color="auto"/>
            <w:right w:val="none" w:sz="0" w:space="0" w:color="auto"/>
          </w:divBdr>
        </w:div>
        <w:div w:id="902640417">
          <w:marLeft w:val="547"/>
          <w:marRight w:val="0"/>
          <w:marTop w:val="77"/>
          <w:marBottom w:val="0"/>
          <w:divBdr>
            <w:top w:val="none" w:sz="0" w:space="0" w:color="auto"/>
            <w:left w:val="none" w:sz="0" w:space="0" w:color="auto"/>
            <w:bottom w:val="none" w:sz="0" w:space="0" w:color="auto"/>
            <w:right w:val="none" w:sz="0" w:space="0" w:color="auto"/>
          </w:divBdr>
        </w:div>
        <w:div w:id="287127654">
          <w:marLeft w:val="547"/>
          <w:marRight w:val="0"/>
          <w:marTop w:val="77"/>
          <w:marBottom w:val="0"/>
          <w:divBdr>
            <w:top w:val="none" w:sz="0" w:space="0" w:color="auto"/>
            <w:left w:val="none" w:sz="0" w:space="0" w:color="auto"/>
            <w:bottom w:val="none" w:sz="0" w:space="0" w:color="auto"/>
            <w:right w:val="none" w:sz="0" w:space="0" w:color="auto"/>
          </w:divBdr>
        </w:div>
        <w:div w:id="758330515">
          <w:marLeft w:val="547"/>
          <w:marRight w:val="0"/>
          <w:marTop w:val="77"/>
          <w:marBottom w:val="0"/>
          <w:divBdr>
            <w:top w:val="none" w:sz="0" w:space="0" w:color="auto"/>
            <w:left w:val="none" w:sz="0" w:space="0" w:color="auto"/>
            <w:bottom w:val="none" w:sz="0" w:space="0" w:color="auto"/>
            <w:right w:val="none" w:sz="0" w:space="0" w:color="auto"/>
          </w:divBdr>
        </w:div>
        <w:div w:id="1716082474">
          <w:marLeft w:val="547"/>
          <w:marRight w:val="0"/>
          <w:marTop w:val="77"/>
          <w:marBottom w:val="0"/>
          <w:divBdr>
            <w:top w:val="none" w:sz="0" w:space="0" w:color="auto"/>
            <w:left w:val="none" w:sz="0" w:space="0" w:color="auto"/>
            <w:bottom w:val="none" w:sz="0" w:space="0" w:color="auto"/>
            <w:right w:val="none" w:sz="0" w:space="0" w:color="auto"/>
          </w:divBdr>
        </w:div>
        <w:div w:id="690256191">
          <w:marLeft w:val="547"/>
          <w:marRight w:val="0"/>
          <w:marTop w:val="77"/>
          <w:marBottom w:val="0"/>
          <w:divBdr>
            <w:top w:val="none" w:sz="0" w:space="0" w:color="auto"/>
            <w:left w:val="none" w:sz="0" w:space="0" w:color="auto"/>
            <w:bottom w:val="none" w:sz="0" w:space="0" w:color="auto"/>
            <w:right w:val="none" w:sz="0" w:space="0" w:color="auto"/>
          </w:divBdr>
        </w:div>
      </w:divsChild>
    </w:div>
    <w:div w:id="170222050">
      <w:bodyDiv w:val="1"/>
      <w:marLeft w:val="0"/>
      <w:marRight w:val="0"/>
      <w:marTop w:val="0"/>
      <w:marBottom w:val="0"/>
      <w:divBdr>
        <w:top w:val="none" w:sz="0" w:space="0" w:color="auto"/>
        <w:left w:val="none" w:sz="0" w:space="0" w:color="auto"/>
        <w:bottom w:val="none" w:sz="0" w:space="0" w:color="auto"/>
        <w:right w:val="none" w:sz="0" w:space="0" w:color="auto"/>
      </w:divBdr>
    </w:div>
    <w:div w:id="478038345">
      <w:bodyDiv w:val="1"/>
      <w:marLeft w:val="0"/>
      <w:marRight w:val="0"/>
      <w:marTop w:val="0"/>
      <w:marBottom w:val="0"/>
      <w:divBdr>
        <w:top w:val="none" w:sz="0" w:space="0" w:color="auto"/>
        <w:left w:val="none" w:sz="0" w:space="0" w:color="auto"/>
        <w:bottom w:val="none" w:sz="0" w:space="0" w:color="auto"/>
        <w:right w:val="none" w:sz="0" w:space="0" w:color="auto"/>
      </w:divBdr>
      <w:divsChild>
        <w:div w:id="353851273">
          <w:marLeft w:val="547"/>
          <w:marRight w:val="0"/>
          <w:marTop w:val="96"/>
          <w:marBottom w:val="0"/>
          <w:divBdr>
            <w:top w:val="none" w:sz="0" w:space="0" w:color="auto"/>
            <w:left w:val="none" w:sz="0" w:space="0" w:color="auto"/>
            <w:bottom w:val="none" w:sz="0" w:space="0" w:color="auto"/>
            <w:right w:val="none" w:sz="0" w:space="0" w:color="auto"/>
          </w:divBdr>
        </w:div>
        <w:div w:id="1947882516">
          <w:marLeft w:val="547"/>
          <w:marRight w:val="0"/>
          <w:marTop w:val="96"/>
          <w:marBottom w:val="0"/>
          <w:divBdr>
            <w:top w:val="none" w:sz="0" w:space="0" w:color="auto"/>
            <w:left w:val="none" w:sz="0" w:space="0" w:color="auto"/>
            <w:bottom w:val="none" w:sz="0" w:space="0" w:color="auto"/>
            <w:right w:val="none" w:sz="0" w:space="0" w:color="auto"/>
          </w:divBdr>
        </w:div>
      </w:divsChild>
    </w:div>
    <w:div w:id="940529835">
      <w:bodyDiv w:val="1"/>
      <w:marLeft w:val="0"/>
      <w:marRight w:val="0"/>
      <w:marTop w:val="0"/>
      <w:marBottom w:val="0"/>
      <w:divBdr>
        <w:top w:val="none" w:sz="0" w:space="0" w:color="auto"/>
        <w:left w:val="none" w:sz="0" w:space="0" w:color="auto"/>
        <w:bottom w:val="none" w:sz="0" w:space="0" w:color="auto"/>
        <w:right w:val="none" w:sz="0" w:space="0" w:color="auto"/>
      </w:divBdr>
    </w:div>
    <w:div w:id="989865813">
      <w:bodyDiv w:val="1"/>
      <w:marLeft w:val="0"/>
      <w:marRight w:val="0"/>
      <w:marTop w:val="0"/>
      <w:marBottom w:val="0"/>
      <w:divBdr>
        <w:top w:val="none" w:sz="0" w:space="0" w:color="auto"/>
        <w:left w:val="none" w:sz="0" w:space="0" w:color="auto"/>
        <w:bottom w:val="none" w:sz="0" w:space="0" w:color="auto"/>
        <w:right w:val="none" w:sz="0" w:space="0" w:color="auto"/>
      </w:divBdr>
    </w:div>
    <w:div w:id="1028067585">
      <w:bodyDiv w:val="1"/>
      <w:marLeft w:val="0"/>
      <w:marRight w:val="0"/>
      <w:marTop w:val="0"/>
      <w:marBottom w:val="0"/>
      <w:divBdr>
        <w:top w:val="none" w:sz="0" w:space="0" w:color="auto"/>
        <w:left w:val="none" w:sz="0" w:space="0" w:color="auto"/>
        <w:bottom w:val="none" w:sz="0" w:space="0" w:color="auto"/>
        <w:right w:val="none" w:sz="0" w:space="0" w:color="auto"/>
      </w:divBdr>
    </w:div>
    <w:div w:id="1032145036">
      <w:bodyDiv w:val="1"/>
      <w:marLeft w:val="0"/>
      <w:marRight w:val="0"/>
      <w:marTop w:val="0"/>
      <w:marBottom w:val="0"/>
      <w:divBdr>
        <w:top w:val="none" w:sz="0" w:space="0" w:color="auto"/>
        <w:left w:val="none" w:sz="0" w:space="0" w:color="auto"/>
        <w:bottom w:val="none" w:sz="0" w:space="0" w:color="auto"/>
        <w:right w:val="none" w:sz="0" w:space="0" w:color="auto"/>
      </w:divBdr>
      <w:divsChild>
        <w:div w:id="916210683">
          <w:marLeft w:val="547"/>
          <w:marRight w:val="0"/>
          <w:marTop w:val="91"/>
          <w:marBottom w:val="0"/>
          <w:divBdr>
            <w:top w:val="none" w:sz="0" w:space="0" w:color="auto"/>
            <w:left w:val="none" w:sz="0" w:space="0" w:color="auto"/>
            <w:bottom w:val="none" w:sz="0" w:space="0" w:color="auto"/>
            <w:right w:val="none" w:sz="0" w:space="0" w:color="auto"/>
          </w:divBdr>
        </w:div>
        <w:div w:id="1408724953">
          <w:marLeft w:val="547"/>
          <w:marRight w:val="0"/>
          <w:marTop w:val="91"/>
          <w:marBottom w:val="0"/>
          <w:divBdr>
            <w:top w:val="none" w:sz="0" w:space="0" w:color="auto"/>
            <w:left w:val="none" w:sz="0" w:space="0" w:color="auto"/>
            <w:bottom w:val="none" w:sz="0" w:space="0" w:color="auto"/>
            <w:right w:val="none" w:sz="0" w:space="0" w:color="auto"/>
          </w:divBdr>
        </w:div>
        <w:div w:id="408842421">
          <w:marLeft w:val="547"/>
          <w:marRight w:val="0"/>
          <w:marTop w:val="91"/>
          <w:marBottom w:val="0"/>
          <w:divBdr>
            <w:top w:val="none" w:sz="0" w:space="0" w:color="auto"/>
            <w:left w:val="none" w:sz="0" w:space="0" w:color="auto"/>
            <w:bottom w:val="none" w:sz="0" w:space="0" w:color="auto"/>
            <w:right w:val="none" w:sz="0" w:space="0" w:color="auto"/>
          </w:divBdr>
        </w:div>
        <w:div w:id="1843349354">
          <w:marLeft w:val="547"/>
          <w:marRight w:val="0"/>
          <w:marTop w:val="91"/>
          <w:marBottom w:val="0"/>
          <w:divBdr>
            <w:top w:val="none" w:sz="0" w:space="0" w:color="auto"/>
            <w:left w:val="none" w:sz="0" w:space="0" w:color="auto"/>
            <w:bottom w:val="none" w:sz="0" w:space="0" w:color="auto"/>
            <w:right w:val="none" w:sz="0" w:space="0" w:color="auto"/>
          </w:divBdr>
        </w:div>
      </w:divsChild>
    </w:div>
    <w:div w:id="1365519643">
      <w:bodyDiv w:val="1"/>
      <w:marLeft w:val="0"/>
      <w:marRight w:val="0"/>
      <w:marTop w:val="0"/>
      <w:marBottom w:val="0"/>
      <w:divBdr>
        <w:top w:val="none" w:sz="0" w:space="0" w:color="auto"/>
        <w:left w:val="none" w:sz="0" w:space="0" w:color="auto"/>
        <w:bottom w:val="none" w:sz="0" w:space="0" w:color="auto"/>
        <w:right w:val="none" w:sz="0" w:space="0" w:color="auto"/>
      </w:divBdr>
      <w:divsChild>
        <w:div w:id="1928296847">
          <w:marLeft w:val="547"/>
          <w:marRight w:val="0"/>
          <w:marTop w:val="96"/>
          <w:marBottom w:val="0"/>
          <w:divBdr>
            <w:top w:val="none" w:sz="0" w:space="0" w:color="auto"/>
            <w:left w:val="none" w:sz="0" w:space="0" w:color="auto"/>
            <w:bottom w:val="none" w:sz="0" w:space="0" w:color="auto"/>
            <w:right w:val="none" w:sz="0" w:space="0" w:color="auto"/>
          </w:divBdr>
        </w:div>
        <w:div w:id="985208387">
          <w:marLeft w:val="547"/>
          <w:marRight w:val="0"/>
          <w:marTop w:val="96"/>
          <w:marBottom w:val="0"/>
          <w:divBdr>
            <w:top w:val="none" w:sz="0" w:space="0" w:color="auto"/>
            <w:left w:val="none" w:sz="0" w:space="0" w:color="auto"/>
            <w:bottom w:val="none" w:sz="0" w:space="0" w:color="auto"/>
            <w:right w:val="none" w:sz="0" w:space="0" w:color="auto"/>
          </w:divBdr>
        </w:div>
        <w:div w:id="1256477997">
          <w:marLeft w:val="547"/>
          <w:marRight w:val="0"/>
          <w:marTop w:val="96"/>
          <w:marBottom w:val="0"/>
          <w:divBdr>
            <w:top w:val="none" w:sz="0" w:space="0" w:color="auto"/>
            <w:left w:val="none" w:sz="0" w:space="0" w:color="auto"/>
            <w:bottom w:val="none" w:sz="0" w:space="0" w:color="auto"/>
            <w:right w:val="none" w:sz="0" w:space="0" w:color="auto"/>
          </w:divBdr>
        </w:div>
      </w:divsChild>
    </w:div>
    <w:div w:id="1492523391">
      <w:bodyDiv w:val="1"/>
      <w:marLeft w:val="0"/>
      <w:marRight w:val="0"/>
      <w:marTop w:val="0"/>
      <w:marBottom w:val="0"/>
      <w:divBdr>
        <w:top w:val="none" w:sz="0" w:space="0" w:color="auto"/>
        <w:left w:val="none" w:sz="0" w:space="0" w:color="auto"/>
        <w:bottom w:val="none" w:sz="0" w:space="0" w:color="auto"/>
        <w:right w:val="none" w:sz="0" w:space="0" w:color="auto"/>
      </w:divBdr>
      <w:divsChild>
        <w:div w:id="1792085879">
          <w:marLeft w:val="547"/>
          <w:marRight w:val="0"/>
          <w:marTop w:val="96"/>
          <w:marBottom w:val="0"/>
          <w:divBdr>
            <w:top w:val="none" w:sz="0" w:space="0" w:color="auto"/>
            <w:left w:val="none" w:sz="0" w:space="0" w:color="auto"/>
            <w:bottom w:val="none" w:sz="0" w:space="0" w:color="auto"/>
            <w:right w:val="none" w:sz="0" w:space="0" w:color="auto"/>
          </w:divBdr>
        </w:div>
        <w:div w:id="2089812049">
          <w:marLeft w:val="547"/>
          <w:marRight w:val="0"/>
          <w:marTop w:val="96"/>
          <w:marBottom w:val="0"/>
          <w:divBdr>
            <w:top w:val="none" w:sz="0" w:space="0" w:color="auto"/>
            <w:left w:val="none" w:sz="0" w:space="0" w:color="auto"/>
            <w:bottom w:val="none" w:sz="0" w:space="0" w:color="auto"/>
            <w:right w:val="none" w:sz="0" w:space="0" w:color="auto"/>
          </w:divBdr>
        </w:div>
        <w:div w:id="1958178502">
          <w:marLeft w:val="547"/>
          <w:marRight w:val="0"/>
          <w:marTop w:val="96"/>
          <w:marBottom w:val="0"/>
          <w:divBdr>
            <w:top w:val="none" w:sz="0" w:space="0" w:color="auto"/>
            <w:left w:val="none" w:sz="0" w:space="0" w:color="auto"/>
            <w:bottom w:val="none" w:sz="0" w:space="0" w:color="auto"/>
            <w:right w:val="none" w:sz="0" w:space="0" w:color="auto"/>
          </w:divBdr>
        </w:div>
      </w:divsChild>
    </w:div>
    <w:div w:id="1637056086">
      <w:bodyDiv w:val="1"/>
      <w:marLeft w:val="0"/>
      <w:marRight w:val="0"/>
      <w:marTop w:val="0"/>
      <w:marBottom w:val="0"/>
      <w:divBdr>
        <w:top w:val="none" w:sz="0" w:space="0" w:color="auto"/>
        <w:left w:val="none" w:sz="0" w:space="0" w:color="auto"/>
        <w:bottom w:val="none" w:sz="0" w:space="0" w:color="auto"/>
        <w:right w:val="none" w:sz="0" w:space="0" w:color="auto"/>
      </w:divBdr>
    </w:div>
    <w:div w:id="1881894498">
      <w:bodyDiv w:val="1"/>
      <w:marLeft w:val="0"/>
      <w:marRight w:val="0"/>
      <w:marTop w:val="0"/>
      <w:marBottom w:val="0"/>
      <w:divBdr>
        <w:top w:val="none" w:sz="0" w:space="0" w:color="auto"/>
        <w:left w:val="none" w:sz="0" w:space="0" w:color="auto"/>
        <w:bottom w:val="none" w:sz="0" w:space="0" w:color="auto"/>
        <w:right w:val="none" w:sz="0" w:space="0" w:color="auto"/>
      </w:divBdr>
      <w:divsChild>
        <w:div w:id="1407652134">
          <w:marLeft w:val="547"/>
          <w:marRight w:val="0"/>
          <w:marTop w:val="96"/>
          <w:marBottom w:val="0"/>
          <w:divBdr>
            <w:top w:val="none" w:sz="0" w:space="0" w:color="auto"/>
            <w:left w:val="none" w:sz="0" w:space="0" w:color="auto"/>
            <w:bottom w:val="none" w:sz="0" w:space="0" w:color="auto"/>
            <w:right w:val="none" w:sz="0" w:space="0" w:color="auto"/>
          </w:divBdr>
        </w:div>
        <w:div w:id="679892555">
          <w:marLeft w:val="547"/>
          <w:marRight w:val="0"/>
          <w:marTop w:val="96"/>
          <w:marBottom w:val="0"/>
          <w:divBdr>
            <w:top w:val="none" w:sz="0" w:space="0" w:color="auto"/>
            <w:left w:val="none" w:sz="0" w:space="0" w:color="auto"/>
            <w:bottom w:val="none" w:sz="0" w:space="0" w:color="auto"/>
            <w:right w:val="none" w:sz="0" w:space="0" w:color="auto"/>
          </w:divBdr>
        </w:div>
        <w:div w:id="1618100479">
          <w:marLeft w:val="547"/>
          <w:marRight w:val="0"/>
          <w:marTop w:val="96"/>
          <w:marBottom w:val="0"/>
          <w:divBdr>
            <w:top w:val="none" w:sz="0" w:space="0" w:color="auto"/>
            <w:left w:val="none" w:sz="0" w:space="0" w:color="auto"/>
            <w:bottom w:val="none" w:sz="0" w:space="0" w:color="auto"/>
            <w:right w:val="none" w:sz="0" w:space="0" w:color="auto"/>
          </w:divBdr>
        </w:div>
        <w:div w:id="705250642">
          <w:marLeft w:val="547"/>
          <w:marRight w:val="0"/>
          <w:marTop w:val="96"/>
          <w:marBottom w:val="0"/>
          <w:divBdr>
            <w:top w:val="none" w:sz="0" w:space="0" w:color="auto"/>
            <w:left w:val="none" w:sz="0" w:space="0" w:color="auto"/>
            <w:bottom w:val="none" w:sz="0" w:space="0" w:color="auto"/>
            <w:right w:val="none" w:sz="0" w:space="0" w:color="auto"/>
          </w:divBdr>
        </w:div>
      </w:divsChild>
    </w:div>
    <w:div w:id="1979724806">
      <w:bodyDiv w:val="1"/>
      <w:marLeft w:val="0"/>
      <w:marRight w:val="0"/>
      <w:marTop w:val="0"/>
      <w:marBottom w:val="0"/>
      <w:divBdr>
        <w:top w:val="none" w:sz="0" w:space="0" w:color="auto"/>
        <w:left w:val="none" w:sz="0" w:space="0" w:color="auto"/>
        <w:bottom w:val="none" w:sz="0" w:space="0" w:color="auto"/>
        <w:right w:val="none" w:sz="0" w:space="0" w:color="auto"/>
      </w:divBdr>
      <w:divsChild>
        <w:div w:id="906460009">
          <w:marLeft w:val="547"/>
          <w:marRight w:val="0"/>
          <w:marTop w:val="96"/>
          <w:marBottom w:val="0"/>
          <w:divBdr>
            <w:top w:val="none" w:sz="0" w:space="0" w:color="auto"/>
            <w:left w:val="none" w:sz="0" w:space="0" w:color="auto"/>
            <w:bottom w:val="none" w:sz="0" w:space="0" w:color="auto"/>
            <w:right w:val="none" w:sz="0" w:space="0" w:color="auto"/>
          </w:divBdr>
        </w:div>
        <w:div w:id="905605976">
          <w:marLeft w:val="547"/>
          <w:marRight w:val="0"/>
          <w:marTop w:val="96"/>
          <w:marBottom w:val="0"/>
          <w:divBdr>
            <w:top w:val="none" w:sz="0" w:space="0" w:color="auto"/>
            <w:left w:val="none" w:sz="0" w:space="0" w:color="auto"/>
            <w:bottom w:val="none" w:sz="0" w:space="0" w:color="auto"/>
            <w:right w:val="none" w:sz="0" w:space="0" w:color="auto"/>
          </w:divBdr>
        </w:div>
        <w:div w:id="19204223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consilium.europa.eu/doc/document/ST-8151-2017-INIT/en/pdf" TargetMode="External"/><Relationship Id="rId13" Type="http://schemas.openxmlformats.org/officeDocument/2006/relationships/hyperlink" Target="http://www.seafish.org/media/1744388/dag_feb2018_ukloanalysis_seafish.pdf" TargetMode="External"/><Relationship Id="rId18" Type="http://schemas.openxmlformats.org/officeDocument/2006/relationships/image" Target="media/image3.png"/><Relationship Id="rId26" Type="http://schemas.openxmlformats.org/officeDocument/2006/relationships/hyperlink" Target="https://cert.msc.org/FileLoader/FileLinkDownload.asmx/GetFile?encryptedKey=a+hX5LhmZka94dLRxAEaOSjUY4ycQGBXtrUCBlZ4F8rBSYKCiQjwbJxHIMVJNcBl"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eafish.org/media/1744388/dag_feb2018_ukloanalysis_seafish.pdf" TargetMode="External"/><Relationship Id="rId17" Type="http://schemas.openxmlformats.org/officeDocument/2006/relationships/image" Target="media/image2.png"/><Relationship Id="rId25" Type="http://schemas.openxmlformats.org/officeDocument/2006/relationships/hyperlink" Target="https://fisheries.msc.org/en/fisheries/osprey-trawlers-north-sea-twin-rigged-plaice/@@assessment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s://fisheries.msc.org/en/fisheries/sfsag-northern-demersal-stocks/@@assessment-documentsets?documentset_name=Surveillance+report&amp;phase_name=Ongoing+surveillance&amp;start_date=2018-03-08&amp;title=Surveillance+Au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es.dk/sites/pub/Publication%20Reports/Advice/2018/2018/mix-ns.pdf" TargetMode="External"/><Relationship Id="rId24" Type="http://schemas.openxmlformats.org/officeDocument/2006/relationships/chart" Target="charts/chart2.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fc.uhi.ac.uk/t4-media/one-web/nafc/research/document/data-limited-fish-stocks-in-the-northern-north-sea-final.pdf" TargetMode="External"/><Relationship Id="rId23" Type="http://schemas.openxmlformats.org/officeDocument/2006/relationships/chart" Target="charts/chart1.xml"/><Relationship Id="rId28" Type="http://schemas.openxmlformats.org/officeDocument/2006/relationships/hyperlink" Target="https://www.nafc.uhi.ac.uk/t4-media/one-web/nafc/research/document/data-limited-fish-stocks-in-the-northern-north-sea-final.pdf" TargetMode="External"/><Relationship Id="rId36" Type="http://schemas.openxmlformats.org/officeDocument/2006/relationships/footer" Target="footer3.xml"/><Relationship Id="rId10" Type="http://schemas.openxmlformats.org/officeDocument/2006/relationships/hyperlink" Target="https://ec.europa.eu/transparency/regdoc/rep/3/2018/EN/C-2018-6793-F1-EN-MAIN-PART-1.PDF" TargetMode="External"/><Relationship Id="rId19" Type="http://schemas.openxmlformats.org/officeDocument/2006/relationships/image" Target="media/image4.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ta.consilium.europa.eu/doc/document/ST-8151-2017-INIT/en/pdf" TargetMode="External"/><Relationship Id="rId14" Type="http://schemas.openxmlformats.org/officeDocument/2006/relationships/hyperlink" Target="http://randd.defra.gov.uk/Default.aspx?Module=More&amp;Location=None&amp;ProjectID=19725" TargetMode="External"/><Relationship Id="rId22" Type="http://schemas.openxmlformats.org/officeDocument/2006/relationships/image" Target="media/image7.png"/><Relationship Id="rId27" Type="http://schemas.openxmlformats.org/officeDocument/2006/relationships/hyperlink" Target="https://webarchive.nationalarchives.gov.uk/20150204060540/http://www.cefas.defra.gov.uk/publications-and-data/scientific-series/fisheries-science-partnership-reports.aspx" TargetMode="External"/><Relationship Id="rId30" Type="http://schemas.openxmlformats.org/officeDocument/2006/relationships/hyperlink" Target="https://webarchive.nationalarchives.gov.uk/20150204060540/http://www.cefas.defra.gov.uk/publications-and-data/scientific-series/fisheries-science-partnership-reports.aspx" TargetMode="External"/><Relationship Id="rId35"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61083078900851"/>
          <c:y val="4.6770924467774859E-2"/>
          <c:w val="0.79742656728490169"/>
          <c:h val="0.79500055046242957"/>
        </c:manualLayout>
      </c:layout>
      <c:lineChart>
        <c:grouping val="standard"/>
        <c:varyColors val="0"/>
        <c:ser>
          <c:idx val="1"/>
          <c:order val="0"/>
          <c:tx>
            <c:strRef>
              <c:f>'Lemon sole data'!$E$1:$E$2</c:f>
              <c:strCache>
                <c:ptCount val="1"/>
                <c:pt idx="0">
                  <c:v>Whole weight (g)</c:v>
                </c:pt>
              </c:strCache>
            </c:strRef>
          </c:tx>
          <c:marker>
            <c:symbol val="none"/>
          </c:marker>
          <c:cat>
            <c:numRef>
              <c:f>'Lemon sole data'!$D$3:$D$33</c:f>
              <c:numCache>
                <c:formatCode>General</c:formatCode>
                <c:ptCount val="31"/>
                <c:pt idx="0">
                  <c:v>15</c:v>
                </c:pt>
                <c:pt idx="1">
                  <c:v>16</c:v>
                </c:pt>
                <c:pt idx="2">
                  <c:v>17</c:v>
                </c:pt>
                <c:pt idx="3">
                  <c:v>18</c:v>
                </c:pt>
                <c:pt idx="4">
                  <c:v>19</c:v>
                </c:pt>
                <c:pt idx="5">
                  <c:v>20</c:v>
                </c:pt>
                <c:pt idx="6">
                  <c:v>21</c:v>
                </c:pt>
                <c:pt idx="7">
                  <c:v>22</c:v>
                </c:pt>
                <c:pt idx="8">
                  <c:v>23</c:v>
                </c:pt>
                <c:pt idx="9">
                  <c:v>24</c:v>
                </c:pt>
                <c:pt idx="10">
                  <c:v>25</c:v>
                </c:pt>
                <c:pt idx="11">
                  <c:v>26</c:v>
                </c:pt>
                <c:pt idx="12">
                  <c:v>27</c:v>
                </c:pt>
                <c:pt idx="13">
                  <c:v>28</c:v>
                </c:pt>
                <c:pt idx="14">
                  <c:v>29</c:v>
                </c:pt>
                <c:pt idx="15">
                  <c:v>30</c:v>
                </c:pt>
                <c:pt idx="16">
                  <c:v>31</c:v>
                </c:pt>
                <c:pt idx="17">
                  <c:v>32</c:v>
                </c:pt>
                <c:pt idx="18">
                  <c:v>33</c:v>
                </c:pt>
                <c:pt idx="19">
                  <c:v>34</c:v>
                </c:pt>
                <c:pt idx="20">
                  <c:v>35</c:v>
                </c:pt>
                <c:pt idx="21">
                  <c:v>36</c:v>
                </c:pt>
                <c:pt idx="22">
                  <c:v>37</c:v>
                </c:pt>
                <c:pt idx="23">
                  <c:v>38</c:v>
                </c:pt>
                <c:pt idx="24">
                  <c:v>39</c:v>
                </c:pt>
                <c:pt idx="25">
                  <c:v>40</c:v>
                </c:pt>
                <c:pt idx="26">
                  <c:v>41</c:v>
                </c:pt>
                <c:pt idx="27">
                  <c:v>42</c:v>
                </c:pt>
                <c:pt idx="28">
                  <c:v>43</c:v>
                </c:pt>
                <c:pt idx="29">
                  <c:v>44</c:v>
                </c:pt>
                <c:pt idx="30">
                  <c:v>45</c:v>
                </c:pt>
              </c:numCache>
            </c:numRef>
          </c:cat>
          <c:val>
            <c:numRef>
              <c:f>'Lemon sole data'!$E$3:$E$33</c:f>
              <c:numCache>
                <c:formatCode>0</c:formatCode>
                <c:ptCount val="31"/>
                <c:pt idx="0">
                  <c:v>35.018900903638254</c:v>
                </c:pt>
                <c:pt idx="1">
                  <c:v>42.88599654438481</c:v>
                </c:pt>
                <c:pt idx="2">
                  <c:v>51.87892958593455</c:v>
                </c:pt>
                <c:pt idx="3">
                  <c:v>62.078260925166731</c:v>
                </c:pt>
                <c:pt idx="4">
                  <c:v>73.56521881174956</c:v>
                </c:pt>
                <c:pt idx="5">
                  <c:v>86.421666776855474</c:v>
                </c:pt>
                <c:pt idx="6">
                  <c:v>100.73007472213234</c:v>
                </c:pt>
                <c:pt idx="7">
                  <c:v>116.57349271378602</c:v>
                </c:pt>
                <c:pt idx="8">
                  <c:v>134.03552711092632</c:v>
                </c:pt>
                <c:pt idx="9">
                  <c:v>153.20031872285503</c:v>
                </c:pt>
                <c:pt idx="10">
                  <c:v>174.15252274154651</c:v>
                </c:pt>
                <c:pt idx="11">
                  <c:v>196.97729023664326</c:v>
                </c:pt>
                <c:pt idx="12">
                  <c:v>221.76025103330204</c:v>
                </c:pt>
                <c:pt idx="13">
                  <c:v>248.58749782005435</c:v>
                </c:pt>
                <c:pt idx="14">
                  <c:v>277.54557135579955</c:v>
                </c:pt>
                <c:pt idx="15">
                  <c:v>308.7214466631803</c:v>
                </c:pt>
                <c:pt idx="16">
                  <c:v>342.20252011067146</c:v>
                </c:pt>
                <c:pt idx="17">
                  <c:v>378.07659729832039</c:v>
                </c:pt>
                <c:pt idx="18">
                  <c:v>416.43188167273092</c:v>
                </c:pt>
                <c:pt idx="19">
                  <c:v>457.35696380587996</c:v>
                </c:pt>
                <c:pt idx="20">
                  <c:v>500.94081128003785</c:v>
                </c:pt>
                <c:pt idx="21">
                  <c:v>547.27275912764946</c:v>
                </c:pt>
                <c:pt idx="22">
                  <c:v>596.44250078067705</c:v>
                </c:pt>
                <c:pt idx="23">
                  <c:v>648.54007948882179</c:v>
                </c:pt>
                <c:pt idx="24">
                  <c:v>703.65588017026448</c:v>
                </c:pt>
                <c:pt idx="25">
                  <c:v>761.88062166229247</c:v>
                </c:pt>
                <c:pt idx="26">
                  <c:v>823.30534934239995</c:v>
                </c:pt>
                <c:pt idx="27">
                  <c:v>888.02142809330996</c:v>
                </c:pt>
                <c:pt idx="28">
                  <c:v>956.12053558787181</c:v>
                </c:pt>
                <c:pt idx="29">
                  <c:v>1027.6946558719851</c:v>
                </c:pt>
                <c:pt idx="30">
                  <c:v>1102.836073225694</c:v>
                </c:pt>
              </c:numCache>
            </c:numRef>
          </c:val>
          <c:smooth val="0"/>
          <c:extLst>
            <c:ext xmlns:c16="http://schemas.microsoft.com/office/drawing/2014/chart" uri="{C3380CC4-5D6E-409C-BE32-E72D297353CC}">
              <c16:uniqueId val="{00000000-3621-4C1C-830D-863DBA5E32DA}"/>
            </c:ext>
          </c:extLst>
        </c:ser>
        <c:ser>
          <c:idx val="2"/>
          <c:order val="1"/>
          <c:tx>
            <c:strRef>
              <c:f>'Lemon sole data'!$F$1:$F$2</c:f>
              <c:strCache>
                <c:ptCount val="1"/>
                <c:pt idx="0">
                  <c:v>Gutted weight (g)</c:v>
                </c:pt>
              </c:strCache>
            </c:strRef>
          </c:tx>
          <c:marker>
            <c:symbol val="none"/>
          </c:marker>
          <c:cat>
            <c:numRef>
              <c:f>'Lemon sole data'!$D$3:$D$33</c:f>
              <c:numCache>
                <c:formatCode>General</c:formatCode>
                <c:ptCount val="31"/>
                <c:pt idx="0">
                  <c:v>15</c:v>
                </c:pt>
                <c:pt idx="1">
                  <c:v>16</c:v>
                </c:pt>
                <c:pt idx="2">
                  <c:v>17</c:v>
                </c:pt>
                <c:pt idx="3">
                  <c:v>18</c:v>
                </c:pt>
                <c:pt idx="4">
                  <c:v>19</c:v>
                </c:pt>
                <c:pt idx="5">
                  <c:v>20</c:v>
                </c:pt>
                <c:pt idx="6">
                  <c:v>21</c:v>
                </c:pt>
                <c:pt idx="7">
                  <c:v>22</c:v>
                </c:pt>
                <c:pt idx="8">
                  <c:v>23</c:v>
                </c:pt>
                <c:pt idx="9">
                  <c:v>24</c:v>
                </c:pt>
                <c:pt idx="10">
                  <c:v>25</c:v>
                </c:pt>
                <c:pt idx="11">
                  <c:v>26</c:v>
                </c:pt>
                <c:pt idx="12">
                  <c:v>27</c:v>
                </c:pt>
                <c:pt idx="13">
                  <c:v>28</c:v>
                </c:pt>
                <c:pt idx="14">
                  <c:v>29</c:v>
                </c:pt>
                <c:pt idx="15">
                  <c:v>30</c:v>
                </c:pt>
                <c:pt idx="16">
                  <c:v>31</c:v>
                </c:pt>
                <c:pt idx="17">
                  <c:v>32</c:v>
                </c:pt>
                <c:pt idx="18">
                  <c:v>33</c:v>
                </c:pt>
                <c:pt idx="19">
                  <c:v>34</c:v>
                </c:pt>
                <c:pt idx="20">
                  <c:v>35</c:v>
                </c:pt>
                <c:pt idx="21">
                  <c:v>36</c:v>
                </c:pt>
                <c:pt idx="22">
                  <c:v>37</c:v>
                </c:pt>
                <c:pt idx="23">
                  <c:v>38</c:v>
                </c:pt>
                <c:pt idx="24">
                  <c:v>39</c:v>
                </c:pt>
                <c:pt idx="25">
                  <c:v>40</c:v>
                </c:pt>
                <c:pt idx="26">
                  <c:v>41</c:v>
                </c:pt>
                <c:pt idx="27">
                  <c:v>42</c:v>
                </c:pt>
                <c:pt idx="28">
                  <c:v>43</c:v>
                </c:pt>
                <c:pt idx="29">
                  <c:v>44</c:v>
                </c:pt>
                <c:pt idx="30">
                  <c:v>45</c:v>
                </c:pt>
              </c:numCache>
            </c:numRef>
          </c:cat>
          <c:val>
            <c:numRef>
              <c:f>'Lemon sole data'!$F$3:$F$33</c:f>
              <c:numCache>
                <c:formatCode>0</c:formatCode>
                <c:ptCount val="31"/>
                <c:pt idx="0">
                  <c:v>33.053517863481986</c:v>
                </c:pt>
                <c:pt idx="1">
                  <c:v>40.523520813635791</c:v>
                </c:pt>
                <c:pt idx="2">
                  <c:v>49.07160509621346</c:v>
                </c:pt>
                <c:pt idx="3">
                  <c:v>58.776104616641277</c:v>
                </c:pt>
                <c:pt idx="4">
                  <c:v>69.7160812784754</c:v>
                </c:pt>
                <c:pt idx="5">
                  <c:v>81.971290673374497</c:v>
                </c:pt>
                <c:pt idx="6">
                  <c:v>95.622151122520094</c:v>
                </c:pt>
                <c:pt idx="7">
                  <c:v>110.74971558946825</c:v>
                </c:pt>
                <c:pt idx="8">
                  <c:v>127.43564607296398</c:v>
                </c:pt>
                <c:pt idx="9">
                  <c:v>145.76219015714261</c:v>
                </c:pt>
                <c:pt idx="10">
                  <c:v>165.81215945081138</c:v>
                </c:pt>
                <c:pt idx="11">
                  <c:v>187.6689096907495</c:v>
                </c:pt>
                <c:pt idx="12">
                  <c:v>211.41632231876875</c:v>
                </c:pt>
                <c:pt idx="13">
                  <c:v>237.13878737056535</c:v>
                </c:pt>
                <c:pt idx="14">
                  <c:v>264.92118753755932</c:v>
                </c:pt>
                <c:pt idx="15">
                  <c:v>294.84888328208456</c:v>
                </c:pt>
                <c:pt idx="16">
                  <c:v>327.00769890220732</c:v>
                </c:pt>
                <c:pt idx="17">
                  <c:v>361.48390945580712</c:v>
                </c:pt>
                <c:pt idx="18">
                  <c:v>398.36422846480536</c:v>
                </c:pt>
                <c:pt idx="19">
                  <c:v>437.73579632996359</c:v>
                </c:pt>
                <c:pt idx="20">
                  <c:v>479.68616939481785</c:v>
                </c:pt>
                <c:pt idx="21">
                  <c:v>524.30330960427489</c:v>
                </c:pt>
                <c:pt idx="22">
                  <c:v>571.67557470940255</c:v>
                </c:pt>
                <c:pt idx="23">
                  <c:v>621.89170897515157</c:v>
                </c:pt>
                <c:pt idx="24">
                  <c:v>675.04083435222856</c:v>
                </c:pt>
                <c:pt idx="25">
                  <c:v>731.2124420783075</c:v>
                </c:pt>
                <c:pt idx="26">
                  <c:v>790.49638467717443</c:v>
                </c:pt>
                <c:pt idx="27">
                  <c:v>852.98286832745771</c:v>
                </c:pt>
                <c:pt idx="28">
                  <c:v>918.76244557523398</c:v>
                </c:pt>
                <c:pt idx="29">
                  <c:v>987.92600836718111</c:v>
                </c:pt>
                <c:pt idx="30">
                  <c:v>1060.564781383029</c:v>
                </c:pt>
              </c:numCache>
            </c:numRef>
          </c:val>
          <c:smooth val="0"/>
          <c:extLst>
            <c:ext xmlns:c16="http://schemas.microsoft.com/office/drawing/2014/chart" uri="{C3380CC4-5D6E-409C-BE32-E72D297353CC}">
              <c16:uniqueId val="{00000001-3621-4C1C-830D-863DBA5E32DA}"/>
            </c:ext>
          </c:extLst>
        </c:ser>
        <c:dLbls>
          <c:showLegendKey val="0"/>
          <c:showVal val="0"/>
          <c:showCatName val="0"/>
          <c:showSerName val="0"/>
          <c:showPercent val="0"/>
          <c:showBubbleSize val="0"/>
        </c:dLbls>
        <c:smooth val="0"/>
        <c:axId val="76078464"/>
        <c:axId val="105432576"/>
      </c:lineChart>
      <c:catAx>
        <c:axId val="76078464"/>
        <c:scaling>
          <c:orientation val="minMax"/>
        </c:scaling>
        <c:delete val="0"/>
        <c:axPos val="b"/>
        <c:title>
          <c:tx>
            <c:rich>
              <a:bodyPr/>
              <a:lstStyle/>
              <a:p>
                <a:pPr>
                  <a:defRPr/>
                </a:pPr>
                <a:r>
                  <a:rPr lang="en-GB"/>
                  <a:t>Length</a:t>
                </a:r>
                <a:r>
                  <a:rPr lang="en-GB" baseline="0"/>
                  <a:t> (cm)</a:t>
                </a:r>
                <a:endParaRPr lang="en-GB"/>
              </a:p>
            </c:rich>
          </c:tx>
          <c:layout>
            <c:manualLayout>
              <c:xMode val="edge"/>
              <c:yMode val="edge"/>
              <c:x val="0.53908592155894597"/>
              <c:y val="0.90902070020062642"/>
            </c:manualLayout>
          </c:layout>
          <c:overlay val="0"/>
        </c:title>
        <c:numFmt formatCode="General" sourceLinked="1"/>
        <c:majorTickMark val="out"/>
        <c:minorTickMark val="none"/>
        <c:tickLblPos val="nextTo"/>
        <c:crossAx val="105432576"/>
        <c:crosses val="autoZero"/>
        <c:auto val="1"/>
        <c:lblAlgn val="ctr"/>
        <c:lblOffset val="100"/>
        <c:noMultiLvlLbl val="0"/>
      </c:catAx>
      <c:valAx>
        <c:axId val="105432576"/>
        <c:scaling>
          <c:orientation val="minMax"/>
        </c:scaling>
        <c:delete val="0"/>
        <c:axPos val="l"/>
        <c:title>
          <c:tx>
            <c:rich>
              <a:bodyPr rot="-5400000" vert="horz"/>
              <a:lstStyle/>
              <a:p>
                <a:pPr>
                  <a:defRPr/>
                </a:pPr>
                <a:r>
                  <a:rPr lang="en-GB"/>
                  <a:t>Weight (g)</a:t>
                </a:r>
              </a:p>
            </c:rich>
          </c:tx>
          <c:overlay val="0"/>
        </c:title>
        <c:numFmt formatCode="0" sourceLinked="1"/>
        <c:majorTickMark val="out"/>
        <c:minorTickMark val="none"/>
        <c:tickLblPos val="nextTo"/>
        <c:crossAx val="76078464"/>
        <c:crosses val="autoZero"/>
        <c:crossBetween val="midCat"/>
      </c:valAx>
    </c:plotArea>
    <c:legend>
      <c:legendPos val="r"/>
      <c:layout>
        <c:manualLayout>
          <c:xMode val="edge"/>
          <c:yMode val="edge"/>
          <c:x val="3.7311624312033442E-2"/>
          <c:y val="0.90099270607639836"/>
          <c:w val="0.44413322983785403"/>
          <c:h val="7.5584662685015847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03068067973968"/>
          <c:y val="4.6770924467774859E-2"/>
          <c:w val="0.81571071775335358"/>
          <c:h val="0.79500055046242957"/>
        </c:manualLayout>
      </c:layout>
      <c:lineChart>
        <c:grouping val="standard"/>
        <c:varyColors val="0"/>
        <c:ser>
          <c:idx val="1"/>
          <c:order val="0"/>
          <c:tx>
            <c:strRef>
              <c:f>'Plaice data'!$E$1:$E$2</c:f>
              <c:strCache>
                <c:ptCount val="1"/>
                <c:pt idx="0">
                  <c:v>Whole weight (g)</c:v>
                </c:pt>
              </c:strCache>
            </c:strRef>
          </c:tx>
          <c:marker>
            <c:symbol val="none"/>
          </c:marker>
          <c:cat>
            <c:numRef>
              <c:f>'Plaice data'!$D$3:$D$48</c:f>
              <c:numCache>
                <c:formatCode>General</c:formatCode>
                <c:ptCount val="46"/>
                <c:pt idx="0">
                  <c:v>15</c:v>
                </c:pt>
                <c:pt idx="1">
                  <c:v>16</c:v>
                </c:pt>
                <c:pt idx="2">
                  <c:v>17</c:v>
                </c:pt>
                <c:pt idx="3">
                  <c:v>18</c:v>
                </c:pt>
                <c:pt idx="4">
                  <c:v>19</c:v>
                </c:pt>
                <c:pt idx="5">
                  <c:v>20</c:v>
                </c:pt>
                <c:pt idx="6">
                  <c:v>21</c:v>
                </c:pt>
                <c:pt idx="7">
                  <c:v>22</c:v>
                </c:pt>
                <c:pt idx="8">
                  <c:v>23</c:v>
                </c:pt>
                <c:pt idx="9">
                  <c:v>24</c:v>
                </c:pt>
                <c:pt idx="10">
                  <c:v>25</c:v>
                </c:pt>
                <c:pt idx="11">
                  <c:v>26</c:v>
                </c:pt>
                <c:pt idx="12">
                  <c:v>27</c:v>
                </c:pt>
                <c:pt idx="13">
                  <c:v>28</c:v>
                </c:pt>
                <c:pt idx="14">
                  <c:v>29</c:v>
                </c:pt>
                <c:pt idx="15">
                  <c:v>30</c:v>
                </c:pt>
                <c:pt idx="16">
                  <c:v>31</c:v>
                </c:pt>
                <c:pt idx="17">
                  <c:v>32</c:v>
                </c:pt>
                <c:pt idx="18">
                  <c:v>33</c:v>
                </c:pt>
                <c:pt idx="19">
                  <c:v>34</c:v>
                </c:pt>
                <c:pt idx="20">
                  <c:v>35</c:v>
                </c:pt>
                <c:pt idx="21">
                  <c:v>36</c:v>
                </c:pt>
                <c:pt idx="22">
                  <c:v>37</c:v>
                </c:pt>
                <c:pt idx="23">
                  <c:v>38</c:v>
                </c:pt>
                <c:pt idx="24">
                  <c:v>39</c:v>
                </c:pt>
                <c:pt idx="25">
                  <c:v>40</c:v>
                </c:pt>
                <c:pt idx="26">
                  <c:v>41</c:v>
                </c:pt>
                <c:pt idx="27">
                  <c:v>42</c:v>
                </c:pt>
                <c:pt idx="28">
                  <c:v>43</c:v>
                </c:pt>
                <c:pt idx="29">
                  <c:v>44</c:v>
                </c:pt>
                <c:pt idx="30">
                  <c:v>45</c:v>
                </c:pt>
                <c:pt idx="31">
                  <c:v>46</c:v>
                </c:pt>
                <c:pt idx="32">
                  <c:v>47</c:v>
                </c:pt>
                <c:pt idx="33">
                  <c:v>48</c:v>
                </c:pt>
                <c:pt idx="34">
                  <c:v>49</c:v>
                </c:pt>
                <c:pt idx="35">
                  <c:v>50</c:v>
                </c:pt>
                <c:pt idx="36">
                  <c:v>51</c:v>
                </c:pt>
                <c:pt idx="37">
                  <c:v>52</c:v>
                </c:pt>
                <c:pt idx="38">
                  <c:v>53</c:v>
                </c:pt>
                <c:pt idx="39">
                  <c:v>54</c:v>
                </c:pt>
                <c:pt idx="40">
                  <c:v>55</c:v>
                </c:pt>
                <c:pt idx="41">
                  <c:v>56</c:v>
                </c:pt>
                <c:pt idx="42">
                  <c:v>57</c:v>
                </c:pt>
                <c:pt idx="43">
                  <c:v>58</c:v>
                </c:pt>
                <c:pt idx="44">
                  <c:v>59</c:v>
                </c:pt>
                <c:pt idx="45">
                  <c:v>60</c:v>
                </c:pt>
              </c:numCache>
            </c:numRef>
          </c:cat>
          <c:val>
            <c:numRef>
              <c:f>'Plaice data'!$E$3:$E$48</c:f>
              <c:numCache>
                <c:formatCode>0</c:formatCode>
                <c:ptCount val="46"/>
                <c:pt idx="0">
                  <c:v>30.780512025661107</c:v>
                </c:pt>
                <c:pt idx="1">
                  <c:v>37.792879594045672</c:v>
                </c:pt>
                <c:pt idx="2">
                  <c:v>45.828816486288616</c:v>
                </c:pt>
                <c:pt idx="3">
                  <c:v>54.964226483752633</c:v>
                </c:pt>
                <c:pt idx="4">
                  <c:v>65.275822589046896</c:v>
                </c:pt>
                <c:pt idx="5">
                  <c:v>76.841089905341136</c:v>
                </c:pt>
                <c:pt idx="6">
                  <c:v>89.738252098579366</c:v>
                </c:pt>
                <c:pt idx="7">
                  <c:v>104.04624093328346</c:v>
                </c:pt>
                <c:pt idx="8">
                  <c:v>119.84466846608042</c:v>
                </c:pt>
                <c:pt idx="9">
                  <c:v>137.21380155387013</c:v>
                </c:pt>
                <c:pt idx="10">
                  <c:v>156.23453839095609</c:v>
                </c:pt>
                <c:pt idx="11">
                  <c:v>176.98838683525648</c:v>
                </c:pt>
                <c:pt idx="12">
                  <c:v>199.55744432059163</c:v>
                </c:pt>
                <c:pt idx="13">
                  <c:v>224.02437918207403</c:v>
                </c:pt>
                <c:pt idx="14">
                  <c:v>250.47241324622667</c:v>
                </c:pt>
                <c:pt idx="15">
                  <c:v>278.98530555781531</c:v>
                </c:pt>
                <c:pt idx="16">
                  <c:v>309.64733713233875</c:v>
                </c:pt>
                <c:pt idx="17">
                  <c:v>342.54329663731824</c:v>
                </c:pt>
                <c:pt idx="18">
                  <c:v>377.75846691753509</c:v>
                </c:pt>
                <c:pt idx="19">
                  <c:v>415.37861228952909</c:v>
                </c:pt>
                <c:pt idx="20">
                  <c:v>455.48996653936166</c:v>
                </c:pt>
                <c:pt idx="21">
                  <c:v>498.17922156508837</c:v>
                </c:pt>
                <c:pt idx="22">
                  <c:v>543.53351661180579</c:v>
                </c:pt>
                <c:pt idx="23">
                  <c:v>591.64042805268616</c:v>
                </c:pt>
                <c:pt idx="24">
                  <c:v>642.5879596742509</c:v>
                </c:pt>
                <c:pt idx="25">
                  <c:v>696.46453342832979</c:v>
                </c:pt>
                <c:pt idx="26">
                  <c:v>753.35898061686487</c:v>
                </c:pt>
                <c:pt idx="27">
                  <c:v>813.36053347893289</c:v>
                </c:pt>
                <c:pt idx="28">
                  <c:v>876.55881715226201</c:v>
                </c:pt>
                <c:pt idx="29">
                  <c:v>943.04384198399964</c:v>
                </c:pt>
                <c:pt idx="30">
                  <c:v>1012.9059961677806</c:v>
                </c:pt>
                <c:pt idx="31">
                  <c:v>1086.2360386861192</c:v>
                </c:pt>
                <c:pt idx="32">
                  <c:v>1163.1250925389361</c:v>
                </c:pt>
                <c:pt idx="33">
                  <c:v>1243.6646382406529</c:v>
                </c:pt>
                <c:pt idx="34">
                  <c:v>1327.9465075696642</c:v>
                </c:pt>
                <c:pt idx="35">
                  <c:v>1416.062877555365</c:v>
                </c:pt>
                <c:pt idx="36">
                  <c:v>1508.1062646889989</c:v>
                </c:pt>
                <c:pt idx="37">
                  <c:v>1604.1695193456874</c:v>
                </c:pt>
                <c:pt idx="38">
                  <c:v>1704.3458204059323</c:v>
                </c:pt>
                <c:pt idx="39">
                  <c:v>1808.7286700657576</c:v>
                </c:pt>
                <c:pt idx="40">
                  <c:v>1917.4118888254213</c:v>
                </c:pt>
                <c:pt idx="41">
                  <c:v>2030.4896106473607</c:v>
                </c:pt>
                <c:pt idx="42">
                  <c:v>2148.0562782746592</c:v>
                </c:pt>
                <c:pt idx="43">
                  <c:v>2270.2066387019786</c:v>
                </c:pt>
                <c:pt idx="44">
                  <c:v>2397.0357387913464</c:v>
                </c:pt>
                <c:pt idx="45">
                  <c:v>2528.6389210257416</c:v>
                </c:pt>
              </c:numCache>
            </c:numRef>
          </c:val>
          <c:smooth val="0"/>
          <c:extLst>
            <c:ext xmlns:c16="http://schemas.microsoft.com/office/drawing/2014/chart" uri="{C3380CC4-5D6E-409C-BE32-E72D297353CC}">
              <c16:uniqueId val="{00000000-B065-40E9-9818-79C0C7784357}"/>
            </c:ext>
          </c:extLst>
        </c:ser>
        <c:ser>
          <c:idx val="2"/>
          <c:order val="1"/>
          <c:tx>
            <c:strRef>
              <c:f>'Plaice data'!$F$1:$F$2</c:f>
              <c:strCache>
                <c:ptCount val="1"/>
                <c:pt idx="0">
                  <c:v>Gutted weight (g)</c:v>
                </c:pt>
              </c:strCache>
            </c:strRef>
          </c:tx>
          <c:marker>
            <c:symbol val="none"/>
          </c:marker>
          <c:cat>
            <c:numRef>
              <c:f>'Plaice data'!$D$3:$D$48</c:f>
              <c:numCache>
                <c:formatCode>General</c:formatCode>
                <c:ptCount val="46"/>
                <c:pt idx="0">
                  <c:v>15</c:v>
                </c:pt>
                <c:pt idx="1">
                  <c:v>16</c:v>
                </c:pt>
                <c:pt idx="2">
                  <c:v>17</c:v>
                </c:pt>
                <c:pt idx="3">
                  <c:v>18</c:v>
                </c:pt>
                <c:pt idx="4">
                  <c:v>19</c:v>
                </c:pt>
                <c:pt idx="5">
                  <c:v>20</c:v>
                </c:pt>
                <c:pt idx="6">
                  <c:v>21</c:v>
                </c:pt>
                <c:pt idx="7">
                  <c:v>22</c:v>
                </c:pt>
                <c:pt idx="8">
                  <c:v>23</c:v>
                </c:pt>
                <c:pt idx="9">
                  <c:v>24</c:v>
                </c:pt>
                <c:pt idx="10">
                  <c:v>25</c:v>
                </c:pt>
                <c:pt idx="11">
                  <c:v>26</c:v>
                </c:pt>
                <c:pt idx="12">
                  <c:v>27</c:v>
                </c:pt>
                <c:pt idx="13">
                  <c:v>28</c:v>
                </c:pt>
                <c:pt idx="14">
                  <c:v>29</c:v>
                </c:pt>
                <c:pt idx="15">
                  <c:v>30</c:v>
                </c:pt>
                <c:pt idx="16">
                  <c:v>31</c:v>
                </c:pt>
                <c:pt idx="17">
                  <c:v>32</c:v>
                </c:pt>
                <c:pt idx="18">
                  <c:v>33</c:v>
                </c:pt>
                <c:pt idx="19">
                  <c:v>34</c:v>
                </c:pt>
                <c:pt idx="20">
                  <c:v>35</c:v>
                </c:pt>
                <c:pt idx="21">
                  <c:v>36</c:v>
                </c:pt>
                <c:pt idx="22">
                  <c:v>37</c:v>
                </c:pt>
                <c:pt idx="23">
                  <c:v>38</c:v>
                </c:pt>
                <c:pt idx="24">
                  <c:v>39</c:v>
                </c:pt>
                <c:pt idx="25">
                  <c:v>40</c:v>
                </c:pt>
                <c:pt idx="26">
                  <c:v>41</c:v>
                </c:pt>
                <c:pt idx="27">
                  <c:v>42</c:v>
                </c:pt>
                <c:pt idx="28">
                  <c:v>43</c:v>
                </c:pt>
                <c:pt idx="29">
                  <c:v>44</c:v>
                </c:pt>
                <c:pt idx="30">
                  <c:v>45</c:v>
                </c:pt>
                <c:pt idx="31">
                  <c:v>46</c:v>
                </c:pt>
                <c:pt idx="32">
                  <c:v>47</c:v>
                </c:pt>
                <c:pt idx="33">
                  <c:v>48</c:v>
                </c:pt>
                <c:pt idx="34">
                  <c:v>49</c:v>
                </c:pt>
                <c:pt idx="35">
                  <c:v>50</c:v>
                </c:pt>
                <c:pt idx="36">
                  <c:v>51</c:v>
                </c:pt>
                <c:pt idx="37">
                  <c:v>52</c:v>
                </c:pt>
                <c:pt idx="38">
                  <c:v>53</c:v>
                </c:pt>
                <c:pt idx="39">
                  <c:v>54</c:v>
                </c:pt>
                <c:pt idx="40">
                  <c:v>55</c:v>
                </c:pt>
                <c:pt idx="41">
                  <c:v>56</c:v>
                </c:pt>
                <c:pt idx="42">
                  <c:v>57</c:v>
                </c:pt>
                <c:pt idx="43">
                  <c:v>58</c:v>
                </c:pt>
                <c:pt idx="44">
                  <c:v>59</c:v>
                </c:pt>
                <c:pt idx="45">
                  <c:v>60</c:v>
                </c:pt>
              </c:numCache>
            </c:numRef>
          </c:cat>
          <c:val>
            <c:numRef>
              <c:f>'Plaice data'!$F$3:$F$48</c:f>
              <c:numCache>
                <c:formatCode>0</c:formatCode>
                <c:ptCount val="46"/>
                <c:pt idx="0">
                  <c:v>29.202643362268166</c:v>
                </c:pt>
                <c:pt idx="1">
                  <c:v>35.85762610511312</c:v>
                </c:pt>
                <c:pt idx="2">
                  <c:v>43.484440698528203</c:v>
                </c:pt>
                <c:pt idx="3">
                  <c:v>52.15521119248811</c:v>
                </c:pt>
                <c:pt idx="4">
                  <c:v>61.94283442434358</c:v>
                </c:pt>
                <c:pt idx="5">
                  <c:v>72.920944607475619</c:v>
                </c:pt>
                <c:pt idx="6">
                  <c:v>85.163881336252871</c:v>
                </c:pt>
                <c:pt idx="7">
                  <c:v>98.746660521809503</c:v>
                </c:pt>
                <c:pt idx="8">
                  <c:v>113.74494786221086</c:v>
                </c:pt>
                <c:pt idx="9">
                  <c:v>130.23503451994455</c:v>
                </c:pt>
                <c:pt idx="10">
                  <c:v>148.29381473438599</c:v>
                </c:pt>
                <c:pt idx="11">
                  <c:v>167.99876514053292</c:v>
                </c:pt>
                <c:pt idx="12">
                  <c:v>189.42792560046612</c:v>
                </c:pt>
                <c:pt idx="13">
                  <c:v>212.65988138260695</c:v>
                </c:pt>
                <c:pt idx="14">
                  <c:v>237.77374654729738</c:v>
                </c:pt>
                <c:pt idx="15">
                  <c:v>264.84914841664221</c:v>
                </c:pt>
                <c:pt idx="16">
                  <c:v>293.96621302270245</c:v>
                </c:pt>
                <c:pt idx="17">
                  <c:v>325.20555144169424</c:v>
                </c:pt>
                <c:pt idx="18">
                  <c:v>358.64824693325897</c:v>
                </c:pt>
                <c:pt idx="19">
                  <c:v>394.3758428135892</c:v>
                </c:pt>
                <c:pt idx="20">
                  <c:v>432.47033099946748</c:v>
                </c:pt>
                <c:pt idx="21">
                  <c:v>473.01414116738124</c:v>
                </c:pt>
                <c:pt idx="22">
                  <c:v>516.09013047797282</c:v>
                </c:pt>
                <c:pt idx="23">
                  <c:v>561.78157382141353</c:v>
                </c:pt>
                <c:pt idx="24">
                  <c:v>610.17215454386928</c:v>
                </c:pt>
                <c:pt idx="25">
                  <c:v>661.34595561923857</c:v>
                </c:pt>
                <c:pt idx="26">
                  <c:v>715.3874512338939</c:v>
                </c:pt>
                <c:pt idx="27">
                  <c:v>772.38149875520776</c:v>
                </c:pt>
                <c:pt idx="28">
                  <c:v>832.4133310574108</c:v>
                </c:pt>
                <c:pt idx="29">
                  <c:v>895.5685491807177</c:v>
                </c:pt>
                <c:pt idx="30">
                  <c:v>961.93311530181802</c:v>
                </c:pt>
                <c:pt idx="31">
                  <c:v>1031.593345995718</c:v>
                </c:pt>
                <c:pt idx="32">
                  <c:v>1104.6359057706438</c:v>
                </c:pt>
                <c:pt idx="33">
                  <c:v>1181.147800859226</c:v>
                </c:pt>
                <c:pt idx="34">
                  <c:v>1261.2163732505344</c:v>
                </c:pt>
                <c:pt idx="35">
                  <c:v>1344.9292949488292</c:v>
                </c:pt>
                <c:pt idx="36">
                  <c:v>1432.3745624458979</c:v>
                </c:pt>
                <c:pt idx="37">
                  <c:v>1523.6404913949434</c:v>
                </c:pt>
                <c:pt idx="38">
                  <c:v>1618.8157114748615</c:v>
                </c:pt>
                <c:pt idx="39">
                  <c:v>1717.9891614345224</c:v>
                </c:pt>
                <c:pt idx="40">
                  <c:v>1821.2500843075125</c:v>
                </c:pt>
                <c:pt idx="41">
                  <c:v>1928.6880227883937</c:v>
                </c:pt>
                <c:pt idx="42">
                  <c:v>2040.3928147621555</c:v>
                </c:pt>
                <c:pt idx="43">
                  <c:v>2156.4545889791989</c:v>
                </c:pt>
                <c:pt idx="44">
                  <c:v>2276.9637608686012</c:v>
                </c:pt>
                <c:pt idx="45">
                  <c:v>2402.0110284828738</c:v>
                </c:pt>
              </c:numCache>
            </c:numRef>
          </c:val>
          <c:smooth val="0"/>
          <c:extLst>
            <c:ext xmlns:c16="http://schemas.microsoft.com/office/drawing/2014/chart" uri="{C3380CC4-5D6E-409C-BE32-E72D297353CC}">
              <c16:uniqueId val="{00000001-B065-40E9-9818-79C0C7784357}"/>
            </c:ext>
          </c:extLst>
        </c:ser>
        <c:ser>
          <c:idx val="0"/>
          <c:order val="2"/>
          <c:tx>
            <c:strRef>
              <c:f>'Plaice data'!$G$2</c:f>
              <c:strCache>
                <c:ptCount val="1"/>
                <c:pt idx="0">
                  <c:v>Minimum size</c:v>
                </c:pt>
              </c:strCache>
            </c:strRef>
          </c:tx>
          <c:marker>
            <c:symbol val="none"/>
          </c:marker>
          <c:cat>
            <c:numRef>
              <c:f>'Plaice data'!$D$3:$D$48</c:f>
              <c:numCache>
                <c:formatCode>General</c:formatCode>
                <c:ptCount val="46"/>
                <c:pt idx="0">
                  <c:v>15</c:v>
                </c:pt>
                <c:pt idx="1">
                  <c:v>16</c:v>
                </c:pt>
                <c:pt idx="2">
                  <c:v>17</c:v>
                </c:pt>
                <c:pt idx="3">
                  <c:v>18</c:v>
                </c:pt>
                <c:pt idx="4">
                  <c:v>19</c:v>
                </c:pt>
                <c:pt idx="5">
                  <c:v>20</c:v>
                </c:pt>
                <c:pt idx="6">
                  <c:v>21</c:v>
                </c:pt>
                <c:pt idx="7">
                  <c:v>22</c:v>
                </c:pt>
                <c:pt idx="8">
                  <c:v>23</c:v>
                </c:pt>
                <c:pt idx="9">
                  <c:v>24</c:v>
                </c:pt>
                <c:pt idx="10">
                  <c:v>25</c:v>
                </c:pt>
                <c:pt idx="11">
                  <c:v>26</c:v>
                </c:pt>
                <c:pt idx="12">
                  <c:v>27</c:v>
                </c:pt>
                <c:pt idx="13">
                  <c:v>28</c:v>
                </c:pt>
                <c:pt idx="14">
                  <c:v>29</c:v>
                </c:pt>
                <c:pt idx="15">
                  <c:v>30</c:v>
                </c:pt>
                <c:pt idx="16">
                  <c:v>31</c:v>
                </c:pt>
                <c:pt idx="17">
                  <c:v>32</c:v>
                </c:pt>
                <c:pt idx="18">
                  <c:v>33</c:v>
                </c:pt>
                <c:pt idx="19">
                  <c:v>34</c:v>
                </c:pt>
                <c:pt idx="20">
                  <c:v>35</c:v>
                </c:pt>
                <c:pt idx="21">
                  <c:v>36</c:v>
                </c:pt>
                <c:pt idx="22">
                  <c:v>37</c:v>
                </c:pt>
                <c:pt idx="23">
                  <c:v>38</c:v>
                </c:pt>
                <c:pt idx="24">
                  <c:v>39</c:v>
                </c:pt>
                <c:pt idx="25">
                  <c:v>40</c:v>
                </c:pt>
                <c:pt idx="26">
                  <c:v>41</c:v>
                </c:pt>
                <c:pt idx="27">
                  <c:v>42</c:v>
                </c:pt>
                <c:pt idx="28">
                  <c:v>43</c:v>
                </c:pt>
                <c:pt idx="29">
                  <c:v>44</c:v>
                </c:pt>
                <c:pt idx="30">
                  <c:v>45</c:v>
                </c:pt>
                <c:pt idx="31">
                  <c:v>46</c:v>
                </c:pt>
                <c:pt idx="32">
                  <c:v>47</c:v>
                </c:pt>
                <c:pt idx="33">
                  <c:v>48</c:v>
                </c:pt>
                <c:pt idx="34">
                  <c:v>49</c:v>
                </c:pt>
                <c:pt idx="35">
                  <c:v>50</c:v>
                </c:pt>
                <c:pt idx="36">
                  <c:v>51</c:v>
                </c:pt>
                <c:pt idx="37">
                  <c:v>52</c:v>
                </c:pt>
                <c:pt idx="38">
                  <c:v>53</c:v>
                </c:pt>
                <c:pt idx="39">
                  <c:v>54</c:v>
                </c:pt>
                <c:pt idx="40">
                  <c:v>55</c:v>
                </c:pt>
                <c:pt idx="41">
                  <c:v>56</c:v>
                </c:pt>
                <c:pt idx="42">
                  <c:v>57</c:v>
                </c:pt>
                <c:pt idx="43">
                  <c:v>58</c:v>
                </c:pt>
                <c:pt idx="44">
                  <c:v>59</c:v>
                </c:pt>
                <c:pt idx="45">
                  <c:v>60</c:v>
                </c:pt>
              </c:numCache>
            </c:numRef>
          </c:cat>
          <c:val>
            <c:numRef>
              <c:f>'Plaice data'!$G$3:$G$48</c:f>
              <c:numCache>
                <c:formatCode>General</c:formatCode>
                <c:ptCount val="46"/>
                <c:pt idx="12">
                  <c:v>2800</c:v>
                </c:pt>
              </c:numCache>
            </c:numRef>
          </c:val>
          <c:smooth val="0"/>
          <c:extLst>
            <c:ext xmlns:c16="http://schemas.microsoft.com/office/drawing/2014/chart" uri="{C3380CC4-5D6E-409C-BE32-E72D297353CC}">
              <c16:uniqueId val="{00000002-B065-40E9-9818-79C0C7784357}"/>
            </c:ext>
          </c:extLst>
        </c:ser>
        <c:dLbls>
          <c:showLegendKey val="0"/>
          <c:showVal val="0"/>
          <c:showCatName val="0"/>
          <c:showSerName val="0"/>
          <c:showPercent val="0"/>
          <c:showBubbleSize val="0"/>
        </c:dLbls>
        <c:smooth val="0"/>
        <c:axId val="157791360"/>
        <c:axId val="157793280"/>
      </c:lineChart>
      <c:catAx>
        <c:axId val="157791360"/>
        <c:scaling>
          <c:orientation val="minMax"/>
        </c:scaling>
        <c:delete val="0"/>
        <c:axPos val="b"/>
        <c:title>
          <c:tx>
            <c:rich>
              <a:bodyPr/>
              <a:lstStyle/>
              <a:p>
                <a:pPr>
                  <a:defRPr/>
                </a:pPr>
                <a:r>
                  <a:rPr lang="en-GB"/>
                  <a:t>Length</a:t>
                </a:r>
                <a:r>
                  <a:rPr lang="en-GB" baseline="0"/>
                  <a:t> (cm)</a:t>
                </a:r>
                <a:endParaRPr lang="en-GB"/>
              </a:p>
            </c:rich>
          </c:tx>
          <c:overlay val="0"/>
        </c:title>
        <c:numFmt formatCode="General" sourceLinked="1"/>
        <c:majorTickMark val="out"/>
        <c:minorTickMark val="none"/>
        <c:tickLblPos val="nextTo"/>
        <c:crossAx val="157793280"/>
        <c:crosses val="autoZero"/>
        <c:auto val="1"/>
        <c:lblAlgn val="ctr"/>
        <c:lblOffset val="100"/>
        <c:noMultiLvlLbl val="0"/>
      </c:catAx>
      <c:valAx>
        <c:axId val="157793280"/>
        <c:scaling>
          <c:orientation val="minMax"/>
          <c:max val="2800"/>
          <c:min val="0"/>
        </c:scaling>
        <c:delete val="0"/>
        <c:axPos val="l"/>
        <c:title>
          <c:tx>
            <c:rich>
              <a:bodyPr rot="-5400000" vert="horz"/>
              <a:lstStyle/>
              <a:p>
                <a:pPr>
                  <a:defRPr/>
                </a:pPr>
                <a:r>
                  <a:rPr lang="en-GB"/>
                  <a:t>Weight (g)</a:t>
                </a:r>
              </a:p>
            </c:rich>
          </c:tx>
          <c:overlay val="0"/>
        </c:title>
        <c:numFmt formatCode="0" sourceLinked="1"/>
        <c:majorTickMark val="out"/>
        <c:minorTickMark val="none"/>
        <c:tickLblPos val="nextTo"/>
        <c:crossAx val="157791360"/>
        <c:crosses val="autoZero"/>
        <c:crossBetween val="midCat"/>
      </c:valAx>
    </c:plotArea>
    <c:legend>
      <c:legendPos val="r"/>
      <c:layout>
        <c:manualLayout>
          <c:xMode val="edge"/>
          <c:yMode val="edge"/>
          <c:x val="7.9411818587070013E-2"/>
          <c:y val="0.90527635929250516"/>
          <c:w val="0.30912290129477221"/>
          <c:h val="9.4723640707494797E-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0.30098</cdr:x>
      <cdr:y>0.78742</cdr:y>
    </cdr:from>
    <cdr:to>
      <cdr:x>0.30098</cdr:x>
      <cdr:y>0.84274</cdr:y>
    </cdr:to>
    <cdr:cxnSp macro="">
      <cdr:nvCxnSpPr>
        <cdr:cNvPr id="3" name="Straight Connector 2"/>
        <cdr:cNvCxnSpPr/>
      </cdr:nvCxnSpPr>
      <cdr:spPr>
        <a:xfrm xmlns:a="http://schemas.openxmlformats.org/drawingml/2006/main" flipV="1">
          <a:off x="2801471" y="4784912"/>
          <a:ext cx="0" cy="33617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0.2456</cdr:x>
      <cdr:y>0.06823</cdr:y>
    </cdr:from>
    <cdr:to>
      <cdr:x>0.36599</cdr:x>
      <cdr:y>0.1088</cdr:y>
    </cdr:to>
    <cdr:sp macro="" textlink="">
      <cdr:nvSpPr>
        <cdr:cNvPr id="5" name="TextBox 4"/>
        <cdr:cNvSpPr txBox="1"/>
      </cdr:nvSpPr>
      <cdr:spPr>
        <a:xfrm xmlns:a="http://schemas.openxmlformats.org/drawingml/2006/main">
          <a:off x="2286000" y="414617"/>
          <a:ext cx="1120588" cy="2465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0.21904</cdr:x>
      <cdr:y>0.65716</cdr:y>
    </cdr:from>
    <cdr:to>
      <cdr:x>0.39601</cdr:x>
      <cdr:y>0.77938</cdr:y>
    </cdr:to>
    <cdr:sp macro="" textlink="">
      <cdr:nvSpPr>
        <cdr:cNvPr id="6" name="TextBox 5"/>
        <cdr:cNvSpPr txBox="1"/>
      </cdr:nvSpPr>
      <cdr:spPr>
        <a:xfrm xmlns:a="http://schemas.openxmlformats.org/drawingml/2006/main">
          <a:off x="1255431" y="2458279"/>
          <a:ext cx="1014305"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t>MCRS = 200g whole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95594-B2A3-41FB-9E0C-AAC259DD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3362</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Seafish Industry Authority</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Lart</dc:creator>
  <cp:lastModifiedBy>Rhiannon Holden</cp:lastModifiedBy>
  <cp:revision>2</cp:revision>
  <dcterms:created xsi:type="dcterms:W3CDTF">2018-12-05T10:29:00Z</dcterms:created>
  <dcterms:modified xsi:type="dcterms:W3CDTF">2018-12-05T10:29:00Z</dcterms:modified>
</cp:coreProperties>
</file>