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FB30" w14:textId="16C9733F" w:rsidR="00E30FD6" w:rsidRPr="006D709A" w:rsidRDefault="00E30FD6" w:rsidP="00E30FD6">
      <w:pPr>
        <w:jc w:val="center"/>
        <w:rPr>
          <w:b/>
          <w:bCs/>
          <w:sz w:val="28"/>
          <w:szCs w:val="28"/>
          <w:lang w:val="en-US"/>
        </w:rPr>
      </w:pPr>
      <w:bookmarkStart w:id="0" w:name="_Hlk195198386"/>
      <w:r w:rsidRPr="006D709A">
        <w:rPr>
          <w:b/>
          <w:bCs/>
          <w:sz w:val="28"/>
          <w:szCs w:val="28"/>
          <w:lang w:val="en-US"/>
        </w:rPr>
        <w:t xml:space="preserve">Preliminary update for principle </w:t>
      </w:r>
      <w:r>
        <w:rPr>
          <w:b/>
          <w:bCs/>
          <w:sz w:val="28"/>
          <w:szCs w:val="28"/>
          <w:lang w:val="en-US"/>
        </w:rPr>
        <w:t>3</w:t>
      </w:r>
      <w:r w:rsidRPr="006D709A">
        <w:rPr>
          <w:b/>
          <w:bCs/>
          <w:sz w:val="28"/>
          <w:szCs w:val="28"/>
          <w:lang w:val="en-US"/>
        </w:rPr>
        <w:t xml:space="preserve"> of the MSC Pre-Assessment of Anchovy and Araucanian Herring between Region V and X, Chile.</w:t>
      </w:r>
    </w:p>
    <w:p w14:paraId="6CE9322F" w14:textId="77777777" w:rsidR="00E30FD6" w:rsidRDefault="00E30FD6" w:rsidP="00E30FD6">
      <w:pPr>
        <w:jc w:val="center"/>
        <w:rPr>
          <w:lang w:val="en-US"/>
        </w:rPr>
      </w:pPr>
      <w:r>
        <w:rPr>
          <w:lang w:val="en-US"/>
        </w:rPr>
        <w:t>Alejandro Karstegl</w:t>
      </w:r>
    </w:p>
    <w:p w14:paraId="46ADB44D" w14:textId="0FD18BC8" w:rsidR="00B637EF" w:rsidRDefault="00B637EF" w:rsidP="00E30FD6">
      <w:pPr>
        <w:jc w:val="center"/>
        <w:rPr>
          <w:lang w:val="en-US"/>
        </w:rPr>
      </w:pPr>
      <w:r>
        <w:rPr>
          <w:lang w:val="en-US"/>
        </w:rPr>
        <w:t>March-2025</w:t>
      </w:r>
    </w:p>
    <w:p w14:paraId="249BC0D5" w14:textId="5B8E6207" w:rsidR="00E30FD6" w:rsidRPr="006D709A" w:rsidRDefault="00E30FD6" w:rsidP="00E30FD6">
      <w:pPr>
        <w:jc w:val="both"/>
        <w:rPr>
          <w:lang w:val="en-US"/>
        </w:rPr>
      </w:pPr>
      <w:r w:rsidRPr="006D709A">
        <w:rPr>
          <w:lang w:val="en-US"/>
        </w:rPr>
        <w:t xml:space="preserve">The purpose of this analysis is to review and update the background and performance of the fishery since the previous Pre-Assessment and to contribute to the consolidation of the work proposals of the FIP Chile Central-South Araucanian herring and anchovy (Regions V-X) – purse </w:t>
      </w:r>
      <w:proofErr w:type="spellStart"/>
      <w:r w:rsidRPr="006D709A">
        <w:rPr>
          <w:lang w:val="en-US"/>
        </w:rPr>
        <w:t>seine.This</w:t>
      </w:r>
      <w:proofErr w:type="spellEnd"/>
      <w:r w:rsidRPr="006D709A">
        <w:rPr>
          <w:lang w:val="en-US"/>
        </w:rPr>
        <w:t xml:space="preserve"> analysis reviews the official and public information of the Undersecretariat of Fisheries and Aquaculture, the Institute of Fisheries Development, the Management Committee, the Scientific and Technical Committee and Scientific Publications or Research Projects</w:t>
      </w:r>
      <w:r>
        <w:rPr>
          <w:lang w:val="en-US"/>
        </w:rPr>
        <w:t>, for only 3.2.1 of the PI on Principle 3.</w:t>
      </w:r>
    </w:p>
    <w:p w14:paraId="2017F5B9" w14:textId="5B29C198" w:rsidR="003D2149" w:rsidRDefault="003D2149" w:rsidP="003D2149">
      <w:pPr>
        <w:pStyle w:val="Ttulo6"/>
        <w:rPr>
          <w:color w:val="0F4761" w:themeColor="accent1" w:themeShade="BF"/>
        </w:rPr>
      </w:pPr>
      <w:r w:rsidRPr="0F83F1BF">
        <w:rPr>
          <w:color w:val="0F4761" w:themeColor="accent1" w:themeShade="BF"/>
        </w:rPr>
        <w:t xml:space="preserve">PI 3.2.1 – </w:t>
      </w:r>
      <w:proofErr w:type="spellStart"/>
      <w:r w:rsidRPr="0F83F1BF">
        <w:rPr>
          <w:color w:val="0F4761" w:themeColor="accent1" w:themeShade="BF"/>
        </w:rPr>
        <w:t>Fishery-specific</w:t>
      </w:r>
      <w:proofErr w:type="spellEnd"/>
      <w:r w:rsidRPr="0F83F1BF">
        <w:rPr>
          <w:color w:val="0F4761" w:themeColor="accent1" w:themeShade="BF"/>
        </w:rPr>
        <w:t xml:space="preserve"> </w:t>
      </w:r>
      <w:proofErr w:type="spellStart"/>
      <w:r w:rsidRPr="0F83F1BF">
        <w:rPr>
          <w:color w:val="0F4761" w:themeColor="accent1" w:themeShade="BF"/>
        </w:rPr>
        <w:t>objectives</w:t>
      </w:r>
      <w:proofErr w:type="spellEnd"/>
    </w:p>
    <w:tbl>
      <w:tblPr>
        <w:tblStyle w:val="Tablaconcuadrcula"/>
        <w:tblW w:w="9351" w:type="dxa"/>
        <w:tblLayout w:type="fixed"/>
        <w:tblCellMar>
          <w:top w:w="57" w:type="dxa"/>
          <w:bottom w:w="57" w:type="dxa"/>
        </w:tblCellMar>
        <w:tblLook w:val="04A0" w:firstRow="1" w:lastRow="0" w:firstColumn="1" w:lastColumn="0" w:noHBand="0" w:noVBand="1"/>
      </w:tblPr>
      <w:tblGrid>
        <w:gridCol w:w="903"/>
        <w:gridCol w:w="793"/>
        <w:gridCol w:w="2268"/>
        <w:gridCol w:w="2977"/>
        <w:gridCol w:w="2410"/>
      </w:tblGrid>
      <w:tr w:rsidR="003D2149" w:rsidRPr="003D2149" w14:paraId="00154A75" w14:textId="77777777" w:rsidTr="003D2149">
        <w:trPr>
          <w:tblHeader/>
        </w:trPr>
        <w:tc>
          <w:tcPr>
            <w:tcW w:w="1696" w:type="dxa"/>
            <w:gridSpan w:val="2"/>
            <w:shd w:val="clear" w:color="auto" w:fill="BFBFBF" w:themeFill="background1" w:themeFillShade="BF"/>
          </w:tcPr>
          <w:p w14:paraId="523A79E5" w14:textId="77777777" w:rsidR="003D2149" w:rsidRPr="003D2149" w:rsidRDefault="003D2149" w:rsidP="006B7909">
            <w:pPr>
              <w:rPr>
                <w:b/>
                <w:color w:val="000000" w:themeColor="text1"/>
                <w:sz w:val="18"/>
                <w:szCs w:val="18"/>
              </w:rPr>
            </w:pPr>
            <w:r w:rsidRPr="003D2149">
              <w:rPr>
                <w:b/>
                <w:color w:val="000000" w:themeColor="text1"/>
                <w:sz w:val="18"/>
                <w:szCs w:val="18"/>
              </w:rPr>
              <w:t>PI 3.2.1</w:t>
            </w:r>
          </w:p>
        </w:tc>
        <w:tc>
          <w:tcPr>
            <w:tcW w:w="7655" w:type="dxa"/>
            <w:gridSpan w:val="3"/>
            <w:shd w:val="clear" w:color="auto" w:fill="BFBFBF" w:themeFill="background1" w:themeFillShade="BF"/>
          </w:tcPr>
          <w:p w14:paraId="28632F2B" w14:textId="77777777" w:rsidR="003D2149" w:rsidRPr="003D2149" w:rsidRDefault="003D2149" w:rsidP="006B7909">
            <w:pPr>
              <w:rPr>
                <w:b/>
                <w:color w:val="000000" w:themeColor="text1"/>
                <w:sz w:val="18"/>
                <w:szCs w:val="18"/>
              </w:rPr>
            </w:pPr>
            <w:r w:rsidRPr="003D2149">
              <w:rPr>
                <w:b/>
                <w:color w:val="000000" w:themeColor="text1"/>
                <w:sz w:val="18"/>
                <w:szCs w:val="18"/>
              </w:rPr>
              <w:t>The fishery-specific management system has clear, specific objectives designed to achieve the outcomes expressed by MSC Principles 1 and 2</w:t>
            </w:r>
          </w:p>
        </w:tc>
      </w:tr>
      <w:tr w:rsidR="003D2149" w:rsidRPr="003D2149" w14:paraId="30217046" w14:textId="77777777" w:rsidTr="003D2149">
        <w:tc>
          <w:tcPr>
            <w:tcW w:w="1696" w:type="dxa"/>
            <w:gridSpan w:val="2"/>
            <w:shd w:val="clear" w:color="auto" w:fill="F2F2F2" w:themeFill="background1" w:themeFillShade="F2"/>
          </w:tcPr>
          <w:p w14:paraId="4BD62912" w14:textId="77777777" w:rsidR="003D2149" w:rsidRPr="003D2149" w:rsidRDefault="003D2149" w:rsidP="006B7909">
            <w:pPr>
              <w:rPr>
                <w:sz w:val="18"/>
                <w:szCs w:val="18"/>
              </w:rPr>
            </w:pPr>
            <w:r w:rsidRPr="003D2149">
              <w:rPr>
                <w:sz w:val="18"/>
                <w:szCs w:val="18"/>
              </w:rPr>
              <w:t>Scoring issue</w:t>
            </w:r>
          </w:p>
        </w:tc>
        <w:tc>
          <w:tcPr>
            <w:tcW w:w="2268" w:type="dxa"/>
            <w:shd w:val="clear" w:color="auto" w:fill="F2F2F2" w:themeFill="background1" w:themeFillShade="F2"/>
          </w:tcPr>
          <w:p w14:paraId="71F264B7" w14:textId="77777777" w:rsidR="003D2149" w:rsidRPr="003D2149" w:rsidRDefault="003D2149" w:rsidP="006B7909">
            <w:pPr>
              <w:jc w:val="center"/>
              <w:rPr>
                <w:b/>
                <w:bCs/>
                <w:sz w:val="18"/>
                <w:szCs w:val="18"/>
              </w:rPr>
            </w:pPr>
            <w:r w:rsidRPr="003D2149">
              <w:rPr>
                <w:b/>
                <w:bCs/>
                <w:sz w:val="18"/>
                <w:szCs w:val="18"/>
              </w:rPr>
              <w:t>SG 60</w:t>
            </w:r>
          </w:p>
        </w:tc>
        <w:tc>
          <w:tcPr>
            <w:tcW w:w="2977" w:type="dxa"/>
            <w:shd w:val="clear" w:color="auto" w:fill="F2F2F2" w:themeFill="background1" w:themeFillShade="F2"/>
          </w:tcPr>
          <w:p w14:paraId="7B0EAB66" w14:textId="77777777" w:rsidR="003D2149" w:rsidRPr="003D2149" w:rsidRDefault="003D2149" w:rsidP="006B7909">
            <w:pPr>
              <w:jc w:val="center"/>
              <w:rPr>
                <w:b/>
                <w:bCs/>
                <w:sz w:val="18"/>
                <w:szCs w:val="18"/>
              </w:rPr>
            </w:pPr>
            <w:r w:rsidRPr="003D2149">
              <w:rPr>
                <w:b/>
                <w:bCs/>
                <w:sz w:val="18"/>
                <w:szCs w:val="18"/>
              </w:rPr>
              <w:t>SG 80</w:t>
            </w:r>
          </w:p>
        </w:tc>
        <w:tc>
          <w:tcPr>
            <w:tcW w:w="2410" w:type="dxa"/>
            <w:shd w:val="clear" w:color="auto" w:fill="F2F2F2" w:themeFill="background1" w:themeFillShade="F2"/>
          </w:tcPr>
          <w:p w14:paraId="7CD2700C" w14:textId="77777777" w:rsidR="003D2149" w:rsidRPr="003D2149" w:rsidRDefault="003D2149" w:rsidP="006B7909">
            <w:pPr>
              <w:jc w:val="center"/>
              <w:rPr>
                <w:b/>
                <w:bCs/>
                <w:sz w:val="18"/>
                <w:szCs w:val="18"/>
              </w:rPr>
            </w:pPr>
            <w:r w:rsidRPr="003D2149">
              <w:rPr>
                <w:b/>
                <w:bCs/>
                <w:sz w:val="18"/>
                <w:szCs w:val="18"/>
              </w:rPr>
              <w:t>SG 100</w:t>
            </w:r>
          </w:p>
        </w:tc>
      </w:tr>
      <w:tr w:rsidR="003D2149" w:rsidRPr="003D2149" w14:paraId="2C38330D" w14:textId="77777777" w:rsidTr="003D2149">
        <w:tc>
          <w:tcPr>
            <w:tcW w:w="903" w:type="dxa"/>
            <w:vMerge w:val="restart"/>
            <w:shd w:val="clear" w:color="auto" w:fill="F2F2F2" w:themeFill="background1" w:themeFillShade="F2"/>
            <w:vAlign w:val="center"/>
          </w:tcPr>
          <w:p w14:paraId="0DDD0746" w14:textId="77777777" w:rsidR="003D2149" w:rsidRPr="003D2149" w:rsidRDefault="003D2149" w:rsidP="006B7909">
            <w:pPr>
              <w:rPr>
                <w:b/>
                <w:bCs/>
                <w:sz w:val="18"/>
                <w:szCs w:val="18"/>
              </w:rPr>
            </w:pPr>
            <w:r w:rsidRPr="003D2149">
              <w:rPr>
                <w:b/>
                <w:bCs/>
                <w:sz w:val="18"/>
                <w:szCs w:val="18"/>
              </w:rPr>
              <w:t>a</w:t>
            </w:r>
          </w:p>
        </w:tc>
        <w:tc>
          <w:tcPr>
            <w:tcW w:w="8448" w:type="dxa"/>
            <w:gridSpan w:val="4"/>
            <w:shd w:val="clear" w:color="auto" w:fill="D9D9D9" w:themeFill="background1" w:themeFillShade="D9"/>
          </w:tcPr>
          <w:p w14:paraId="736CB3BC" w14:textId="77777777" w:rsidR="003D2149" w:rsidRPr="003D2149" w:rsidRDefault="003D2149" w:rsidP="006B7909">
            <w:pPr>
              <w:rPr>
                <w:b/>
                <w:bCs/>
                <w:sz w:val="18"/>
                <w:szCs w:val="18"/>
              </w:rPr>
            </w:pPr>
            <w:r w:rsidRPr="003D2149">
              <w:rPr>
                <w:b/>
                <w:bCs/>
                <w:sz w:val="18"/>
                <w:szCs w:val="18"/>
              </w:rPr>
              <w:t>Objectives</w:t>
            </w:r>
          </w:p>
        </w:tc>
      </w:tr>
      <w:tr w:rsidR="003D2149" w:rsidRPr="003D2149" w14:paraId="0D02CE2A" w14:textId="77777777" w:rsidTr="003D2149">
        <w:tc>
          <w:tcPr>
            <w:tcW w:w="903" w:type="dxa"/>
            <w:vMerge/>
          </w:tcPr>
          <w:p w14:paraId="030B4807" w14:textId="77777777" w:rsidR="003D2149" w:rsidRPr="003D2149" w:rsidRDefault="003D2149" w:rsidP="006B7909">
            <w:pPr>
              <w:rPr>
                <w:sz w:val="18"/>
                <w:szCs w:val="18"/>
              </w:rPr>
            </w:pPr>
          </w:p>
        </w:tc>
        <w:tc>
          <w:tcPr>
            <w:tcW w:w="793" w:type="dxa"/>
            <w:shd w:val="clear" w:color="auto" w:fill="F2F2F2" w:themeFill="background1" w:themeFillShade="F2"/>
          </w:tcPr>
          <w:p w14:paraId="62D6E0E6" w14:textId="77777777" w:rsidR="003D2149" w:rsidRPr="003D2149" w:rsidRDefault="003D2149" w:rsidP="006B7909">
            <w:pPr>
              <w:rPr>
                <w:sz w:val="18"/>
                <w:szCs w:val="18"/>
              </w:rPr>
            </w:pPr>
            <w:proofErr w:type="gramStart"/>
            <w:r w:rsidRPr="003D2149">
              <w:rPr>
                <w:sz w:val="18"/>
                <w:szCs w:val="18"/>
              </w:rPr>
              <w:t>Guide post</w:t>
            </w:r>
            <w:proofErr w:type="gramEnd"/>
          </w:p>
        </w:tc>
        <w:tc>
          <w:tcPr>
            <w:tcW w:w="2268" w:type="dxa"/>
            <w:shd w:val="clear" w:color="auto" w:fill="F2F2F2" w:themeFill="background1" w:themeFillShade="F2"/>
          </w:tcPr>
          <w:p w14:paraId="687EC5C6" w14:textId="77777777" w:rsidR="003D2149" w:rsidRPr="003D2149" w:rsidRDefault="003D2149" w:rsidP="006B7909">
            <w:pPr>
              <w:rPr>
                <w:sz w:val="18"/>
                <w:szCs w:val="18"/>
              </w:rPr>
            </w:pPr>
            <w:r w:rsidRPr="003D2149">
              <w:rPr>
                <w:b/>
                <w:bCs/>
                <w:sz w:val="18"/>
                <w:szCs w:val="18"/>
              </w:rPr>
              <w:t>Objectives</w:t>
            </w:r>
            <w:r w:rsidRPr="003D2149">
              <w:rPr>
                <w:sz w:val="18"/>
                <w:szCs w:val="18"/>
              </w:rPr>
              <w:t xml:space="preserve">, which are broadly consistent with achieving the outcomes expressed by MSC Principles 1 and 2, are </w:t>
            </w:r>
            <w:r w:rsidRPr="003D2149">
              <w:rPr>
                <w:b/>
                <w:bCs/>
                <w:sz w:val="18"/>
                <w:szCs w:val="18"/>
              </w:rPr>
              <w:t>implicit</w:t>
            </w:r>
            <w:r w:rsidRPr="003D2149">
              <w:rPr>
                <w:sz w:val="18"/>
                <w:szCs w:val="18"/>
              </w:rPr>
              <w:t xml:space="preserve"> within the fishery-specific management system.</w:t>
            </w:r>
          </w:p>
        </w:tc>
        <w:tc>
          <w:tcPr>
            <w:tcW w:w="2977" w:type="dxa"/>
            <w:shd w:val="clear" w:color="auto" w:fill="F2F2F2" w:themeFill="background1" w:themeFillShade="F2"/>
          </w:tcPr>
          <w:p w14:paraId="62763530" w14:textId="77777777" w:rsidR="003D2149" w:rsidRPr="003D2149" w:rsidRDefault="003D2149" w:rsidP="006B7909">
            <w:pPr>
              <w:rPr>
                <w:sz w:val="18"/>
                <w:szCs w:val="18"/>
              </w:rPr>
            </w:pPr>
            <w:r w:rsidRPr="003D2149">
              <w:rPr>
                <w:b/>
                <w:bCs/>
                <w:sz w:val="18"/>
                <w:szCs w:val="18"/>
              </w:rPr>
              <w:t>Short and long-term objectives</w:t>
            </w:r>
            <w:r w:rsidRPr="003D2149">
              <w:rPr>
                <w:sz w:val="18"/>
                <w:szCs w:val="18"/>
              </w:rPr>
              <w:t xml:space="preserve">, which are consistent with achieving the outcomes expressed by MSC Principles 1 and 2, are </w:t>
            </w:r>
            <w:r w:rsidRPr="003D2149">
              <w:rPr>
                <w:b/>
                <w:bCs/>
                <w:sz w:val="18"/>
                <w:szCs w:val="18"/>
              </w:rPr>
              <w:t>explicit</w:t>
            </w:r>
            <w:r w:rsidRPr="003D2149">
              <w:rPr>
                <w:sz w:val="18"/>
                <w:szCs w:val="18"/>
              </w:rPr>
              <w:t xml:space="preserve"> within the fishery-specific management system.</w:t>
            </w:r>
          </w:p>
        </w:tc>
        <w:tc>
          <w:tcPr>
            <w:tcW w:w="2410" w:type="dxa"/>
            <w:shd w:val="clear" w:color="auto" w:fill="F2F2F2" w:themeFill="background1" w:themeFillShade="F2"/>
          </w:tcPr>
          <w:p w14:paraId="6BE360BB" w14:textId="77777777" w:rsidR="003D2149" w:rsidRPr="003D2149" w:rsidRDefault="003D2149" w:rsidP="006B7909">
            <w:pPr>
              <w:rPr>
                <w:sz w:val="18"/>
                <w:szCs w:val="18"/>
              </w:rPr>
            </w:pPr>
            <w:r w:rsidRPr="003D2149">
              <w:rPr>
                <w:b/>
                <w:bCs/>
                <w:sz w:val="18"/>
                <w:szCs w:val="18"/>
              </w:rPr>
              <w:t>Well-defined and measurable short- and long-term objectives</w:t>
            </w:r>
            <w:r w:rsidRPr="003D2149">
              <w:rPr>
                <w:sz w:val="18"/>
                <w:szCs w:val="18"/>
              </w:rPr>
              <w:t xml:space="preserve">, which are demonstrably consistent with achieving the outcomes expressed by MSC Principles 1 and 2, are </w:t>
            </w:r>
            <w:r w:rsidRPr="003D2149">
              <w:rPr>
                <w:b/>
                <w:bCs/>
                <w:sz w:val="18"/>
                <w:szCs w:val="18"/>
              </w:rPr>
              <w:t>explicit</w:t>
            </w:r>
            <w:r w:rsidRPr="003D2149">
              <w:rPr>
                <w:sz w:val="18"/>
                <w:szCs w:val="18"/>
              </w:rPr>
              <w:t xml:space="preserve"> within the fishery-specific management system.</w:t>
            </w:r>
          </w:p>
        </w:tc>
      </w:tr>
      <w:tr w:rsidR="003D2149" w:rsidRPr="003D2149" w14:paraId="2EBD0325" w14:textId="77777777" w:rsidTr="001F0FB9">
        <w:trPr>
          <w:trHeight w:val="20"/>
        </w:trPr>
        <w:tc>
          <w:tcPr>
            <w:tcW w:w="903" w:type="dxa"/>
            <w:vMerge/>
          </w:tcPr>
          <w:p w14:paraId="3FABC7D9" w14:textId="77777777" w:rsidR="003D2149" w:rsidRPr="003D2149" w:rsidRDefault="003D2149" w:rsidP="006B7909">
            <w:pPr>
              <w:rPr>
                <w:sz w:val="18"/>
                <w:szCs w:val="18"/>
              </w:rPr>
            </w:pPr>
          </w:p>
        </w:tc>
        <w:tc>
          <w:tcPr>
            <w:tcW w:w="793" w:type="dxa"/>
            <w:shd w:val="clear" w:color="auto" w:fill="F2F2F2" w:themeFill="background1" w:themeFillShade="F2"/>
          </w:tcPr>
          <w:p w14:paraId="3C1E9837" w14:textId="77777777" w:rsidR="003D2149" w:rsidRPr="003D2149" w:rsidRDefault="003D2149" w:rsidP="006B7909">
            <w:pPr>
              <w:rPr>
                <w:sz w:val="18"/>
                <w:szCs w:val="18"/>
              </w:rPr>
            </w:pPr>
            <w:r w:rsidRPr="003D2149">
              <w:rPr>
                <w:sz w:val="18"/>
                <w:szCs w:val="18"/>
              </w:rPr>
              <w:t>Met?</w:t>
            </w:r>
          </w:p>
        </w:tc>
        <w:tc>
          <w:tcPr>
            <w:tcW w:w="2268" w:type="dxa"/>
            <w:shd w:val="clear" w:color="auto" w:fill="FFFFFF" w:themeFill="background1"/>
          </w:tcPr>
          <w:p w14:paraId="7CC23B49" w14:textId="31C6ED0D" w:rsidR="003D2149" w:rsidRPr="003D2149" w:rsidRDefault="003D2149" w:rsidP="006B7909">
            <w:pPr>
              <w:rPr>
                <w:b/>
                <w:bCs/>
                <w:sz w:val="18"/>
                <w:szCs w:val="18"/>
              </w:rPr>
            </w:pPr>
            <w:r w:rsidRPr="003D2149">
              <w:rPr>
                <w:b/>
                <w:bCs/>
                <w:sz w:val="18"/>
                <w:szCs w:val="18"/>
              </w:rPr>
              <w:t xml:space="preserve">Yes </w:t>
            </w:r>
          </w:p>
        </w:tc>
        <w:tc>
          <w:tcPr>
            <w:tcW w:w="2977" w:type="dxa"/>
            <w:shd w:val="clear" w:color="auto" w:fill="FFFFFF" w:themeFill="background1"/>
          </w:tcPr>
          <w:p w14:paraId="42696065" w14:textId="62700AF9" w:rsidR="003D2149" w:rsidRPr="003D2149" w:rsidRDefault="003D2149" w:rsidP="006B7909">
            <w:pPr>
              <w:rPr>
                <w:b/>
                <w:bCs/>
                <w:sz w:val="18"/>
                <w:szCs w:val="18"/>
              </w:rPr>
            </w:pPr>
            <w:r w:rsidRPr="003D2149">
              <w:rPr>
                <w:b/>
                <w:bCs/>
                <w:sz w:val="18"/>
                <w:szCs w:val="18"/>
              </w:rPr>
              <w:t xml:space="preserve">Yes </w:t>
            </w:r>
          </w:p>
        </w:tc>
        <w:tc>
          <w:tcPr>
            <w:tcW w:w="2410" w:type="dxa"/>
            <w:shd w:val="clear" w:color="auto" w:fill="FFFFFF" w:themeFill="background1"/>
          </w:tcPr>
          <w:p w14:paraId="5FA3ECB7" w14:textId="1DBD7431" w:rsidR="003D2149" w:rsidRPr="003D2149" w:rsidRDefault="003D2149" w:rsidP="006B7909">
            <w:pPr>
              <w:rPr>
                <w:b/>
                <w:bCs/>
                <w:sz w:val="18"/>
                <w:szCs w:val="18"/>
              </w:rPr>
            </w:pPr>
            <w:r w:rsidRPr="003D2149">
              <w:rPr>
                <w:b/>
                <w:bCs/>
                <w:sz w:val="18"/>
                <w:szCs w:val="18"/>
              </w:rPr>
              <w:t>Partial</w:t>
            </w:r>
          </w:p>
        </w:tc>
      </w:tr>
      <w:tr w:rsidR="003D2149" w:rsidRPr="00D306AF" w14:paraId="4F8BC96E" w14:textId="77777777" w:rsidTr="003D2149">
        <w:tc>
          <w:tcPr>
            <w:tcW w:w="1696" w:type="dxa"/>
            <w:gridSpan w:val="2"/>
            <w:shd w:val="clear" w:color="auto" w:fill="F2F2F2" w:themeFill="background1" w:themeFillShade="F2"/>
          </w:tcPr>
          <w:p w14:paraId="242E740A" w14:textId="77777777" w:rsidR="003D2149" w:rsidRPr="003D2149" w:rsidRDefault="003D2149" w:rsidP="006B7909">
            <w:pPr>
              <w:rPr>
                <w:sz w:val="18"/>
                <w:szCs w:val="18"/>
              </w:rPr>
            </w:pPr>
            <w:r w:rsidRPr="003D2149">
              <w:rPr>
                <w:sz w:val="18"/>
                <w:szCs w:val="18"/>
              </w:rPr>
              <w:t>Rationale</w:t>
            </w:r>
          </w:p>
        </w:tc>
        <w:tc>
          <w:tcPr>
            <w:tcW w:w="7655" w:type="dxa"/>
            <w:gridSpan w:val="3"/>
          </w:tcPr>
          <w:p w14:paraId="2BCC1FD7" w14:textId="77777777" w:rsidR="00D306AF" w:rsidRPr="00D306AF" w:rsidRDefault="00D306AF" w:rsidP="00E83F80">
            <w:pPr>
              <w:jc w:val="both"/>
              <w:rPr>
                <w:sz w:val="18"/>
                <w:szCs w:val="18"/>
                <w:lang w:val="en-US"/>
              </w:rPr>
            </w:pPr>
            <w:r w:rsidRPr="003D2149">
              <w:rPr>
                <w:sz w:val="18"/>
                <w:szCs w:val="18"/>
              </w:rPr>
              <w:t xml:space="preserve">The preparation and publication of the fishery's management plan, with the definition of the areas of action of the management plan: Biological, Environmental, Economic and Social, with general and specific objectives for the fishery, definition and establishment of compliance reference points, actions, deadlines and those responsible account for a clear management system,  transparent and consistent with the objectives of the General Law on Fisheries and Aquaculture, and consequently consistent with the MSC requirements in terms of maintaining the fishery around the MSY, defining management measures and actions consistent with the condition of the stock and management objectives, as well as tending to the improvement and review of the available information and procedures.  </w:t>
            </w:r>
          </w:p>
          <w:p w14:paraId="50EE51F2" w14:textId="769CCD91" w:rsidR="00D306AF" w:rsidRPr="00D306AF" w:rsidRDefault="00D306AF" w:rsidP="00E83F80">
            <w:pPr>
              <w:jc w:val="both"/>
              <w:rPr>
                <w:sz w:val="18"/>
                <w:szCs w:val="18"/>
                <w:lang w:val="en-US"/>
              </w:rPr>
            </w:pPr>
            <w:r>
              <w:rPr>
                <w:sz w:val="18"/>
                <w:szCs w:val="18"/>
              </w:rPr>
              <w:t>In the same way, the management plan defines work objectives for environmental aspects, such as bycatch, discards, possible impact on the habitat (seabed).</w:t>
            </w:r>
          </w:p>
          <w:p w14:paraId="2526760E" w14:textId="4964BCF7" w:rsidR="003D2149" w:rsidRPr="00D306AF" w:rsidRDefault="00D306AF" w:rsidP="001F0FB9">
            <w:pPr>
              <w:tabs>
                <w:tab w:val="left" w:pos="5920"/>
              </w:tabs>
              <w:jc w:val="both"/>
              <w:rPr>
                <w:sz w:val="18"/>
                <w:szCs w:val="18"/>
                <w:lang w:val="en-US"/>
              </w:rPr>
            </w:pPr>
            <w:r>
              <w:rPr>
                <w:sz w:val="18"/>
                <w:szCs w:val="18"/>
              </w:rPr>
              <w:t xml:space="preserve">In addition to the management plan, and based on the needs arising from its implementation, the regulations have been complemented for the fulfilment of the objectives, in areas related to the delivery and control of information, effort control, assignment of fishing rights, among others. Since the objectives are clear and consistent with MSC, but were not specifically designed for this purpose, this PI reaches 80, but partially for the next level, so it does not reach 100. For the purposes of this analysis, the fishery exceeds 80. </w:t>
            </w:r>
          </w:p>
        </w:tc>
      </w:tr>
    </w:tbl>
    <w:p w14:paraId="40BB72B4" w14:textId="77777777" w:rsidR="003D2149" w:rsidRPr="00D306AF" w:rsidRDefault="003D2149" w:rsidP="003D2149">
      <w:pPr>
        <w:rPr>
          <w:lang w:val="en-US"/>
        </w:rPr>
      </w:pPr>
    </w:p>
    <w:tbl>
      <w:tblPr>
        <w:tblStyle w:val="Tablaconcuadrcula"/>
        <w:tblW w:w="9351" w:type="dxa"/>
        <w:tblCellMar>
          <w:top w:w="57" w:type="dxa"/>
          <w:bottom w:w="57" w:type="dxa"/>
        </w:tblCellMar>
        <w:tblLook w:val="04A0" w:firstRow="1" w:lastRow="0" w:firstColumn="1" w:lastColumn="0" w:noHBand="0" w:noVBand="1"/>
      </w:tblPr>
      <w:tblGrid>
        <w:gridCol w:w="3823"/>
        <w:gridCol w:w="5528"/>
      </w:tblGrid>
      <w:tr w:rsidR="003D2149" w14:paraId="07D51A4A" w14:textId="77777777" w:rsidTr="003D2149">
        <w:tc>
          <w:tcPr>
            <w:tcW w:w="3823" w:type="dxa"/>
            <w:shd w:val="clear" w:color="auto" w:fill="F2F2F2" w:themeFill="background1" w:themeFillShade="F2"/>
          </w:tcPr>
          <w:p w14:paraId="722C32E3" w14:textId="77777777" w:rsidR="003D2149" w:rsidRDefault="003D2149" w:rsidP="006B7909">
            <w:r w:rsidRPr="00C35C08">
              <w:t>Draft scoring range</w:t>
            </w:r>
          </w:p>
        </w:tc>
        <w:tc>
          <w:tcPr>
            <w:tcW w:w="5528" w:type="dxa"/>
            <w:shd w:val="clear" w:color="auto" w:fill="FFFFFF" w:themeFill="background1"/>
          </w:tcPr>
          <w:p w14:paraId="24A923F4" w14:textId="2F722F96" w:rsidR="003D2149" w:rsidRPr="00493233" w:rsidRDefault="003D2149" w:rsidP="006B7909">
            <w:pPr>
              <w:rPr>
                <w:b/>
                <w:bCs/>
                <w:i/>
                <w:iCs/>
              </w:rPr>
            </w:pPr>
            <w:r w:rsidRPr="00493233">
              <w:rPr>
                <w:b/>
                <w:bCs/>
              </w:rPr>
              <w:t>≥80</w:t>
            </w:r>
          </w:p>
        </w:tc>
      </w:tr>
      <w:tr w:rsidR="003D2149" w:rsidRPr="00D306AF" w14:paraId="788330DB" w14:textId="77777777" w:rsidTr="003D2149">
        <w:tc>
          <w:tcPr>
            <w:tcW w:w="3823" w:type="dxa"/>
            <w:shd w:val="clear" w:color="auto" w:fill="F2F2F2" w:themeFill="background1" w:themeFillShade="F2"/>
          </w:tcPr>
          <w:p w14:paraId="155E49C6" w14:textId="77777777" w:rsidR="003D2149" w:rsidRDefault="003D2149" w:rsidP="006B7909">
            <w:r w:rsidRPr="00C35C08">
              <w:lastRenderedPageBreak/>
              <w:t>Information gap indicator</w:t>
            </w:r>
          </w:p>
        </w:tc>
        <w:tc>
          <w:tcPr>
            <w:tcW w:w="5528" w:type="dxa"/>
            <w:shd w:val="clear" w:color="auto" w:fill="FFFFFF" w:themeFill="background1"/>
          </w:tcPr>
          <w:p w14:paraId="3E5C5DB1" w14:textId="21346D9C" w:rsidR="003D2149" w:rsidRPr="00D306AF" w:rsidRDefault="00D306AF" w:rsidP="006B7909">
            <w:pPr>
              <w:rPr>
                <w:i/>
                <w:iCs/>
                <w:lang w:val="en-US"/>
              </w:rPr>
            </w:pPr>
            <w:r w:rsidRPr="00D306AF">
              <w:rPr>
                <w:i/>
                <w:iCs/>
              </w:rPr>
              <w:t>The scope of the objectives needs to be reviewed so that they are explicitly consistent with MSC.</w:t>
            </w:r>
          </w:p>
        </w:tc>
      </w:tr>
    </w:tbl>
    <w:p w14:paraId="5BF62E6E" w14:textId="77777777" w:rsidR="003D2149" w:rsidRPr="00D306AF" w:rsidRDefault="003D2149" w:rsidP="003D2149">
      <w:pPr>
        <w:rPr>
          <w:lang w:val="en-US"/>
        </w:rPr>
      </w:pPr>
    </w:p>
    <w:p w14:paraId="22423056" w14:textId="79B19265" w:rsidR="004F35A1" w:rsidRDefault="00E30FD6" w:rsidP="00E30FD6">
      <w:pPr>
        <w:pStyle w:val="Ttulo6"/>
        <w:rPr>
          <w:lang w:val="en-US"/>
        </w:rPr>
      </w:pPr>
      <w:r w:rsidRPr="00B637EF">
        <w:rPr>
          <w:lang w:val="en-US"/>
        </w:rPr>
        <w:t xml:space="preserve"> </w:t>
      </w:r>
      <w:bookmarkEnd w:id="0"/>
      <w:r w:rsidR="00D303A5">
        <w:rPr>
          <w:lang w:val="en-US"/>
        </w:rPr>
        <w:t>References:</w:t>
      </w:r>
    </w:p>
    <w:p w14:paraId="35A6138F" w14:textId="77777777" w:rsidR="00D303A5" w:rsidRDefault="00D303A5" w:rsidP="00D303A5">
      <w:pPr>
        <w:rPr>
          <w:lang w:val="en-US"/>
        </w:rPr>
      </w:pPr>
    </w:p>
    <w:p w14:paraId="73F3FFCE" w14:textId="011E84E6" w:rsidR="00D303A5" w:rsidRPr="00595153" w:rsidRDefault="00D303A5" w:rsidP="00595153">
      <w:pPr>
        <w:pStyle w:val="Prrafodelista"/>
        <w:numPr>
          <w:ilvl w:val="0"/>
          <w:numId w:val="1"/>
        </w:numPr>
        <w:rPr>
          <w:lang w:val="en-US"/>
        </w:rPr>
      </w:pPr>
      <w:r w:rsidRPr="00D303A5">
        <w:t xml:space="preserve">Res. Ex. N° 2746-2016 Approves Management Plan for the Common Sardine and Anchovy Fishery V to X </w:t>
      </w:r>
      <w:proofErr w:type="spellStart"/>
      <w:r w:rsidRPr="00D303A5">
        <w:t>Redión</w:t>
      </w:r>
      <w:proofErr w:type="spellEnd"/>
      <w:r w:rsidRPr="00D303A5">
        <w:t>. (Published on Website 08-09-2016) (F.D.O. 14-09-2016)</w:t>
      </w:r>
      <w:r w:rsidR="00595153">
        <w:t xml:space="preserve"> </w:t>
      </w:r>
      <w:hyperlink r:id="rId5" w:history="1">
        <w:r w:rsidRPr="00595153">
          <w:rPr>
            <w:rStyle w:val="Hipervnculo"/>
            <w:lang w:val="en-US"/>
          </w:rPr>
          <w:t>articles-94526_documento.pdf</w:t>
        </w:r>
      </w:hyperlink>
    </w:p>
    <w:p w14:paraId="3B588C0A" w14:textId="5FF687D6" w:rsidR="00D303A5" w:rsidRPr="00595153" w:rsidRDefault="00D303A5" w:rsidP="00595153">
      <w:pPr>
        <w:pStyle w:val="Prrafodelista"/>
        <w:numPr>
          <w:ilvl w:val="0"/>
          <w:numId w:val="1"/>
        </w:numPr>
        <w:rPr>
          <w:lang w:val="en-US"/>
        </w:rPr>
      </w:pPr>
      <w:r w:rsidRPr="00D303A5">
        <w:t xml:space="preserve">Management plan for the </w:t>
      </w:r>
      <w:proofErr w:type="spellStart"/>
      <w:r w:rsidRPr="00D303A5">
        <w:t>araucarian</w:t>
      </w:r>
      <w:proofErr w:type="spellEnd"/>
      <w:r w:rsidRPr="00D303A5">
        <w:t xml:space="preserve"> herring and anchovy V fishery to the X regions</w:t>
      </w:r>
      <w:r w:rsidR="00595153">
        <w:t xml:space="preserve"> </w:t>
      </w:r>
      <w:hyperlink r:id="rId6" w:history="1">
        <w:r w:rsidRPr="00595153">
          <w:rPr>
            <w:rStyle w:val="Hipervnculo"/>
            <w:lang w:val="en-US"/>
          </w:rPr>
          <w:t>articles-94523_documento.pdf</w:t>
        </w:r>
      </w:hyperlink>
    </w:p>
    <w:p w14:paraId="3E810FB1" w14:textId="3B75B28A" w:rsidR="00D303A5" w:rsidRPr="00595153" w:rsidRDefault="00595153" w:rsidP="00595153">
      <w:pPr>
        <w:pStyle w:val="Prrafodelista"/>
        <w:numPr>
          <w:ilvl w:val="0"/>
          <w:numId w:val="1"/>
        </w:numPr>
      </w:pPr>
      <w:r w:rsidRPr="00595153">
        <w:t xml:space="preserve">Ley General de Pesca y Acuicultura </w:t>
      </w:r>
      <w:hyperlink r:id="rId7" w:history="1">
        <w:r w:rsidR="00D303A5" w:rsidRPr="00595153">
          <w:rPr>
            <w:rStyle w:val="Hipervnculo"/>
          </w:rPr>
          <w:t>https://www.subpesca.cl/portal/615/articles-88020_documento.pdf</w:t>
        </w:r>
      </w:hyperlink>
    </w:p>
    <w:p w14:paraId="03910262" w14:textId="77777777" w:rsidR="00D303A5" w:rsidRPr="00595153" w:rsidRDefault="00D303A5" w:rsidP="00D303A5">
      <w:pPr>
        <w:rPr>
          <w:lang w:val="es-CL"/>
        </w:rPr>
      </w:pPr>
    </w:p>
    <w:p w14:paraId="0E988338" w14:textId="20DFA5F7" w:rsidR="00D303A5" w:rsidRPr="00D303A5" w:rsidRDefault="00D303A5" w:rsidP="00D303A5">
      <w:pPr>
        <w:rPr>
          <w:lang w:val="es-CL"/>
        </w:rPr>
      </w:pPr>
    </w:p>
    <w:p w14:paraId="10D27409" w14:textId="77777777" w:rsidR="00D303A5" w:rsidRDefault="00D303A5" w:rsidP="00D303A5">
      <w:pPr>
        <w:rPr>
          <w:lang w:val="es-CL"/>
        </w:rPr>
      </w:pPr>
    </w:p>
    <w:p w14:paraId="0BDC5E92" w14:textId="77777777" w:rsidR="00D303A5" w:rsidRPr="00D303A5" w:rsidRDefault="00D303A5" w:rsidP="00D303A5">
      <w:pPr>
        <w:rPr>
          <w:lang w:val="es-CL"/>
        </w:rPr>
      </w:pPr>
    </w:p>
    <w:sectPr w:rsidR="00D303A5" w:rsidRPr="00D303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1D29"/>
    <w:multiLevelType w:val="hybridMultilevel"/>
    <w:tmpl w:val="AEF6C3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76010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49"/>
    <w:rsid w:val="000A6465"/>
    <w:rsid w:val="00125DD1"/>
    <w:rsid w:val="00182FB8"/>
    <w:rsid w:val="001B5DEF"/>
    <w:rsid w:val="001F0FB9"/>
    <w:rsid w:val="003D2149"/>
    <w:rsid w:val="003F7817"/>
    <w:rsid w:val="004F35A1"/>
    <w:rsid w:val="00595153"/>
    <w:rsid w:val="00B637EF"/>
    <w:rsid w:val="00D303A5"/>
    <w:rsid w:val="00D306AF"/>
    <w:rsid w:val="00E30FD6"/>
    <w:rsid w:val="00FE7A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CE24"/>
  <w15:chartTrackingRefBased/>
  <w15:docId w15:val="{201F61F7-1490-4C09-B53D-89812F87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149"/>
    <w:pPr>
      <w:spacing w:line="259" w:lineRule="auto"/>
    </w:pPr>
    <w:rPr>
      <w:rFonts w:ascii="Arial" w:hAnsi="Arial"/>
      <w:kern w:val="0"/>
      <w:sz w:val="20"/>
      <w:szCs w:val="22"/>
      <w:lang w:val="en-GB"/>
      <w14:ligatures w14:val="none"/>
    </w:rPr>
  </w:style>
  <w:style w:type="paragraph" w:styleId="Ttulo1">
    <w:name w:val="heading 1"/>
    <w:basedOn w:val="Normal"/>
    <w:next w:val="Normal"/>
    <w:link w:val="Ttulo1Car"/>
    <w:uiPriority w:val="9"/>
    <w:qFormat/>
    <w:rsid w:val="003D21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L"/>
      <w14:ligatures w14:val="standardContextual"/>
    </w:rPr>
  </w:style>
  <w:style w:type="paragraph" w:styleId="Ttulo2">
    <w:name w:val="heading 2"/>
    <w:basedOn w:val="Normal"/>
    <w:next w:val="Normal"/>
    <w:link w:val="Ttulo2Car"/>
    <w:uiPriority w:val="9"/>
    <w:semiHidden/>
    <w:unhideWhenUsed/>
    <w:qFormat/>
    <w:rsid w:val="003D21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L"/>
      <w14:ligatures w14:val="standardContextual"/>
    </w:rPr>
  </w:style>
  <w:style w:type="paragraph" w:styleId="Ttulo3">
    <w:name w:val="heading 3"/>
    <w:basedOn w:val="Normal"/>
    <w:next w:val="Normal"/>
    <w:link w:val="Ttulo3Car"/>
    <w:uiPriority w:val="9"/>
    <w:semiHidden/>
    <w:unhideWhenUsed/>
    <w:qFormat/>
    <w:rsid w:val="003D21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L"/>
      <w14:ligatures w14:val="standardContextual"/>
    </w:rPr>
  </w:style>
  <w:style w:type="paragraph" w:styleId="Ttulo4">
    <w:name w:val="heading 4"/>
    <w:basedOn w:val="Normal"/>
    <w:next w:val="Normal"/>
    <w:link w:val="Ttulo4Car"/>
    <w:uiPriority w:val="9"/>
    <w:semiHidden/>
    <w:unhideWhenUsed/>
    <w:qFormat/>
    <w:rsid w:val="003D214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CL"/>
      <w14:ligatures w14:val="standardContextual"/>
    </w:rPr>
  </w:style>
  <w:style w:type="paragraph" w:styleId="Ttulo5">
    <w:name w:val="heading 5"/>
    <w:basedOn w:val="Normal"/>
    <w:next w:val="Normal"/>
    <w:link w:val="Ttulo5Car"/>
    <w:uiPriority w:val="9"/>
    <w:semiHidden/>
    <w:unhideWhenUsed/>
    <w:qFormat/>
    <w:rsid w:val="003D214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CL"/>
      <w14:ligatures w14:val="standardContextual"/>
    </w:rPr>
  </w:style>
  <w:style w:type="paragraph" w:styleId="Ttulo6">
    <w:name w:val="heading 6"/>
    <w:basedOn w:val="Normal"/>
    <w:next w:val="Normal"/>
    <w:link w:val="Ttulo6Car"/>
    <w:uiPriority w:val="9"/>
    <w:unhideWhenUsed/>
    <w:qFormat/>
    <w:rsid w:val="003D214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s-CL"/>
      <w14:ligatures w14:val="standardContextual"/>
    </w:rPr>
  </w:style>
  <w:style w:type="paragraph" w:styleId="Ttulo7">
    <w:name w:val="heading 7"/>
    <w:basedOn w:val="Normal"/>
    <w:next w:val="Normal"/>
    <w:link w:val="Ttulo7Car"/>
    <w:uiPriority w:val="9"/>
    <w:semiHidden/>
    <w:unhideWhenUsed/>
    <w:qFormat/>
    <w:rsid w:val="003D214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s-CL"/>
      <w14:ligatures w14:val="standardContextual"/>
    </w:rPr>
  </w:style>
  <w:style w:type="paragraph" w:styleId="Ttulo8">
    <w:name w:val="heading 8"/>
    <w:basedOn w:val="Normal"/>
    <w:next w:val="Normal"/>
    <w:link w:val="Ttulo8Car"/>
    <w:uiPriority w:val="9"/>
    <w:semiHidden/>
    <w:unhideWhenUsed/>
    <w:qFormat/>
    <w:rsid w:val="003D214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s-CL"/>
      <w14:ligatures w14:val="standardContextual"/>
    </w:rPr>
  </w:style>
  <w:style w:type="paragraph" w:styleId="Ttulo9">
    <w:name w:val="heading 9"/>
    <w:basedOn w:val="Normal"/>
    <w:next w:val="Normal"/>
    <w:link w:val="Ttulo9Car"/>
    <w:uiPriority w:val="9"/>
    <w:semiHidden/>
    <w:unhideWhenUsed/>
    <w:qFormat/>
    <w:rsid w:val="003D214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s-CL"/>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1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21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21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21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2149"/>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3D21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21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21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2149"/>
    <w:rPr>
      <w:rFonts w:eastAsiaTheme="majorEastAsia" w:cstheme="majorBidi"/>
      <w:color w:val="272727" w:themeColor="text1" w:themeTint="D8"/>
    </w:rPr>
  </w:style>
  <w:style w:type="paragraph" w:styleId="Ttulo">
    <w:name w:val="Title"/>
    <w:basedOn w:val="Normal"/>
    <w:next w:val="Normal"/>
    <w:link w:val="TtuloCar"/>
    <w:uiPriority w:val="10"/>
    <w:qFormat/>
    <w:rsid w:val="003D2149"/>
    <w:pPr>
      <w:spacing w:after="80" w:line="240" w:lineRule="auto"/>
      <w:contextualSpacing/>
    </w:pPr>
    <w:rPr>
      <w:rFonts w:asciiTheme="majorHAnsi" w:eastAsiaTheme="majorEastAsia" w:hAnsiTheme="majorHAnsi" w:cstheme="majorBidi"/>
      <w:spacing w:val="-10"/>
      <w:kern w:val="28"/>
      <w:sz w:val="56"/>
      <w:szCs w:val="56"/>
      <w:lang w:val="es-CL"/>
      <w14:ligatures w14:val="standardContextual"/>
    </w:rPr>
  </w:style>
  <w:style w:type="character" w:customStyle="1" w:styleId="TtuloCar">
    <w:name w:val="Título Car"/>
    <w:basedOn w:val="Fuentedeprrafopredeter"/>
    <w:link w:val="Ttulo"/>
    <w:uiPriority w:val="10"/>
    <w:rsid w:val="003D21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2149"/>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s-CL"/>
      <w14:ligatures w14:val="standardContextual"/>
    </w:rPr>
  </w:style>
  <w:style w:type="character" w:customStyle="1" w:styleId="SubttuloCar">
    <w:name w:val="Subtítulo Car"/>
    <w:basedOn w:val="Fuentedeprrafopredeter"/>
    <w:link w:val="Subttulo"/>
    <w:uiPriority w:val="11"/>
    <w:rsid w:val="003D21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2149"/>
    <w:pPr>
      <w:spacing w:before="160" w:line="278" w:lineRule="auto"/>
      <w:jc w:val="center"/>
    </w:pPr>
    <w:rPr>
      <w:rFonts w:asciiTheme="minorHAnsi" w:hAnsiTheme="minorHAnsi"/>
      <w:i/>
      <w:iCs/>
      <w:color w:val="404040" w:themeColor="text1" w:themeTint="BF"/>
      <w:kern w:val="2"/>
      <w:sz w:val="24"/>
      <w:szCs w:val="24"/>
      <w:lang w:val="es-CL"/>
      <w14:ligatures w14:val="standardContextual"/>
    </w:rPr>
  </w:style>
  <w:style w:type="character" w:customStyle="1" w:styleId="CitaCar">
    <w:name w:val="Cita Car"/>
    <w:basedOn w:val="Fuentedeprrafopredeter"/>
    <w:link w:val="Cita"/>
    <w:uiPriority w:val="29"/>
    <w:rsid w:val="003D2149"/>
    <w:rPr>
      <w:i/>
      <w:iCs/>
      <w:color w:val="404040" w:themeColor="text1" w:themeTint="BF"/>
    </w:rPr>
  </w:style>
  <w:style w:type="paragraph" w:styleId="Prrafodelista">
    <w:name w:val="List Paragraph"/>
    <w:basedOn w:val="Normal"/>
    <w:uiPriority w:val="34"/>
    <w:qFormat/>
    <w:rsid w:val="003D2149"/>
    <w:pPr>
      <w:spacing w:line="278" w:lineRule="auto"/>
      <w:ind w:left="720"/>
      <w:contextualSpacing/>
    </w:pPr>
    <w:rPr>
      <w:rFonts w:asciiTheme="minorHAnsi" w:hAnsiTheme="minorHAnsi"/>
      <w:kern w:val="2"/>
      <w:sz w:val="24"/>
      <w:szCs w:val="24"/>
      <w:lang w:val="es-CL"/>
      <w14:ligatures w14:val="standardContextual"/>
    </w:rPr>
  </w:style>
  <w:style w:type="character" w:styleId="nfasisintenso">
    <w:name w:val="Intense Emphasis"/>
    <w:basedOn w:val="Fuentedeprrafopredeter"/>
    <w:uiPriority w:val="21"/>
    <w:qFormat/>
    <w:rsid w:val="003D2149"/>
    <w:rPr>
      <w:i/>
      <w:iCs/>
      <w:color w:val="0F4761" w:themeColor="accent1" w:themeShade="BF"/>
    </w:rPr>
  </w:style>
  <w:style w:type="paragraph" w:styleId="Citadestacada">
    <w:name w:val="Intense Quote"/>
    <w:basedOn w:val="Normal"/>
    <w:next w:val="Normal"/>
    <w:link w:val="CitadestacadaCar"/>
    <w:uiPriority w:val="30"/>
    <w:qFormat/>
    <w:rsid w:val="003D21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s-CL"/>
      <w14:ligatures w14:val="standardContextual"/>
    </w:rPr>
  </w:style>
  <w:style w:type="character" w:customStyle="1" w:styleId="CitadestacadaCar">
    <w:name w:val="Cita destacada Car"/>
    <w:basedOn w:val="Fuentedeprrafopredeter"/>
    <w:link w:val="Citadestacada"/>
    <w:uiPriority w:val="30"/>
    <w:rsid w:val="003D2149"/>
    <w:rPr>
      <w:i/>
      <w:iCs/>
      <w:color w:val="0F4761" w:themeColor="accent1" w:themeShade="BF"/>
    </w:rPr>
  </w:style>
  <w:style w:type="character" w:styleId="Referenciaintensa">
    <w:name w:val="Intense Reference"/>
    <w:basedOn w:val="Fuentedeprrafopredeter"/>
    <w:uiPriority w:val="32"/>
    <w:qFormat/>
    <w:rsid w:val="003D2149"/>
    <w:rPr>
      <w:b/>
      <w:bCs/>
      <w:smallCaps/>
      <w:color w:val="0F4761" w:themeColor="accent1" w:themeShade="BF"/>
      <w:spacing w:val="5"/>
    </w:rPr>
  </w:style>
  <w:style w:type="table" w:styleId="Tablaconcuadrcula">
    <w:name w:val="Table Grid"/>
    <w:aliases w:val="Texttabelle"/>
    <w:basedOn w:val="Tablanormal"/>
    <w:uiPriority w:val="39"/>
    <w:rsid w:val="003D214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303A5"/>
    <w:rPr>
      <w:color w:val="467886" w:themeColor="hyperlink"/>
      <w:u w:val="single"/>
    </w:rPr>
  </w:style>
  <w:style w:type="character" w:styleId="Mencinsinresolver">
    <w:name w:val="Unresolved Mention"/>
    <w:basedOn w:val="Fuentedeprrafopredeter"/>
    <w:uiPriority w:val="99"/>
    <w:semiHidden/>
    <w:unhideWhenUsed/>
    <w:rsid w:val="00D3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bpesca.cl/portal/615/articles-88020_document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bpesca.cl/portal/616/articles-94523_documento.pdf" TargetMode="External"/><Relationship Id="rId5" Type="http://schemas.openxmlformats.org/officeDocument/2006/relationships/hyperlink" Target="https://www.subpesca.cl/portal/616/articles-94526_documento.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597</Words>
  <Characters>3285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Karstegl</dc:creator>
  <cp:keywords/>
  <dc:description/>
  <cp:lastModifiedBy>Alejandro Karstegl</cp:lastModifiedBy>
  <cp:revision>4</cp:revision>
  <dcterms:created xsi:type="dcterms:W3CDTF">2025-04-10T18:40:00Z</dcterms:created>
  <dcterms:modified xsi:type="dcterms:W3CDTF">2025-04-13T18:53:00Z</dcterms:modified>
</cp:coreProperties>
</file>