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7024" w14:textId="53A35E09" w:rsidR="006D709A" w:rsidRPr="006D709A" w:rsidRDefault="006D709A" w:rsidP="006D709A">
      <w:pPr>
        <w:jc w:val="center"/>
        <w:rPr>
          <w:b/>
          <w:bCs/>
          <w:sz w:val="28"/>
          <w:szCs w:val="28"/>
          <w:lang w:val="en-US"/>
        </w:rPr>
      </w:pPr>
      <w:r w:rsidRPr="006D709A">
        <w:rPr>
          <w:b/>
          <w:bCs/>
          <w:sz w:val="28"/>
          <w:szCs w:val="28"/>
          <w:lang w:val="en-US"/>
        </w:rPr>
        <w:t>Preliminary update for principle 1 of the MSC Pre-Assessment of Anchovy and Araucanian Herring between Region V and X, Chile.</w:t>
      </w:r>
    </w:p>
    <w:p w14:paraId="157C31D5" w14:textId="4365A92D" w:rsidR="006D709A" w:rsidRDefault="006D709A" w:rsidP="006D709A">
      <w:pPr>
        <w:jc w:val="center"/>
        <w:rPr>
          <w:lang w:val="en-US"/>
        </w:rPr>
      </w:pPr>
      <w:r>
        <w:rPr>
          <w:lang w:val="en-US"/>
        </w:rPr>
        <w:t>Alejandro Karstegl</w:t>
      </w:r>
    </w:p>
    <w:p w14:paraId="457C5090" w14:textId="152CEBC0" w:rsidR="00046E43" w:rsidRDefault="00046E43" w:rsidP="006D709A">
      <w:pPr>
        <w:jc w:val="center"/>
        <w:rPr>
          <w:lang w:val="en-US"/>
        </w:rPr>
      </w:pPr>
      <w:r>
        <w:rPr>
          <w:lang w:val="en-US"/>
        </w:rPr>
        <w:t>akarstegl@gmail.com</w:t>
      </w:r>
    </w:p>
    <w:p w14:paraId="662FDAE6" w14:textId="13FF01C4" w:rsidR="003E56F1" w:rsidRDefault="003E56F1" w:rsidP="006D709A">
      <w:pPr>
        <w:jc w:val="center"/>
        <w:rPr>
          <w:lang w:val="en-US"/>
        </w:rPr>
      </w:pPr>
      <w:r>
        <w:rPr>
          <w:lang w:val="en-US"/>
        </w:rPr>
        <w:t>March-2025</w:t>
      </w:r>
    </w:p>
    <w:p w14:paraId="675F02DE" w14:textId="77777777" w:rsidR="006D709A" w:rsidRDefault="006D709A" w:rsidP="00A46CB2">
      <w:pPr>
        <w:jc w:val="both"/>
        <w:rPr>
          <w:lang w:val="en-US"/>
        </w:rPr>
      </w:pPr>
    </w:p>
    <w:p w14:paraId="7AACDEF4" w14:textId="2E17F000" w:rsidR="006D709A" w:rsidRPr="006D709A" w:rsidRDefault="006D709A" w:rsidP="00A46CB2">
      <w:pPr>
        <w:jc w:val="both"/>
        <w:rPr>
          <w:lang w:val="en-US"/>
        </w:rPr>
      </w:pPr>
      <w:r w:rsidRPr="006D709A">
        <w:rPr>
          <w:lang w:val="en-US"/>
        </w:rPr>
        <w:t>The purpose of this analysis is to review and update the background and performance of the fishery since the previous Pre-Assessment and to contribute to the consolidation of the work proposals of the FIP Chile Central-South Araucanian herring and anchovy (Regions V-X) – purse seine.</w:t>
      </w:r>
    </w:p>
    <w:p w14:paraId="54F23A97" w14:textId="093392B9" w:rsidR="006D709A" w:rsidRPr="006D709A" w:rsidRDefault="006D709A" w:rsidP="00A46CB2">
      <w:pPr>
        <w:jc w:val="both"/>
        <w:rPr>
          <w:lang w:val="en-US"/>
        </w:rPr>
      </w:pPr>
      <w:r w:rsidRPr="006D709A">
        <w:rPr>
          <w:lang w:val="en-US"/>
        </w:rPr>
        <w:t>This analysis reviews the official and public information of the Undersecretariat of Fisheries and Aquaculture, the Institute of Fisheries Development, the Management Committee, the Scientific and Technical Committee and Scientific Publications or Research Projects</w:t>
      </w:r>
      <w:r w:rsidR="00524B2D">
        <w:rPr>
          <w:lang w:val="en-US"/>
        </w:rPr>
        <w:t xml:space="preserve">, for only some of the PI on Principle 1. </w:t>
      </w:r>
    </w:p>
    <w:p w14:paraId="6BBE87BF" w14:textId="77777777" w:rsidR="006D709A" w:rsidRPr="006D709A" w:rsidRDefault="006D709A" w:rsidP="00A46CB2">
      <w:pPr>
        <w:jc w:val="both"/>
        <w:rPr>
          <w:b/>
          <w:bCs/>
          <w:lang w:val="en-US"/>
        </w:rPr>
      </w:pPr>
      <w:r w:rsidRPr="006D709A">
        <w:rPr>
          <w:b/>
          <w:bCs/>
          <w:lang w:val="en-US"/>
        </w:rPr>
        <w:t>Context of the Anchovy and Araucanian Herring Fishery, V-X Regions, Chile</w:t>
      </w:r>
    </w:p>
    <w:p w14:paraId="2FF3A1BD" w14:textId="49FB9B5C" w:rsidR="002D0DF3" w:rsidRPr="002D0DF3" w:rsidRDefault="002D0DF3" w:rsidP="00A000FB">
      <w:pPr>
        <w:jc w:val="both"/>
        <w:rPr>
          <w:lang w:val="en-US"/>
        </w:rPr>
      </w:pPr>
      <w:r w:rsidRPr="002D0DF3">
        <w:rPr>
          <w:lang w:val="en-US"/>
        </w:rPr>
        <w:t>The Anchovy (Engraulis ringes) and Araucanian Herring (Strangomera bentincki)</w:t>
      </w:r>
      <w:r>
        <w:rPr>
          <w:lang w:val="en-US"/>
        </w:rPr>
        <w:t xml:space="preserve"> fisheries</w:t>
      </w:r>
      <w:r w:rsidRPr="002D0DF3">
        <w:rPr>
          <w:lang w:val="en-US"/>
        </w:rPr>
        <w:t xml:space="preserve"> in </w:t>
      </w:r>
      <w:r>
        <w:rPr>
          <w:lang w:val="en-US"/>
        </w:rPr>
        <w:t xml:space="preserve">the analysis </w:t>
      </w:r>
      <w:r w:rsidRPr="002D0DF3">
        <w:rPr>
          <w:lang w:val="en-US"/>
        </w:rPr>
        <w:t>area</w:t>
      </w:r>
      <w:r>
        <w:rPr>
          <w:lang w:val="en-US"/>
        </w:rPr>
        <w:t>,</w:t>
      </w:r>
      <w:r w:rsidRPr="002D0DF3">
        <w:rPr>
          <w:lang w:val="en-US"/>
        </w:rPr>
        <w:t xml:space="preserve"> between the V Region of Valparaíso and the X Region of Los Lagos </w:t>
      </w:r>
      <w:r>
        <w:rPr>
          <w:lang w:val="en-US"/>
        </w:rPr>
        <w:t>became</w:t>
      </w:r>
      <w:r w:rsidRPr="002D0DF3">
        <w:rPr>
          <w:lang w:val="en-US"/>
        </w:rPr>
        <w:t xml:space="preserve"> a single administrative unit. The legal mandate of the administration corresponds to the Undersecretariat </w:t>
      </w:r>
      <w:r>
        <w:rPr>
          <w:lang w:val="en-US"/>
        </w:rPr>
        <w:t>for</w:t>
      </w:r>
      <w:r w:rsidRPr="002D0DF3">
        <w:rPr>
          <w:lang w:val="en-US"/>
        </w:rPr>
        <w:t xml:space="preserve"> Fisheries and Aquaculture</w:t>
      </w:r>
      <w:r w:rsidR="00662D58">
        <w:rPr>
          <w:lang w:val="en-US"/>
        </w:rPr>
        <w:t xml:space="preserve"> (SUBPESCA)</w:t>
      </w:r>
      <w:r w:rsidRPr="002D0DF3">
        <w:rPr>
          <w:lang w:val="en-US"/>
        </w:rPr>
        <w:t>, the inspection and control of landings is carried out by the National Fisheries and Aquaculture Service</w:t>
      </w:r>
      <w:r w:rsidR="00662D58">
        <w:rPr>
          <w:lang w:val="en-US"/>
        </w:rPr>
        <w:t xml:space="preserve"> (SERNAPESCA)</w:t>
      </w:r>
      <w:r w:rsidRPr="002D0DF3">
        <w:rPr>
          <w:lang w:val="en-US"/>
        </w:rPr>
        <w:t xml:space="preserve">. The Chilean Navy </w:t>
      </w:r>
      <w:r w:rsidR="00662D58">
        <w:rPr>
          <w:lang w:val="en-US"/>
        </w:rPr>
        <w:t xml:space="preserve">(Armada de Chile) </w:t>
      </w:r>
      <w:r w:rsidRPr="002D0DF3">
        <w:rPr>
          <w:lang w:val="en-US"/>
        </w:rPr>
        <w:t xml:space="preserve">has authority over activities related to navigation and safety on board. The fisheries and aquaculture law </w:t>
      </w:r>
      <w:r w:rsidR="00662D58">
        <w:rPr>
          <w:lang w:val="en-US"/>
        </w:rPr>
        <w:t xml:space="preserve">(LGPA) </w:t>
      </w:r>
      <w:r w:rsidRPr="002D0DF3">
        <w:rPr>
          <w:lang w:val="en-US"/>
        </w:rPr>
        <w:t>establishes the objectives and procedures of management at a general level, defines responsibilities and tasks and authorizes the implementation of specific management measures.</w:t>
      </w:r>
    </w:p>
    <w:p w14:paraId="3090AF7F" w14:textId="17276818" w:rsidR="002D0DF3" w:rsidRPr="002D0DF3" w:rsidRDefault="002D0DF3" w:rsidP="00A000FB">
      <w:pPr>
        <w:jc w:val="both"/>
        <w:rPr>
          <w:lang w:val="en-US"/>
        </w:rPr>
      </w:pPr>
      <w:r w:rsidRPr="002D0DF3">
        <w:rPr>
          <w:lang w:val="en-US"/>
        </w:rPr>
        <w:t xml:space="preserve">The Fisheries Development Institute </w:t>
      </w:r>
      <w:r>
        <w:rPr>
          <w:lang w:val="en-US"/>
        </w:rPr>
        <w:t xml:space="preserve">(IFOP) </w:t>
      </w:r>
      <w:r w:rsidRPr="002D0DF3">
        <w:rPr>
          <w:lang w:val="en-US"/>
        </w:rPr>
        <w:t xml:space="preserve">is officially responsible for the collection of biological and fisheries information for fisheries administration and management.  </w:t>
      </w:r>
    </w:p>
    <w:p w14:paraId="41B21E38" w14:textId="77777777" w:rsidR="000F1F7C" w:rsidRPr="000F1F7C" w:rsidRDefault="000F1F7C" w:rsidP="002133DA">
      <w:pPr>
        <w:jc w:val="both"/>
        <w:rPr>
          <w:lang w:val="en-US"/>
        </w:rPr>
      </w:pPr>
      <w:r w:rsidRPr="000F1F7C">
        <w:rPr>
          <w:lang w:val="en-US"/>
        </w:rPr>
        <w:t xml:space="preserve">Scientific advice is formally provided by the Scientific Technical Committee for Small Pelaggios </w:t>
      </w:r>
    </w:p>
    <w:p w14:paraId="693E23E2" w14:textId="77777777" w:rsidR="000F1F7C" w:rsidRPr="000F1F7C" w:rsidRDefault="000F1F7C" w:rsidP="002133DA">
      <w:pPr>
        <w:jc w:val="both"/>
        <w:rPr>
          <w:lang w:val="en-US"/>
        </w:rPr>
      </w:pPr>
      <w:r w:rsidRPr="000F1F7C">
        <w:rPr>
          <w:lang w:val="en-US"/>
        </w:rPr>
        <w:t>Management advice is carried out in accordance with the "management plan for the common sardine and anchovy V fishery to the X regions" within the Anchovy and Common Sardine Management Committee</w:t>
      </w:r>
    </w:p>
    <w:p w14:paraId="39A95AD4" w14:textId="71086E22" w:rsidR="002D0DF3" w:rsidRPr="002D0DF3" w:rsidRDefault="002D0DF3" w:rsidP="00A000FB">
      <w:pPr>
        <w:jc w:val="both"/>
        <w:rPr>
          <w:lang w:val="en-US"/>
        </w:rPr>
      </w:pPr>
      <w:r w:rsidRPr="002D0DF3">
        <w:rPr>
          <w:lang w:val="en-US"/>
        </w:rPr>
        <w:lastRenderedPageBreak/>
        <w:t xml:space="preserve">In terms of management, during the year 2024, the Anchovy and Araucanian Herring fishery has the following </w:t>
      </w:r>
      <w:r w:rsidR="00662D58">
        <w:rPr>
          <w:lang w:val="en-US"/>
        </w:rPr>
        <w:t>frame</w:t>
      </w:r>
      <w:r w:rsidRPr="002D0DF3">
        <w:rPr>
          <w:lang w:val="en-US"/>
        </w:rPr>
        <w:t>:</w:t>
      </w:r>
    </w:p>
    <w:p w14:paraId="17B0DE60" w14:textId="08D509D5" w:rsidR="004B7059" w:rsidRPr="006D709A" w:rsidRDefault="000F1F7C" w:rsidP="004B7059">
      <w:pPr>
        <w:jc w:val="both"/>
        <w:rPr>
          <w:b/>
          <w:bCs/>
          <w:lang w:val="en-US"/>
        </w:rPr>
      </w:pPr>
      <w:r w:rsidRPr="006D709A">
        <w:rPr>
          <w:b/>
          <w:bCs/>
          <w:lang w:val="en-US"/>
        </w:rPr>
        <w:t>Anchovy</w:t>
      </w:r>
    </w:p>
    <w:p w14:paraId="036FC1D4" w14:textId="77777777" w:rsidR="000F1F7C" w:rsidRPr="006D709A" w:rsidRDefault="000F1F7C" w:rsidP="007052B6">
      <w:pPr>
        <w:jc w:val="both"/>
        <w:rPr>
          <w:u w:val="single"/>
          <w:lang w:val="en-US"/>
        </w:rPr>
      </w:pPr>
      <w:r w:rsidRPr="006D709A">
        <w:rPr>
          <w:u w:val="single"/>
          <w:lang w:val="en-US"/>
        </w:rPr>
        <w:t>Biological Framework of Reference</w:t>
      </w:r>
    </w:p>
    <w:p w14:paraId="716BA2FA" w14:textId="176C2292" w:rsidR="000F1F7C" w:rsidRPr="000F1F7C" w:rsidRDefault="000F1F7C" w:rsidP="007052B6">
      <w:pPr>
        <w:jc w:val="both"/>
        <w:rPr>
          <w:lang w:val="en-US"/>
        </w:rPr>
      </w:pPr>
      <w:r w:rsidRPr="000F1F7C">
        <w:rPr>
          <w:lang w:val="en-US"/>
        </w:rPr>
        <w:t xml:space="preserve">The </w:t>
      </w:r>
      <w:r>
        <w:rPr>
          <w:lang w:val="en-US"/>
        </w:rPr>
        <w:t xml:space="preserve">Scientific </w:t>
      </w:r>
      <w:r w:rsidRPr="000F1F7C">
        <w:rPr>
          <w:lang w:val="en-US"/>
        </w:rPr>
        <w:t>Committee considered for the definition of the status and range of anchovy CBA Regions from Valparaíso to Los Lagos, by the year 2025, the PBR's established by it, based on the CCT-PP Report No. 01/2015, embodied in Res. Ex. No. 291 of 2015, that is:</w:t>
      </w:r>
    </w:p>
    <w:p w14:paraId="37E6BF20" w14:textId="77777777" w:rsidR="004B7059" w:rsidRDefault="004B7059" w:rsidP="004B7059">
      <w:pPr>
        <w:jc w:val="both"/>
      </w:pPr>
      <w:r>
        <w:t>Proxy BDRMS = 60%BDPR o 55%BDo; 481.000 t.</w:t>
      </w:r>
    </w:p>
    <w:p w14:paraId="4C0FB31D" w14:textId="77777777" w:rsidR="004B7059" w:rsidRDefault="004B7059" w:rsidP="004B7059">
      <w:pPr>
        <w:jc w:val="both"/>
      </w:pPr>
      <w:r>
        <w:t>BD límite = 27,5%BDo; 240.500 t.</w:t>
      </w:r>
    </w:p>
    <w:p w14:paraId="5AA2A526" w14:textId="77777777" w:rsidR="004B7059" w:rsidRDefault="004B7059" w:rsidP="004B7059">
      <w:pPr>
        <w:jc w:val="both"/>
      </w:pPr>
      <w:r>
        <w:t>Proxy FRMS =F60% BDR; 0.47</w:t>
      </w:r>
    </w:p>
    <w:p w14:paraId="7C8A3502" w14:textId="42FDFACE" w:rsidR="000F1F7C" w:rsidRPr="003E56F1" w:rsidRDefault="004B7059" w:rsidP="00886B6D">
      <w:pPr>
        <w:jc w:val="both"/>
        <w:rPr>
          <w:u w:val="single"/>
          <w:lang w:val="en-US"/>
        </w:rPr>
      </w:pPr>
      <w:r>
        <w:t xml:space="preserve"> </w:t>
      </w:r>
      <w:r w:rsidR="000F1F7C" w:rsidRPr="003E56F1">
        <w:rPr>
          <w:u w:val="single"/>
          <w:lang w:val="en-US"/>
        </w:rPr>
        <w:t>Resource status</w:t>
      </w:r>
    </w:p>
    <w:p w14:paraId="1FEEFAC1" w14:textId="77777777" w:rsidR="000F1F7C" w:rsidRPr="000F1F7C" w:rsidRDefault="000F1F7C" w:rsidP="005007D9">
      <w:pPr>
        <w:jc w:val="both"/>
        <w:rPr>
          <w:lang w:val="en-US"/>
        </w:rPr>
      </w:pPr>
      <w:r w:rsidRPr="000F1F7C">
        <w:rPr>
          <w:lang w:val="en-US"/>
        </w:rPr>
        <w:t>The fluctuations in anchovy recruitment have been significant, being weak from 2006/07, registering in 2012/13 the lowest in the historical series. From 2014/15 onwards, a slight increase in recruitments has been observed, with estimates from 2019/20 to the present being the highest in the last 15 years. The estimated recruitment for the year 2023/24 is 67.8 billion individuals, corresponding to 14% higher than the year 2022/23.</w:t>
      </w:r>
    </w:p>
    <w:p w14:paraId="2E168705" w14:textId="77777777" w:rsidR="000F1F7C" w:rsidRPr="000F1F7C" w:rsidRDefault="000F1F7C" w:rsidP="005007D9">
      <w:pPr>
        <w:jc w:val="both"/>
        <w:rPr>
          <w:lang w:val="en-US"/>
        </w:rPr>
      </w:pPr>
      <w:r w:rsidRPr="000F1F7C">
        <w:rPr>
          <w:lang w:val="en-US"/>
        </w:rPr>
        <w:t xml:space="preserve"> The historical series of total and spawning biomass show a sustained decrease since 2005/06, a condition that has been reversed since 2012/13, showing a slight upward trend towards the most recent years. This upward trend continues until 2023/24, with a total biomass estimate of 1,179 thousand tons, 2.7% higher than the estimate of the previous biological year 2022/23, corresponding to the highest estimate in the last 15 years of the series. As for the biomass of the spawning stock, it has also been increasing since 2013/14, estimated for the year 2023/24 at 756 thousand t, with a 2.5% increase compared to the previous year and 57% above the biomass at MSY, being the highest estimate in the last 15 years.</w:t>
      </w:r>
    </w:p>
    <w:p w14:paraId="31469A8B" w14:textId="5FB7044D" w:rsidR="000F1F7C" w:rsidRPr="000F1F7C" w:rsidRDefault="000F1F7C" w:rsidP="005007D9">
      <w:pPr>
        <w:jc w:val="both"/>
        <w:rPr>
          <w:lang w:val="en-US"/>
        </w:rPr>
      </w:pPr>
      <w:r w:rsidRPr="000F1F7C">
        <w:rPr>
          <w:lang w:val="en-US"/>
        </w:rPr>
        <w:t xml:space="preserve"> In terms of fishing mortality levels (Ft year-1), in general, it has historically remained above the FRMS reference target level, however, from 2016/17 onwards Ft levels were below the management target, remaining until the most recent year. For the year 2023/24, F was estimated at 0.25 yr-1, being 47% lower than the reference value associated with the FRMS. Based on indicators and trends, anchovy is indicated to be in a state of Full Exploitation (Figure </w:t>
      </w:r>
      <w:r w:rsidR="00E33925">
        <w:rPr>
          <w:lang w:val="en-US"/>
        </w:rPr>
        <w:t>1</w:t>
      </w:r>
      <w:r w:rsidRPr="000F1F7C">
        <w:rPr>
          <w:lang w:val="en-US"/>
        </w:rPr>
        <w:t>).</w:t>
      </w:r>
    </w:p>
    <w:p w14:paraId="0B074236" w14:textId="6DF2F587" w:rsidR="004B7059" w:rsidRDefault="00303A38" w:rsidP="006C4392">
      <w:pPr>
        <w:jc w:val="center"/>
      </w:pPr>
      <w:r>
        <w:lastRenderedPageBreak/>
        <w:t>D</w:t>
      </w:r>
      <w:r w:rsidR="006C4392">
        <w:t>iagrama de Fase</w:t>
      </w:r>
    </w:p>
    <w:p w14:paraId="3083B968" w14:textId="19080B21" w:rsidR="004B7059" w:rsidRDefault="008A7210" w:rsidP="00303A38">
      <w:pPr>
        <w:jc w:val="center"/>
      </w:pPr>
      <w:r>
        <w:rPr>
          <w:noProof/>
        </w:rPr>
        <w:drawing>
          <wp:inline distT="0" distB="0" distL="0" distR="0" wp14:anchorId="649FA5F6" wp14:editId="676EA2D3">
            <wp:extent cx="2012950" cy="1938397"/>
            <wp:effectExtent l="0" t="0" r="6350" b="5080"/>
            <wp:docPr id="20108645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64576" name="Imagen 2010864576"/>
                    <pic:cNvPicPr/>
                  </pic:nvPicPr>
                  <pic:blipFill>
                    <a:blip r:embed="rId5">
                      <a:extLst>
                        <a:ext uri="{28A0092B-C50C-407E-A947-70E740481C1C}">
                          <a14:useLocalDpi xmlns:a14="http://schemas.microsoft.com/office/drawing/2010/main" val="0"/>
                        </a:ext>
                      </a:extLst>
                    </a:blip>
                    <a:stretch>
                      <a:fillRect/>
                    </a:stretch>
                  </pic:blipFill>
                  <pic:spPr>
                    <a:xfrm>
                      <a:off x="0" y="0"/>
                      <a:ext cx="2024929" cy="1949932"/>
                    </a:xfrm>
                    <a:prstGeom prst="rect">
                      <a:avLst/>
                    </a:prstGeom>
                  </pic:spPr>
                </pic:pic>
              </a:graphicData>
            </a:graphic>
          </wp:inline>
        </w:drawing>
      </w:r>
    </w:p>
    <w:p w14:paraId="3199DE90" w14:textId="4F205F4D" w:rsidR="006C4392" w:rsidRPr="006C4392" w:rsidRDefault="004B7059" w:rsidP="00C857B8">
      <w:pPr>
        <w:jc w:val="both"/>
        <w:rPr>
          <w:lang w:val="en-US"/>
        </w:rPr>
      </w:pPr>
      <w:r w:rsidRPr="006C4392">
        <w:rPr>
          <w:lang w:val="en-US"/>
        </w:rPr>
        <w:t xml:space="preserve"> </w:t>
      </w:r>
      <w:r w:rsidR="006C4392" w:rsidRPr="006C4392">
        <w:rPr>
          <w:lang w:val="en-US"/>
        </w:rPr>
        <w:t>Figure 1. Diagram of the exploitation phase of the spawning biomass with respect to fishing mortality from September 2024 advisory, anchovy. The axes are standardized to the values that generate the RMS proxy. Blue cross corresponds to the confidence intervals of the BD/BDRMS and F/FRMS ratio.</w:t>
      </w:r>
    </w:p>
    <w:p w14:paraId="04DE984F" w14:textId="248B89DA" w:rsidR="008A7210" w:rsidRPr="006D709A" w:rsidRDefault="004B7059" w:rsidP="007B18EC">
      <w:pPr>
        <w:jc w:val="both"/>
        <w:rPr>
          <w:u w:val="single"/>
          <w:lang w:val="en-US"/>
        </w:rPr>
      </w:pPr>
      <w:r w:rsidRPr="006C4392">
        <w:rPr>
          <w:lang w:val="en-US"/>
        </w:rPr>
        <w:t xml:space="preserve"> </w:t>
      </w:r>
      <w:r w:rsidR="008A7210" w:rsidRPr="006D709A">
        <w:rPr>
          <w:u w:val="single"/>
          <w:lang w:val="en-US"/>
        </w:rPr>
        <w:t>Biologically Acceptable Catch Range 2025</w:t>
      </w:r>
    </w:p>
    <w:p w14:paraId="6A85D14F" w14:textId="77777777" w:rsidR="008A7210" w:rsidRPr="008A7210" w:rsidRDefault="008A7210" w:rsidP="007B18EC">
      <w:pPr>
        <w:jc w:val="both"/>
        <w:rPr>
          <w:lang w:val="en-US"/>
        </w:rPr>
      </w:pPr>
      <w:r w:rsidRPr="008A7210">
        <w:rPr>
          <w:lang w:val="en-US"/>
        </w:rPr>
        <w:t>The Committee recommended a total maximum CBA that tends to the MSY equivalent to 281,066 t, Technical Report No. 5 of the sixth session of the year 2024 of the CCT-PP and Minutes of the 6th session of the CCT-PP. Consequently, discounting this catch by 1.11% of discard for the year 2025, a maximum CBA of 277,952 tonnes and a range between 222,361 and 277,952 tonnes is adopted, in accordance with Article 153 letter c) of the LGPA.</w:t>
      </w:r>
    </w:p>
    <w:p w14:paraId="2ABBAFE6" w14:textId="77777777" w:rsidR="008A7210" w:rsidRPr="008A7210" w:rsidRDefault="008A7210" w:rsidP="007B18EC">
      <w:pPr>
        <w:jc w:val="both"/>
        <w:rPr>
          <w:lang w:val="en-US"/>
        </w:rPr>
      </w:pPr>
      <w:r w:rsidRPr="008A7210">
        <w:rPr>
          <w:lang w:val="en-US"/>
        </w:rPr>
        <w:t xml:space="preserve"> In addition, due to the fact that in previous years anchovy landings were recorded through the operation of the pelagic fleet that directed its objective effort on southern sardines in the Aysén Region, the CCT-PP considered it pertinent to maintain the incorporation of the Aysén Region into the distribution area of the current south-central anchovy CBA. Consequently, 20 tons of anchovy were destined to be destined for accompanying fauna of the southern sardine fishery in the Aysén Region. Therefore, the annual global anchovy catch quota from the Valparaíso to Los Lagos Regions corresponds to 277,932 t. </w:t>
      </w:r>
    </w:p>
    <w:p w14:paraId="20B7892F" w14:textId="129553DA" w:rsidR="00030FC2" w:rsidRPr="006D709A" w:rsidRDefault="00030FC2" w:rsidP="00E27D20">
      <w:pPr>
        <w:jc w:val="both"/>
        <w:rPr>
          <w:b/>
          <w:bCs/>
          <w:lang w:val="en-US"/>
        </w:rPr>
      </w:pPr>
      <w:r w:rsidRPr="006D709A">
        <w:rPr>
          <w:b/>
          <w:bCs/>
          <w:lang w:val="en-US"/>
        </w:rPr>
        <w:t>Araucanian Herring</w:t>
      </w:r>
    </w:p>
    <w:p w14:paraId="3C16942F" w14:textId="77777777" w:rsidR="00030FC2" w:rsidRPr="006D709A" w:rsidRDefault="00030FC2" w:rsidP="00E27D20">
      <w:pPr>
        <w:jc w:val="both"/>
        <w:rPr>
          <w:u w:val="single"/>
          <w:lang w:val="en-US"/>
        </w:rPr>
      </w:pPr>
      <w:r w:rsidRPr="006D709A">
        <w:rPr>
          <w:u w:val="single"/>
          <w:lang w:val="en-US"/>
        </w:rPr>
        <w:t>Biological Framework of Reference</w:t>
      </w:r>
    </w:p>
    <w:p w14:paraId="493FAD2F" w14:textId="5A83A139" w:rsidR="00030FC2" w:rsidRPr="00030FC2" w:rsidRDefault="00030FC2" w:rsidP="00E27D20">
      <w:pPr>
        <w:jc w:val="both"/>
        <w:rPr>
          <w:lang w:val="en-US"/>
        </w:rPr>
      </w:pPr>
      <w:r w:rsidRPr="00030FC2">
        <w:rPr>
          <w:lang w:val="en-US"/>
        </w:rPr>
        <w:t xml:space="preserve">The Committee considered for the definition of the status and range of CBA of </w:t>
      </w:r>
      <w:r>
        <w:rPr>
          <w:lang w:val="en-US"/>
        </w:rPr>
        <w:t>Araucanian Herring</w:t>
      </w:r>
      <w:r w:rsidRPr="00030FC2">
        <w:rPr>
          <w:lang w:val="en-US"/>
        </w:rPr>
        <w:t xml:space="preserve"> Regions from Valparaíso to Los Lagos, by the year 2025, the PBR's </w:t>
      </w:r>
      <w:r w:rsidRPr="00030FC2">
        <w:rPr>
          <w:lang w:val="en-US"/>
        </w:rPr>
        <w:lastRenderedPageBreak/>
        <w:t>established by it, based on the CCT-PP Report No. 01/2015, embodied in Res. Ex. No. 291 of 2015, that is:</w:t>
      </w:r>
    </w:p>
    <w:p w14:paraId="2AE3C34F" w14:textId="77777777" w:rsidR="00030FC2" w:rsidRDefault="00030FC2" w:rsidP="00E27D20">
      <w:pPr>
        <w:jc w:val="both"/>
      </w:pPr>
      <w:r>
        <w:t>Proxy BDRMS = 60%BDPR o 55%BDo; 841.000 t.</w:t>
      </w:r>
    </w:p>
    <w:p w14:paraId="7EC8825D" w14:textId="77777777" w:rsidR="00030FC2" w:rsidRPr="00030FC2" w:rsidRDefault="00030FC2" w:rsidP="00E27D20">
      <w:pPr>
        <w:jc w:val="both"/>
        <w:rPr>
          <w:lang w:val="en-US"/>
        </w:rPr>
      </w:pPr>
      <w:r w:rsidRPr="00030FC2">
        <w:rPr>
          <w:lang w:val="en-US"/>
        </w:rPr>
        <w:t>Limit BD = 27.5%BDo; 420,500 t.</w:t>
      </w:r>
    </w:p>
    <w:p w14:paraId="6D3E33BA" w14:textId="77777777" w:rsidR="00030FC2" w:rsidRPr="00030FC2" w:rsidRDefault="00030FC2" w:rsidP="00E27D20">
      <w:pPr>
        <w:jc w:val="both"/>
        <w:rPr>
          <w:lang w:val="en-US"/>
        </w:rPr>
      </w:pPr>
      <w:r w:rsidRPr="00030FC2">
        <w:rPr>
          <w:lang w:val="en-US"/>
        </w:rPr>
        <w:t>Proxy FRMS =F60% BDR; 0.31</w:t>
      </w:r>
    </w:p>
    <w:p w14:paraId="16FF0882" w14:textId="77777777" w:rsidR="00030FC2" w:rsidRPr="006D709A" w:rsidRDefault="00030FC2" w:rsidP="00AA55E5">
      <w:pPr>
        <w:jc w:val="both"/>
        <w:rPr>
          <w:u w:val="single"/>
          <w:lang w:val="en-US"/>
        </w:rPr>
      </w:pPr>
      <w:r w:rsidRPr="006D709A">
        <w:rPr>
          <w:u w:val="single"/>
          <w:lang w:val="en-US"/>
        </w:rPr>
        <w:t>Resource status</w:t>
      </w:r>
    </w:p>
    <w:p w14:paraId="50F61C06" w14:textId="77777777" w:rsidR="00030FC2" w:rsidRPr="00030FC2" w:rsidRDefault="00030FC2" w:rsidP="00AA55E5">
      <w:pPr>
        <w:jc w:val="both"/>
        <w:rPr>
          <w:lang w:val="en-US"/>
        </w:rPr>
      </w:pPr>
      <w:r w:rsidRPr="00030FC2">
        <w:rPr>
          <w:lang w:val="en-US"/>
        </w:rPr>
        <w:t>Recruitment trends have shown significant year-on-year fluctuations and in its known history three relevant periods can be seen: a) Average recruitment for the period 1991-2007 with the lowest levels of recruitment (97.96 billion fish), b) Average recruitment for the period 2008-2012 with the highest levels of recruitment (403 billion fish) and c) Average recruitment for the recent period 2013-2024 around 148.6 billion fish. After a drop in the annual class of 2022, in 2023 recruitments experienced a significant recovery, standing 22.2% above the average recent recruitment (R2013−2024). However, there is a significant reduction in the 2024 annual class (65.8 billion fish) compared to the level estimated in 2023, showing a decrease of 52.1% compared to the previous year (R2023 = 137.4 billion fish), 52.9% lower than the historical average recruitment of the series (R1991−2024 = 139.7 billion fish) and 62.8% under recent recruitment (2013-2024).</w:t>
      </w:r>
    </w:p>
    <w:p w14:paraId="0C9DDFE2" w14:textId="77777777" w:rsidR="00030FC2" w:rsidRPr="00030FC2" w:rsidRDefault="00030FC2" w:rsidP="00AA55E5">
      <w:pPr>
        <w:jc w:val="both"/>
        <w:rPr>
          <w:lang w:val="en-US"/>
        </w:rPr>
      </w:pPr>
      <w:r w:rsidRPr="00030FC2">
        <w:rPr>
          <w:lang w:val="en-US"/>
        </w:rPr>
        <w:t>The total biomass has had a significant growth since 2008 that generates a change of status that is maintained until 2018, however, it presents a high variability as a result of recruitment fluctuations. During the period of highest productivity of common sardines (2008-2012) the average total biomass was 2.86 million tonnes. In 2023, a total biomass of 2.08 million tonnes was estimated, which was 27.4% lower than the average for the period of highest productivity and 18.1% higher than the historical average of the series (1.75 million tonnes). The total biomass for the year 2024 was estimated at around 1.14 million t, falling by 44.9% compared to 2023, and 34.6% lower than the historical average of the series. On the other hand, the average spawning biomass of the historical series is around 797.1 thousand tons, while the average of the last 12 years (period 2013-2024) of the series is 1.03 million tons. The estimated spawning biomass for the 2023/24 biological year is 8.4% lower than the historical average and 29.3% lower than the average for the recent period (2013-2024). Taking into account that the spawning biomass at Maximum Sustained Yield (BDRMS) is estimated at around 840.8 thousand tons, the BD2023/24 is 13.2% low BDRMS.</w:t>
      </w:r>
    </w:p>
    <w:p w14:paraId="3B13F29F" w14:textId="77777777" w:rsidR="00030FC2" w:rsidRPr="00030FC2" w:rsidRDefault="00030FC2" w:rsidP="00732F42">
      <w:pPr>
        <w:jc w:val="both"/>
        <w:rPr>
          <w:lang w:val="en-US"/>
        </w:rPr>
      </w:pPr>
      <w:r w:rsidRPr="00030FC2">
        <w:rPr>
          <w:lang w:val="en-US"/>
        </w:rPr>
        <w:t xml:space="preserve">Fishing mortality (Ft) has remained at a moderate level, generally lower than natural mortality (M=1.0 yr-1), except for the year 2024, when biomass levels were low. This is </w:t>
      </w:r>
      <w:r w:rsidRPr="00030FC2">
        <w:rPr>
          <w:lang w:val="en-US"/>
        </w:rPr>
        <w:lastRenderedPageBreak/>
        <w:t>reflected in catches, which, on average, have followed fluctuations in biomass with conservative exploitation rates. Since 2005, fishing mortality has followed a downward trend, accentuated since 2013 under the MSFY value as a result of the application of the F60% target. The catch for the year 2023/24 updated to June 2024 generates a fishing mortality under the FMSY (F2023/24 = 0.171), being 51.7% lower than the previous year.</w:t>
      </w:r>
    </w:p>
    <w:p w14:paraId="3AA03762" w14:textId="7650B0D6" w:rsidR="00030FC2" w:rsidRPr="00030FC2" w:rsidRDefault="00030FC2" w:rsidP="002E5C3F">
      <w:pPr>
        <w:jc w:val="both"/>
        <w:rPr>
          <w:lang w:val="en-US"/>
        </w:rPr>
      </w:pPr>
      <w:r w:rsidRPr="00030FC2">
        <w:rPr>
          <w:lang w:val="en-US"/>
        </w:rPr>
        <w:t xml:space="preserve">Based on the indicators and trends, it is indicated that the common sardine is in a state of Overexploitation (Figure </w:t>
      </w:r>
      <w:r>
        <w:rPr>
          <w:lang w:val="en-US"/>
        </w:rPr>
        <w:t>2</w:t>
      </w:r>
      <w:r w:rsidRPr="00030FC2">
        <w:rPr>
          <w:lang w:val="en-US"/>
        </w:rPr>
        <w:t>).</w:t>
      </w:r>
    </w:p>
    <w:p w14:paraId="6DF96750" w14:textId="2BCB7770" w:rsidR="004B7059" w:rsidRDefault="008A7210" w:rsidP="008A7210">
      <w:pPr>
        <w:jc w:val="center"/>
      </w:pPr>
      <w:r>
        <w:rPr>
          <w:noProof/>
        </w:rPr>
        <w:drawing>
          <wp:inline distT="0" distB="0" distL="0" distR="0" wp14:anchorId="37B1E120" wp14:editId="38F37B85">
            <wp:extent cx="2272906" cy="2183930"/>
            <wp:effectExtent l="0" t="0" r="0" b="6985"/>
            <wp:docPr id="3750998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99830" name="Imagen 3750998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5997" cy="2206118"/>
                    </a:xfrm>
                    <a:prstGeom prst="rect">
                      <a:avLst/>
                    </a:prstGeom>
                  </pic:spPr>
                </pic:pic>
              </a:graphicData>
            </a:graphic>
          </wp:inline>
        </w:drawing>
      </w:r>
    </w:p>
    <w:p w14:paraId="13FD6798" w14:textId="77777777" w:rsidR="004B7059" w:rsidRPr="006D709A" w:rsidRDefault="004B7059" w:rsidP="004B7059">
      <w:pPr>
        <w:jc w:val="both"/>
        <w:rPr>
          <w:lang w:val="en-US"/>
        </w:rPr>
      </w:pPr>
      <w:r w:rsidRPr="006D709A">
        <w:rPr>
          <w:lang w:val="en-US"/>
        </w:rPr>
        <w:t xml:space="preserve"> </w:t>
      </w:r>
    </w:p>
    <w:p w14:paraId="202F5A2B" w14:textId="25B406CE" w:rsidR="006D709A" w:rsidRPr="006D709A" w:rsidRDefault="006D709A" w:rsidP="00072B7A">
      <w:pPr>
        <w:jc w:val="both"/>
        <w:rPr>
          <w:lang w:val="en-US"/>
        </w:rPr>
      </w:pPr>
      <w:r w:rsidRPr="006D709A">
        <w:rPr>
          <w:lang w:val="en-US"/>
        </w:rPr>
        <w:t xml:space="preserve">Figure </w:t>
      </w:r>
      <w:r>
        <w:rPr>
          <w:lang w:val="en-US"/>
        </w:rPr>
        <w:t>2</w:t>
      </w:r>
      <w:r w:rsidRPr="006D709A">
        <w:rPr>
          <w:lang w:val="en-US"/>
        </w:rPr>
        <w:t>. Diagram of exploitation phases of spawning biomass with respect to fishing mortality from the September 2024 advisory, common sardines. The axes are standardized to the values that generate the RMS proxy. Blue cross corresponds to the confidence intervals of the BD/BDRMS and F/FRMS ratio.</w:t>
      </w:r>
    </w:p>
    <w:p w14:paraId="53A2F3DE" w14:textId="77777777" w:rsidR="006D709A" w:rsidRPr="006D709A" w:rsidRDefault="006D709A" w:rsidP="00072B7A">
      <w:pPr>
        <w:jc w:val="both"/>
        <w:rPr>
          <w:u w:val="single"/>
          <w:lang w:val="en-US"/>
        </w:rPr>
      </w:pPr>
      <w:r w:rsidRPr="006D709A">
        <w:rPr>
          <w:u w:val="single"/>
          <w:lang w:val="en-US"/>
        </w:rPr>
        <w:t>Biologically Acceptable Catch Range 2025</w:t>
      </w:r>
    </w:p>
    <w:p w14:paraId="2D727A18" w14:textId="77777777" w:rsidR="006D709A" w:rsidRPr="006D709A" w:rsidRDefault="006D709A" w:rsidP="00072B7A">
      <w:pPr>
        <w:jc w:val="both"/>
        <w:rPr>
          <w:lang w:val="en-US"/>
        </w:rPr>
      </w:pPr>
      <w:r w:rsidRPr="006D709A">
        <w:rPr>
          <w:lang w:val="en-US"/>
        </w:rPr>
        <w:t>The Committee recommended a total maximum CBA that tends to the MSY equivalent to 249,044 t, Technical Report No. 5 of the sixth session of the year 2024 of the CCT-PP and Minutes of the 6th session of the CCT-PP. Consequently, discounting this catch by 3.56% of discard for the year 2025, a maximum CBA of 240,181 t. and a range between 192,144 and 240,181 t. is adopted, in accordance with article 153 letter c) of the LGPA.</w:t>
      </w:r>
    </w:p>
    <w:p w14:paraId="0A3D3E7E" w14:textId="77777777" w:rsidR="00CA7AF0" w:rsidRPr="006D709A" w:rsidRDefault="00CA7AF0" w:rsidP="004B7059">
      <w:pPr>
        <w:jc w:val="both"/>
        <w:rPr>
          <w:lang w:val="en-US"/>
        </w:rPr>
      </w:pPr>
    </w:p>
    <w:p w14:paraId="275E4560" w14:textId="77777777" w:rsidR="00CA7AF0" w:rsidRPr="006D709A" w:rsidRDefault="00CA7AF0" w:rsidP="004B7059">
      <w:pPr>
        <w:jc w:val="both"/>
        <w:rPr>
          <w:lang w:val="en-US"/>
        </w:rPr>
      </w:pPr>
    </w:p>
    <w:p w14:paraId="77162EC2" w14:textId="77777777" w:rsidR="00CA7AF0" w:rsidRPr="006D709A" w:rsidRDefault="00CA7AF0" w:rsidP="004B7059">
      <w:pPr>
        <w:jc w:val="both"/>
        <w:rPr>
          <w:lang w:val="en-US"/>
        </w:rPr>
      </w:pPr>
    </w:p>
    <w:p w14:paraId="6B84010F" w14:textId="77777777" w:rsidR="00CA7AF0" w:rsidRPr="006D709A" w:rsidRDefault="00CA7AF0" w:rsidP="004B7059">
      <w:pPr>
        <w:jc w:val="both"/>
        <w:rPr>
          <w:lang w:val="en-US"/>
        </w:rPr>
      </w:pPr>
    </w:p>
    <w:p w14:paraId="6C3D3DE6" w14:textId="77777777" w:rsidR="00CA7AF0" w:rsidRPr="006D709A" w:rsidRDefault="00CA7AF0" w:rsidP="004B7059">
      <w:pPr>
        <w:jc w:val="both"/>
        <w:rPr>
          <w:lang w:val="en-US"/>
        </w:rPr>
      </w:pPr>
    </w:p>
    <w:p w14:paraId="54C039E6" w14:textId="5462D881" w:rsidR="00DC1F4C" w:rsidRPr="008A2098" w:rsidRDefault="00DC1F4C" w:rsidP="006D709A">
      <w:pPr>
        <w:jc w:val="center"/>
        <w:rPr>
          <w:b/>
          <w:bCs/>
          <w:lang w:val="en-US"/>
        </w:rPr>
      </w:pPr>
      <w:r w:rsidRPr="008A2098">
        <w:rPr>
          <w:b/>
          <w:bCs/>
          <w:lang w:val="en-US"/>
        </w:rPr>
        <w:t>Principle 1</w:t>
      </w:r>
      <w:r w:rsidR="006D709A">
        <w:rPr>
          <w:b/>
          <w:bCs/>
          <w:lang w:val="en-US"/>
        </w:rPr>
        <w:t>:</w:t>
      </w:r>
      <w:r w:rsidRPr="008A2098">
        <w:rPr>
          <w:b/>
          <w:bCs/>
          <w:lang w:val="en-US"/>
        </w:rPr>
        <w:t xml:space="preserve"> Performance Indicators for Anchovy and Araucanian Herring, V-X, Chile</w:t>
      </w:r>
    </w:p>
    <w:p w14:paraId="4D4403C5" w14:textId="772381BB" w:rsidR="009611DE" w:rsidRPr="002D7941" w:rsidRDefault="009611DE" w:rsidP="009611DE">
      <w:pPr>
        <w:jc w:val="both"/>
        <w:rPr>
          <w:b/>
          <w:bCs/>
          <w:u w:val="single"/>
          <w:lang w:val="en-US"/>
        </w:rPr>
      </w:pPr>
      <w:r w:rsidRPr="002D7941">
        <w:rPr>
          <w:b/>
          <w:bCs/>
          <w:u w:val="single"/>
          <w:lang w:val="en-US"/>
        </w:rPr>
        <w:t>PI 1.1.1 – Stock status Anchovy</w:t>
      </w:r>
      <w:r w:rsidR="00120897" w:rsidRPr="002D7941">
        <w:rPr>
          <w:b/>
          <w:bCs/>
          <w:u w:val="single"/>
          <w:lang w:val="en-US"/>
        </w:rPr>
        <w:t xml:space="preserve"> &amp; Araucanian Herring</w:t>
      </w:r>
    </w:p>
    <w:p w14:paraId="2D3D3CB5" w14:textId="08394042" w:rsidR="009611DE" w:rsidRPr="002E220F" w:rsidRDefault="009611DE" w:rsidP="009611DE">
      <w:pPr>
        <w:jc w:val="both"/>
        <w:rPr>
          <w:u w:val="single"/>
          <w:lang w:val="en-US"/>
        </w:rPr>
      </w:pPr>
      <w:r w:rsidRPr="002E220F">
        <w:rPr>
          <w:u w:val="single"/>
          <w:lang w:val="en-US"/>
        </w:rPr>
        <w:t>PI 1.1.1 The stock is at a level that maintains high productivity and has a low probability of recruitment overfishing</w:t>
      </w:r>
    </w:p>
    <w:p w14:paraId="6BF5E0AD" w14:textId="09C4DCDA" w:rsidR="00120897" w:rsidRPr="002E220F" w:rsidRDefault="00120897" w:rsidP="009611DE">
      <w:pPr>
        <w:jc w:val="both"/>
        <w:rPr>
          <w:u w:val="single"/>
          <w:lang w:val="en-US"/>
        </w:rPr>
      </w:pPr>
      <w:r w:rsidRPr="002E220F">
        <w:rPr>
          <w:u w:val="single"/>
          <w:lang w:val="en-US"/>
        </w:rPr>
        <w:t>Anchovy</w:t>
      </w:r>
      <w:r w:rsidR="008A2098" w:rsidRPr="002E220F">
        <w:rPr>
          <w:u w:val="single"/>
          <w:lang w:val="en-US"/>
        </w:rPr>
        <w:t>:</w:t>
      </w:r>
    </w:p>
    <w:p w14:paraId="3EB7FC2A" w14:textId="5F99F731" w:rsidR="00B6570C" w:rsidRDefault="005327D4" w:rsidP="009F3C9A">
      <w:pPr>
        <w:pStyle w:val="Prrafodelista"/>
        <w:numPr>
          <w:ilvl w:val="0"/>
          <w:numId w:val="1"/>
        </w:numPr>
        <w:jc w:val="both"/>
        <w:rPr>
          <w:lang w:val="en-US"/>
        </w:rPr>
      </w:pPr>
      <w:r w:rsidRPr="005327D4">
        <w:rPr>
          <w:lang w:val="en-US"/>
        </w:rPr>
        <w:t>There is a high degree of certainty that the stock is above the PRI.</w:t>
      </w:r>
      <w:r w:rsidR="002E220F">
        <w:rPr>
          <w:lang w:val="en-US"/>
        </w:rPr>
        <w:t xml:space="preserve"> </w:t>
      </w:r>
      <w:r w:rsidR="002E220F" w:rsidRPr="002E220F">
        <w:rPr>
          <w:b/>
          <w:bCs/>
          <w:lang w:val="en-US"/>
        </w:rPr>
        <w:t>Yes</w:t>
      </w:r>
    </w:p>
    <w:p w14:paraId="12444319" w14:textId="761AB54E" w:rsidR="009F3C9A" w:rsidRDefault="009F3C9A" w:rsidP="009F3C9A">
      <w:pPr>
        <w:pStyle w:val="Prrafodelista"/>
        <w:numPr>
          <w:ilvl w:val="0"/>
          <w:numId w:val="1"/>
        </w:numPr>
        <w:jc w:val="both"/>
        <w:rPr>
          <w:lang w:val="en-US"/>
        </w:rPr>
      </w:pPr>
      <w:r w:rsidRPr="009F3C9A">
        <w:rPr>
          <w:lang w:val="en-US"/>
        </w:rPr>
        <w:t>Stock status in relation to achievement of maximum sustainable yield (MSY)</w:t>
      </w:r>
      <w:r w:rsidR="005758C7">
        <w:rPr>
          <w:lang w:val="en-US"/>
        </w:rPr>
        <w:t>, t</w:t>
      </w:r>
      <w:r w:rsidR="005758C7" w:rsidRPr="005758C7">
        <w:rPr>
          <w:lang w:val="en-US"/>
        </w:rPr>
        <w:t>he stock is at or fluctuating around a level consistent with MSY.</w:t>
      </w:r>
      <w:r w:rsidR="002E220F">
        <w:rPr>
          <w:lang w:val="en-US"/>
        </w:rPr>
        <w:t xml:space="preserve"> </w:t>
      </w:r>
      <w:r w:rsidR="002E220F" w:rsidRPr="002E220F">
        <w:rPr>
          <w:b/>
          <w:bCs/>
          <w:lang w:val="en-US"/>
        </w:rPr>
        <w:t xml:space="preserve">Yes. </w:t>
      </w:r>
    </w:p>
    <w:p w14:paraId="67435320" w14:textId="60594473" w:rsidR="005327D4" w:rsidRDefault="005327D4" w:rsidP="005327D4">
      <w:pPr>
        <w:jc w:val="both"/>
        <w:rPr>
          <w:lang w:val="en-US"/>
        </w:rPr>
      </w:pPr>
      <w:r w:rsidRPr="002E220F">
        <w:rPr>
          <w:u w:val="single"/>
          <w:lang w:val="en-US"/>
        </w:rPr>
        <w:t>Araucanian Herring</w:t>
      </w:r>
      <w:r w:rsidR="008A2098">
        <w:rPr>
          <w:lang w:val="en-US"/>
        </w:rPr>
        <w:t>:</w:t>
      </w:r>
    </w:p>
    <w:p w14:paraId="4666D4A9" w14:textId="24FC39EE" w:rsidR="005327D4" w:rsidRDefault="00DC1F4C" w:rsidP="005327D4">
      <w:pPr>
        <w:pStyle w:val="Prrafodelista"/>
        <w:numPr>
          <w:ilvl w:val="0"/>
          <w:numId w:val="2"/>
        </w:numPr>
        <w:jc w:val="both"/>
        <w:rPr>
          <w:lang w:val="en-US"/>
        </w:rPr>
      </w:pPr>
      <w:r w:rsidRPr="00DC1F4C">
        <w:rPr>
          <w:lang w:val="en-US"/>
        </w:rPr>
        <w:t>It is highly likely that the stock is above the PRI.</w:t>
      </w:r>
      <w:r w:rsidR="002E220F">
        <w:rPr>
          <w:lang w:val="en-US"/>
        </w:rPr>
        <w:t xml:space="preserve"> </w:t>
      </w:r>
      <w:r w:rsidR="002E220F" w:rsidRPr="002E220F">
        <w:rPr>
          <w:b/>
          <w:bCs/>
          <w:lang w:val="en-US"/>
        </w:rPr>
        <w:t>Yes.</w:t>
      </w:r>
    </w:p>
    <w:p w14:paraId="464CF09B" w14:textId="758AE0E3" w:rsidR="00DC1F4C" w:rsidRPr="005327D4" w:rsidRDefault="008A2098" w:rsidP="005327D4">
      <w:pPr>
        <w:pStyle w:val="Prrafodelista"/>
        <w:numPr>
          <w:ilvl w:val="0"/>
          <w:numId w:val="2"/>
        </w:numPr>
        <w:jc w:val="both"/>
        <w:rPr>
          <w:lang w:val="en-US"/>
        </w:rPr>
      </w:pPr>
      <w:r w:rsidRPr="008A2098">
        <w:rPr>
          <w:lang w:val="en-US"/>
        </w:rPr>
        <w:t>The stock is at or fluctuating around a level consistent with MSY.</w:t>
      </w:r>
      <w:r w:rsidR="002E220F">
        <w:rPr>
          <w:lang w:val="en-US"/>
        </w:rPr>
        <w:t xml:space="preserve"> </w:t>
      </w:r>
      <w:r w:rsidR="002E220F" w:rsidRPr="002E220F">
        <w:rPr>
          <w:b/>
          <w:bCs/>
          <w:lang w:val="en-US"/>
        </w:rPr>
        <w:t>Barely yes.</w:t>
      </w:r>
    </w:p>
    <w:p w14:paraId="5EA416BC" w14:textId="77777777" w:rsidR="00822F90" w:rsidRPr="00822F90" w:rsidRDefault="00822F90" w:rsidP="00D327DB">
      <w:pPr>
        <w:jc w:val="both"/>
        <w:rPr>
          <w:lang w:val="en-US"/>
        </w:rPr>
      </w:pPr>
      <w:r w:rsidRPr="00822F90">
        <w:rPr>
          <w:lang w:val="en-US"/>
        </w:rPr>
        <w:t xml:space="preserve">In Anchovy, according to the available indicators and background, the official definition is that the stock is in a state of full exploitation, clearly above the PRI, and with high certainty close to MSY. For this species, the score reaches 80, but not 100. </w:t>
      </w:r>
    </w:p>
    <w:p w14:paraId="58090E40" w14:textId="77777777" w:rsidR="00822F90" w:rsidRPr="00822F90" w:rsidRDefault="00822F90" w:rsidP="00D327DB">
      <w:pPr>
        <w:jc w:val="both"/>
        <w:rPr>
          <w:lang w:val="en-US"/>
        </w:rPr>
      </w:pPr>
      <w:r w:rsidRPr="00822F90">
        <w:rPr>
          <w:lang w:val="en-US"/>
        </w:rPr>
        <w:t xml:space="preserve">In Araucanian herring, the stock is in a state of overexploitation (13.5% under BDRMS), with a 59.1% probability of overexploitation and 1.6% probability of overfishing. In this case, the stock is above the PRI, reaching 60 but not 80 in P.I. 1.1.1.a), but is 13.5 % below the DB at MSY, it is considered to be less than 80 at P.I. 1.1.1 b). The score could be considered as 60.  </w:t>
      </w:r>
    </w:p>
    <w:p w14:paraId="08AA7BCE" w14:textId="3306627E" w:rsidR="00307427" w:rsidRPr="00822F90" w:rsidRDefault="00307427" w:rsidP="009611DE">
      <w:pPr>
        <w:jc w:val="both"/>
        <w:rPr>
          <w:b/>
          <w:bCs/>
          <w:lang w:val="en-US"/>
        </w:rPr>
      </w:pPr>
      <w:r w:rsidRPr="00822F90">
        <w:rPr>
          <w:b/>
          <w:bCs/>
          <w:lang w:val="en-US"/>
        </w:rPr>
        <w:t>Rationale</w:t>
      </w:r>
    </w:p>
    <w:p w14:paraId="43F385B4" w14:textId="08E196B3" w:rsidR="009611DE" w:rsidRPr="00822F90" w:rsidRDefault="00625693" w:rsidP="009611DE">
      <w:pPr>
        <w:jc w:val="both"/>
        <w:rPr>
          <w:lang w:val="en-US"/>
        </w:rPr>
      </w:pPr>
      <w:r w:rsidRPr="00822F90">
        <w:rPr>
          <w:lang w:val="en-US"/>
        </w:rPr>
        <w:t xml:space="preserve">Anchovy &amp; </w:t>
      </w:r>
      <w:r w:rsidR="00120897" w:rsidRPr="00822F90">
        <w:rPr>
          <w:lang w:val="en-US"/>
        </w:rPr>
        <w:t>Araucanian Herring</w:t>
      </w:r>
      <w:r w:rsidRPr="00822F90">
        <w:rPr>
          <w:lang w:val="en-US"/>
        </w:rPr>
        <w:t xml:space="preserve"> </w:t>
      </w:r>
    </w:p>
    <w:p w14:paraId="7441398A" w14:textId="77777777" w:rsidR="00822F90" w:rsidRPr="00822F90" w:rsidRDefault="00822F90" w:rsidP="00C019C4">
      <w:pPr>
        <w:jc w:val="both"/>
        <w:rPr>
          <w:lang w:val="en-US"/>
        </w:rPr>
      </w:pPr>
      <w:r w:rsidRPr="00822F90">
        <w:rPr>
          <w:lang w:val="en-US"/>
        </w:rPr>
        <w:t xml:space="preserve">The stocks of common sardine and anchovy in the regions of Valparaíso to Los Lagos are evaluated and the status and Biologically Acceptable Catch (CBA) for the year 2025 is determined. The analysis is structured in biological year and incorporates landing rates, Catch Per Unit of Effort (CPUE), summer and autumn acoustic biomass and size structures. This update incorporates biomass and size structure indicators for the summer and autumn 2024 cruise, effective catch and average weights for the 2023/24 biological year. The trends of the flow and status variables allow the condition of both species to be defined by means of the current management reference framework, governed by the biological reference points associated with the Maximum Sustainable </w:t>
      </w:r>
      <w:r w:rsidRPr="00822F90">
        <w:rPr>
          <w:lang w:val="en-US"/>
        </w:rPr>
        <w:lastRenderedPageBreak/>
        <w:t xml:space="preserve">Yield (MSY). This CBA 2025 estimate considers the projection of two future recruitments and applies a discount due to the discarded catch and assumptions of 2024 carryover. </w:t>
      </w:r>
    </w:p>
    <w:p w14:paraId="0549576D" w14:textId="77777777" w:rsidR="00822F90" w:rsidRPr="00822F90" w:rsidRDefault="00822F90" w:rsidP="00C019C4">
      <w:pPr>
        <w:jc w:val="both"/>
        <w:rPr>
          <w:lang w:val="en-US"/>
        </w:rPr>
      </w:pPr>
      <w:r w:rsidRPr="00822F90">
        <w:rPr>
          <w:lang w:val="en-US"/>
        </w:rPr>
        <w:t>Anchovy recruitment in 2023/24 reached 140 billion individuals, the highest record in the series that contrasts with the recruitment of 2022/23 (52 billion) and historical average level (56 billion). Summer and autumn 2024 cruises showed high levels of biomass with a high presence of juveniles. From the perspective of the diagnosis, anchovy is located in a full exploitation area with zero probability of being in depletion and less than 1% of being overexploited (BD2023/24/BDRMS=1.86). According to the farm, anchovy is not overfished (F2023/24=0.44 year-1 &lt; FRMS=0.47 year-1) (Fig. X). The CBA's estimation and calculation procedure included discounting the discard and the remainder of catch balances for the year 2024, as well as including assumptions of average weight and productivity of the stock based on future recruitments. The CBA in the RMS considering discount for discard and remainder and recent recruitment scenario is equivalent to 409 thousand tons.</w:t>
      </w:r>
    </w:p>
    <w:p w14:paraId="4993A54D" w14:textId="77777777" w:rsidR="00822F90" w:rsidRPr="00822F90" w:rsidRDefault="00822F90" w:rsidP="00F55B17">
      <w:pPr>
        <w:jc w:val="both"/>
        <w:rPr>
          <w:lang w:val="en-US"/>
        </w:rPr>
      </w:pPr>
      <w:r w:rsidRPr="00822F90">
        <w:rPr>
          <w:lang w:val="en-US"/>
        </w:rPr>
        <w:t>The updated recruitment of common sardines reached 71 billion specimens, drastically decreasing compared to the historical average and the biological year 2022/23. The autumn acoustic cruise estimated 732 thousand tons of total biomass, one of the lowest levels in the historical series. Regarding the diagnosis, common sardine is overexploited (BD2023/24/BDRMS=0.63) and 19% probability of being depleted (BD&lt;borderline) (Fig. 10). Overfishing in 2023/24 is presented with a 62% probability. As in anchovy, CBA's estimate was discounted due to the effect of the discard and the remainder of the year 2024, together with assumptions of future recruitment. The CBA in the RMS considering discount for discards and remainder and historical recruitment scenario is equivalent to 179 thousand tons.</w:t>
      </w:r>
    </w:p>
    <w:p w14:paraId="40395F87" w14:textId="77777777" w:rsidR="00822F90" w:rsidRPr="00822F90" w:rsidRDefault="00822F90" w:rsidP="00F55B17">
      <w:pPr>
        <w:jc w:val="both"/>
        <w:rPr>
          <w:lang w:val="en-US"/>
        </w:rPr>
      </w:pPr>
      <w:r w:rsidRPr="00822F90">
        <w:rPr>
          <w:lang w:val="en-US"/>
        </w:rPr>
        <w:t>On the basis of the stock assessment provided by IFOP, which uses a structured model based on age in the biological year under an annual scale, and the biological reference framework, the Committee establishes that the stock of anchovy in the south-central zone remains, as in recent years, in a state of full-exploitation (BD/BDRMS=1.57 and F/FRMS=0.53).  with a reduced probability of overexploitation (p=0.002) and without overfishing by 2023/24. Its spawning biomass is 57% above the BDRMS and fishing mortality is 47% below the FMSY. This condition is generated by the increase in recruitments in the years 2021/2020-2022/2023, the decrease in fishing mortality and high biomasses for recent years.</w:t>
      </w:r>
    </w:p>
    <w:p w14:paraId="74128EBD" w14:textId="77777777" w:rsidR="00822F90" w:rsidRPr="00822F90" w:rsidRDefault="00822F90" w:rsidP="00F55B17">
      <w:pPr>
        <w:jc w:val="both"/>
        <w:rPr>
          <w:lang w:val="en-US"/>
        </w:rPr>
      </w:pPr>
      <w:r w:rsidRPr="00822F90">
        <w:rPr>
          <w:lang w:val="en-US"/>
        </w:rPr>
        <w:t xml:space="preserve">The results of the latest study show that between 1994 and 1995 the stock of common sardines suffered a fall with biomasses below the management target (BD &lt; BDRMS), </w:t>
      </w:r>
      <w:r w:rsidRPr="00822F90">
        <w:rPr>
          <w:lang w:val="en-US"/>
        </w:rPr>
        <w:lastRenderedPageBreak/>
        <w:t>probably as a result of successive failures in recruitment. The state of the common sardine fishery during the years 1998 and 2006 was marked by "El Niño" environmental conditions 1997-1998, causing the fall towards lower levels of the limit spawning biomass (BDLIM), under which a fishery qualifies as depleted or collapsed. From 2007 onwards, a favorable period began for the common sardine condition, entering a process of population expansion, which allowed it to move towards a level of spawning biomass higher than the BDRMS in 2009. Currently, the expected BD2023/24 is 13.5% under BDRMS (Figure 3), with low recruitments associated with less favorable conditions for the species, particularly during the 2023 reproductive period.</w:t>
      </w:r>
    </w:p>
    <w:p w14:paraId="06FADA8E" w14:textId="77777777" w:rsidR="00822F90" w:rsidRPr="00822F90" w:rsidRDefault="00822F90" w:rsidP="00F55B17">
      <w:pPr>
        <w:jc w:val="both"/>
        <w:rPr>
          <w:lang w:val="en-US"/>
        </w:rPr>
      </w:pPr>
      <w:r w:rsidRPr="00822F90">
        <w:rPr>
          <w:lang w:val="en-US"/>
        </w:rPr>
        <w:t xml:space="preserve">With respect to the level of exploitation, the estimated ratio between F2023/24 and FRMS is 0.71, due to the catch assumption associated with this milestone (March 2024). The estimated condition with complete information for the year 2023/24 indicates that the common sardine remains overexploited (13.5% under BDRMS), with a 59.1% probability of overexploitation and 1.6% probability of overfishing </w:t>
      </w:r>
    </w:p>
    <w:p w14:paraId="62531BB7" w14:textId="39FFDDC3" w:rsidR="004368C6" w:rsidRPr="00CA7AF0" w:rsidRDefault="00CA7AF0" w:rsidP="004368C6">
      <w:pPr>
        <w:jc w:val="both"/>
        <w:rPr>
          <w:b/>
          <w:bCs/>
          <w:lang w:val="en-US"/>
        </w:rPr>
      </w:pPr>
      <w:r w:rsidRPr="00CA7AF0">
        <w:rPr>
          <w:b/>
          <w:bCs/>
          <w:lang w:val="en-US"/>
        </w:rPr>
        <w:t>Stock status relative to reference points</w:t>
      </w:r>
    </w:p>
    <w:tbl>
      <w:tblPr>
        <w:tblStyle w:val="Tablaconcuadrcula"/>
        <w:tblW w:w="8926" w:type="dxa"/>
        <w:tblCellMar>
          <w:top w:w="57" w:type="dxa"/>
          <w:bottom w:w="57" w:type="dxa"/>
        </w:tblCellMar>
        <w:tblLook w:val="04A0" w:firstRow="1" w:lastRow="0" w:firstColumn="1" w:lastColumn="0" w:noHBand="0" w:noVBand="1"/>
      </w:tblPr>
      <w:tblGrid>
        <w:gridCol w:w="1685"/>
        <w:gridCol w:w="2391"/>
        <w:gridCol w:w="2247"/>
        <w:gridCol w:w="2603"/>
      </w:tblGrid>
      <w:tr w:rsidR="002B1CD4" w:rsidRPr="003E56F1" w14:paraId="7728A0F7" w14:textId="77777777" w:rsidTr="002B1CD4">
        <w:tc>
          <w:tcPr>
            <w:tcW w:w="8926" w:type="dxa"/>
            <w:gridSpan w:val="4"/>
            <w:shd w:val="clear" w:color="auto" w:fill="D9D9D9" w:themeFill="background1" w:themeFillShade="D9"/>
          </w:tcPr>
          <w:p w14:paraId="36AF1E42" w14:textId="2FBF8C6D" w:rsidR="002B1CD4" w:rsidRPr="002B1CD4" w:rsidRDefault="008A7210" w:rsidP="006B7909">
            <w:pPr>
              <w:rPr>
                <w:b/>
                <w:bCs/>
                <w:sz w:val="18"/>
                <w:szCs w:val="18"/>
              </w:rPr>
            </w:pPr>
            <w:r>
              <w:rPr>
                <w:b/>
                <w:bCs/>
                <w:sz w:val="18"/>
                <w:szCs w:val="18"/>
              </w:rPr>
              <w:t xml:space="preserve">Anchovy </w:t>
            </w:r>
            <w:r w:rsidR="002B1CD4" w:rsidRPr="002B1CD4">
              <w:rPr>
                <w:b/>
                <w:bCs/>
                <w:sz w:val="18"/>
                <w:szCs w:val="18"/>
              </w:rPr>
              <w:t>Stock status relative to reference points</w:t>
            </w:r>
          </w:p>
        </w:tc>
      </w:tr>
      <w:tr w:rsidR="002B1CD4" w:rsidRPr="003E56F1" w14:paraId="1E6F94F1" w14:textId="77777777" w:rsidTr="002B1CD4">
        <w:tc>
          <w:tcPr>
            <w:tcW w:w="1696" w:type="dxa"/>
            <w:shd w:val="clear" w:color="auto" w:fill="F2F2F2" w:themeFill="background1" w:themeFillShade="F2"/>
          </w:tcPr>
          <w:p w14:paraId="6CB41F82" w14:textId="77777777" w:rsidR="002B1CD4" w:rsidRPr="002B1CD4" w:rsidRDefault="002B1CD4" w:rsidP="006B7909">
            <w:pPr>
              <w:rPr>
                <w:sz w:val="18"/>
                <w:szCs w:val="18"/>
              </w:rPr>
            </w:pPr>
          </w:p>
        </w:tc>
        <w:tc>
          <w:tcPr>
            <w:tcW w:w="2410" w:type="dxa"/>
            <w:shd w:val="clear" w:color="auto" w:fill="F2F2F2" w:themeFill="background1" w:themeFillShade="F2"/>
          </w:tcPr>
          <w:p w14:paraId="5529C120" w14:textId="77777777" w:rsidR="002B1CD4" w:rsidRPr="002B1CD4" w:rsidRDefault="002B1CD4" w:rsidP="006B7909">
            <w:pPr>
              <w:rPr>
                <w:sz w:val="18"/>
                <w:szCs w:val="18"/>
              </w:rPr>
            </w:pPr>
            <w:r w:rsidRPr="002B1CD4">
              <w:rPr>
                <w:sz w:val="18"/>
                <w:szCs w:val="18"/>
              </w:rPr>
              <w:t>Type of reference point</w:t>
            </w:r>
          </w:p>
        </w:tc>
        <w:tc>
          <w:tcPr>
            <w:tcW w:w="2268" w:type="dxa"/>
            <w:shd w:val="clear" w:color="auto" w:fill="F2F2F2" w:themeFill="background1" w:themeFillShade="F2"/>
          </w:tcPr>
          <w:p w14:paraId="3DE2CF0D" w14:textId="77777777" w:rsidR="002B1CD4" w:rsidRPr="002B1CD4" w:rsidRDefault="002B1CD4" w:rsidP="006B7909">
            <w:pPr>
              <w:rPr>
                <w:sz w:val="18"/>
                <w:szCs w:val="18"/>
              </w:rPr>
            </w:pPr>
            <w:r w:rsidRPr="002B1CD4">
              <w:rPr>
                <w:sz w:val="18"/>
                <w:szCs w:val="18"/>
              </w:rPr>
              <w:t>Value of reference point</w:t>
            </w:r>
          </w:p>
        </w:tc>
        <w:tc>
          <w:tcPr>
            <w:tcW w:w="2552" w:type="dxa"/>
            <w:shd w:val="clear" w:color="auto" w:fill="F2F2F2" w:themeFill="background1" w:themeFillShade="F2"/>
          </w:tcPr>
          <w:p w14:paraId="412E0B2D" w14:textId="77777777" w:rsidR="002B1CD4" w:rsidRPr="002B1CD4" w:rsidRDefault="002B1CD4" w:rsidP="006B7909">
            <w:pPr>
              <w:rPr>
                <w:sz w:val="18"/>
                <w:szCs w:val="18"/>
              </w:rPr>
            </w:pPr>
            <w:r w:rsidRPr="002B1CD4">
              <w:rPr>
                <w:sz w:val="18"/>
                <w:szCs w:val="18"/>
              </w:rPr>
              <w:t>Current stock status relative to reference point</w:t>
            </w:r>
          </w:p>
        </w:tc>
      </w:tr>
      <w:tr w:rsidR="002B1CD4" w:rsidRPr="002B1CD4" w14:paraId="4BDAFA49" w14:textId="77777777" w:rsidTr="002B1CD4">
        <w:tc>
          <w:tcPr>
            <w:tcW w:w="1696" w:type="dxa"/>
            <w:shd w:val="clear" w:color="auto" w:fill="F2F2F2" w:themeFill="background1" w:themeFillShade="F2"/>
          </w:tcPr>
          <w:p w14:paraId="39B1A1FD" w14:textId="77777777" w:rsidR="002B1CD4" w:rsidRPr="002B1CD4" w:rsidRDefault="002B1CD4" w:rsidP="006B7909">
            <w:pPr>
              <w:rPr>
                <w:sz w:val="18"/>
                <w:szCs w:val="18"/>
              </w:rPr>
            </w:pPr>
            <w:r w:rsidRPr="002B1CD4">
              <w:rPr>
                <w:sz w:val="18"/>
                <w:szCs w:val="18"/>
              </w:rPr>
              <w:t>Reference point used in scoring stock relative to PRI (SIa)</w:t>
            </w:r>
          </w:p>
        </w:tc>
        <w:tc>
          <w:tcPr>
            <w:tcW w:w="2410" w:type="dxa"/>
            <w:shd w:val="clear" w:color="auto" w:fill="FFFFFF" w:themeFill="background1"/>
          </w:tcPr>
          <w:p w14:paraId="6EA048D7" w14:textId="77777777" w:rsidR="002B1CD4" w:rsidRPr="002B1CD4" w:rsidRDefault="002B1CD4" w:rsidP="006B7909">
            <w:pPr>
              <w:rPr>
                <w:sz w:val="18"/>
                <w:szCs w:val="18"/>
              </w:rPr>
            </w:pPr>
            <w:r w:rsidRPr="002B1CD4">
              <w:rPr>
                <w:sz w:val="18"/>
                <w:szCs w:val="18"/>
              </w:rPr>
              <w:t xml:space="preserve"> </w:t>
            </w:r>
          </w:p>
          <w:p w14:paraId="16174975" w14:textId="5B5A7972" w:rsidR="002B1CD4" w:rsidRPr="008A7210" w:rsidRDefault="008A7210" w:rsidP="006B7909">
            <w:pPr>
              <w:rPr>
                <w:i/>
                <w:iCs/>
                <w:sz w:val="18"/>
                <w:szCs w:val="18"/>
                <w:lang w:val="en-US"/>
              </w:rPr>
            </w:pPr>
            <w:r>
              <w:t>BD límite = 27,5%BDo</w:t>
            </w:r>
          </w:p>
        </w:tc>
        <w:tc>
          <w:tcPr>
            <w:tcW w:w="2268" w:type="dxa"/>
            <w:shd w:val="clear" w:color="auto" w:fill="FFFFFF" w:themeFill="background1"/>
          </w:tcPr>
          <w:p w14:paraId="1669CFF8" w14:textId="77777777" w:rsidR="002B1CD4" w:rsidRPr="008A7210" w:rsidRDefault="002B1CD4" w:rsidP="006B7909">
            <w:pPr>
              <w:rPr>
                <w:sz w:val="18"/>
                <w:szCs w:val="18"/>
                <w:lang w:val="en-US"/>
              </w:rPr>
            </w:pPr>
          </w:p>
          <w:p w14:paraId="745C14FD" w14:textId="57F48077" w:rsidR="002B1CD4" w:rsidRPr="002B1CD4" w:rsidRDefault="008A7210" w:rsidP="006B7909">
            <w:pPr>
              <w:rPr>
                <w:i/>
                <w:iCs/>
                <w:sz w:val="18"/>
                <w:szCs w:val="18"/>
              </w:rPr>
            </w:pPr>
            <w:r>
              <w:t>240.500 t.</w:t>
            </w:r>
          </w:p>
        </w:tc>
        <w:tc>
          <w:tcPr>
            <w:tcW w:w="2552" w:type="dxa"/>
            <w:shd w:val="clear" w:color="auto" w:fill="FFFFFF" w:themeFill="background1"/>
          </w:tcPr>
          <w:p w14:paraId="0B9E1B16" w14:textId="77777777" w:rsidR="002B1CD4" w:rsidRPr="002B1CD4" w:rsidRDefault="002B1CD4" w:rsidP="006B7909">
            <w:pPr>
              <w:rPr>
                <w:sz w:val="18"/>
                <w:szCs w:val="18"/>
              </w:rPr>
            </w:pPr>
          </w:p>
          <w:p w14:paraId="4B81C121" w14:textId="5B074703" w:rsidR="002B1CD4" w:rsidRPr="002B1CD4" w:rsidRDefault="008A7210" w:rsidP="006B7909">
            <w:pPr>
              <w:rPr>
                <w:i/>
                <w:iCs/>
                <w:sz w:val="18"/>
                <w:szCs w:val="18"/>
              </w:rPr>
            </w:pPr>
            <w:r>
              <w:t>BD2023/24/BDRMS=1,86</w:t>
            </w:r>
          </w:p>
        </w:tc>
      </w:tr>
      <w:tr w:rsidR="002B1CD4" w:rsidRPr="002B1CD4" w14:paraId="216B38A6" w14:textId="77777777" w:rsidTr="002B1CD4">
        <w:tc>
          <w:tcPr>
            <w:tcW w:w="1696" w:type="dxa"/>
            <w:shd w:val="clear" w:color="auto" w:fill="F2F2F2" w:themeFill="background1" w:themeFillShade="F2"/>
          </w:tcPr>
          <w:p w14:paraId="2AC0A08E" w14:textId="77777777" w:rsidR="002B1CD4" w:rsidRPr="002B1CD4" w:rsidRDefault="002B1CD4" w:rsidP="006B7909">
            <w:pPr>
              <w:rPr>
                <w:sz w:val="18"/>
                <w:szCs w:val="18"/>
              </w:rPr>
            </w:pPr>
            <w:r w:rsidRPr="002B1CD4">
              <w:rPr>
                <w:sz w:val="18"/>
                <w:szCs w:val="18"/>
              </w:rPr>
              <w:t>Reference point used in scoring stock relative to MSY (SIb)</w:t>
            </w:r>
          </w:p>
        </w:tc>
        <w:tc>
          <w:tcPr>
            <w:tcW w:w="2410" w:type="dxa"/>
            <w:shd w:val="clear" w:color="auto" w:fill="FFFFFF" w:themeFill="background1"/>
          </w:tcPr>
          <w:p w14:paraId="3ADC3FDA" w14:textId="77777777" w:rsidR="002B1CD4" w:rsidRPr="002B1CD4" w:rsidRDefault="002B1CD4" w:rsidP="006B7909">
            <w:pPr>
              <w:rPr>
                <w:sz w:val="18"/>
                <w:szCs w:val="18"/>
              </w:rPr>
            </w:pPr>
          </w:p>
          <w:p w14:paraId="2E8A66FD" w14:textId="29AC2D87" w:rsidR="002B1CD4" w:rsidRPr="008A7210" w:rsidRDefault="008A7210" w:rsidP="006B7909">
            <w:pPr>
              <w:rPr>
                <w:i/>
                <w:iCs/>
                <w:sz w:val="18"/>
                <w:szCs w:val="18"/>
                <w:lang w:val="es-CL"/>
              </w:rPr>
            </w:pPr>
            <w:r w:rsidRPr="008A7210">
              <w:rPr>
                <w:lang w:val="es-CL"/>
              </w:rPr>
              <w:t>Proxy BDRMS = 60%BDPR o 55%BDo</w:t>
            </w:r>
            <w:r w:rsidR="002B1CD4" w:rsidRPr="008A7210">
              <w:rPr>
                <w:i/>
                <w:iCs/>
                <w:sz w:val="18"/>
                <w:szCs w:val="18"/>
                <w:lang w:val="es-CL"/>
              </w:rPr>
              <w:t>.</w:t>
            </w:r>
          </w:p>
        </w:tc>
        <w:tc>
          <w:tcPr>
            <w:tcW w:w="2268" w:type="dxa"/>
            <w:shd w:val="clear" w:color="auto" w:fill="FFFFFF" w:themeFill="background1"/>
          </w:tcPr>
          <w:p w14:paraId="0E9DB4C1" w14:textId="77777777" w:rsidR="002B1CD4" w:rsidRPr="008A7210" w:rsidRDefault="002B1CD4" w:rsidP="006B7909">
            <w:pPr>
              <w:rPr>
                <w:sz w:val="18"/>
                <w:szCs w:val="18"/>
                <w:lang w:val="es-CL"/>
              </w:rPr>
            </w:pPr>
          </w:p>
          <w:p w14:paraId="66EC8408" w14:textId="77777777" w:rsidR="008A7210" w:rsidRDefault="008A7210" w:rsidP="008A7210">
            <w:pPr>
              <w:jc w:val="both"/>
            </w:pPr>
            <w:r>
              <w:t>481.000 t.</w:t>
            </w:r>
          </w:p>
          <w:p w14:paraId="532C1678" w14:textId="6E34494A" w:rsidR="002B1CD4" w:rsidRPr="002B1CD4" w:rsidRDefault="002B1CD4" w:rsidP="006B7909">
            <w:pPr>
              <w:rPr>
                <w:i/>
                <w:iCs/>
                <w:sz w:val="18"/>
                <w:szCs w:val="18"/>
              </w:rPr>
            </w:pPr>
          </w:p>
        </w:tc>
        <w:tc>
          <w:tcPr>
            <w:tcW w:w="2552" w:type="dxa"/>
            <w:shd w:val="clear" w:color="auto" w:fill="FFFFFF" w:themeFill="background1"/>
          </w:tcPr>
          <w:p w14:paraId="5D66E8F0" w14:textId="77777777" w:rsidR="002B1CD4" w:rsidRPr="002B1CD4" w:rsidRDefault="002B1CD4" w:rsidP="006B7909">
            <w:pPr>
              <w:rPr>
                <w:sz w:val="18"/>
                <w:szCs w:val="18"/>
              </w:rPr>
            </w:pPr>
          </w:p>
          <w:p w14:paraId="500315E1" w14:textId="1ABBBABA" w:rsidR="002B1CD4" w:rsidRPr="002B1CD4" w:rsidRDefault="008A7210" w:rsidP="006B7909">
            <w:pPr>
              <w:rPr>
                <w:i/>
                <w:iCs/>
                <w:sz w:val="18"/>
                <w:szCs w:val="18"/>
              </w:rPr>
            </w:pPr>
            <w:r>
              <w:t>BD2023/24/BDRMS=1,86</w:t>
            </w:r>
          </w:p>
        </w:tc>
      </w:tr>
    </w:tbl>
    <w:p w14:paraId="34FB61BD" w14:textId="77777777" w:rsidR="008A7210" w:rsidRPr="008A7210" w:rsidRDefault="008A7210" w:rsidP="005327D4">
      <w:pPr>
        <w:jc w:val="both"/>
      </w:pPr>
    </w:p>
    <w:tbl>
      <w:tblPr>
        <w:tblStyle w:val="Tablaconcuadrcula"/>
        <w:tblW w:w="9067" w:type="dxa"/>
        <w:tblCellMar>
          <w:top w:w="57" w:type="dxa"/>
          <w:bottom w:w="57" w:type="dxa"/>
        </w:tblCellMar>
        <w:tblLook w:val="04A0" w:firstRow="1" w:lastRow="0" w:firstColumn="1" w:lastColumn="0" w:noHBand="0" w:noVBand="1"/>
      </w:tblPr>
      <w:tblGrid>
        <w:gridCol w:w="1685"/>
        <w:gridCol w:w="1004"/>
        <w:gridCol w:w="1387"/>
        <w:gridCol w:w="2247"/>
        <w:gridCol w:w="2603"/>
        <w:gridCol w:w="141"/>
      </w:tblGrid>
      <w:tr w:rsidR="002B1CD4" w:rsidRPr="003E56F1" w14:paraId="4C40E043" w14:textId="77777777" w:rsidTr="002D7941">
        <w:trPr>
          <w:gridAfter w:val="1"/>
          <w:wAfter w:w="141" w:type="dxa"/>
        </w:trPr>
        <w:tc>
          <w:tcPr>
            <w:tcW w:w="8926" w:type="dxa"/>
            <w:gridSpan w:val="5"/>
            <w:shd w:val="clear" w:color="auto" w:fill="D9D9D9" w:themeFill="background1" w:themeFillShade="D9"/>
          </w:tcPr>
          <w:p w14:paraId="1B0FE7EB" w14:textId="2F4294D6" w:rsidR="002B1CD4" w:rsidRPr="002B1CD4" w:rsidRDefault="008A7210" w:rsidP="006B7909">
            <w:pPr>
              <w:rPr>
                <w:b/>
                <w:bCs/>
                <w:sz w:val="18"/>
                <w:szCs w:val="18"/>
              </w:rPr>
            </w:pPr>
            <w:r>
              <w:rPr>
                <w:b/>
                <w:bCs/>
                <w:sz w:val="18"/>
                <w:szCs w:val="18"/>
              </w:rPr>
              <w:t xml:space="preserve">Araucanian Herring </w:t>
            </w:r>
            <w:r w:rsidR="002B1CD4" w:rsidRPr="002B1CD4">
              <w:rPr>
                <w:b/>
                <w:bCs/>
                <w:sz w:val="18"/>
                <w:szCs w:val="18"/>
              </w:rPr>
              <w:t>Stock status relative to reference points</w:t>
            </w:r>
          </w:p>
        </w:tc>
      </w:tr>
      <w:tr w:rsidR="002B1CD4" w:rsidRPr="003E56F1" w14:paraId="54719EE5" w14:textId="77777777" w:rsidTr="002D7941">
        <w:trPr>
          <w:gridAfter w:val="1"/>
          <w:wAfter w:w="141" w:type="dxa"/>
        </w:trPr>
        <w:tc>
          <w:tcPr>
            <w:tcW w:w="1685" w:type="dxa"/>
            <w:shd w:val="clear" w:color="auto" w:fill="F2F2F2" w:themeFill="background1" w:themeFillShade="F2"/>
          </w:tcPr>
          <w:p w14:paraId="6FE84586" w14:textId="77777777" w:rsidR="002B1CD4" w:rsidRPr="002B1CD4" w:rsidRDefault="002B1CD4" w:rsidP="006B7909">
            <w:pPr>
              <w:rPr>
                <w:sz w:val="18"/>
                <w:szCs w:val="18"/>
              </w:rPr>
            </w:pPr>
          </w:p>
        </w:tc>
        <w:tc>
          <w:tcPr>
            <w:tcW w:w="2391" w:type="dxa"/>
            <w:gridSpan w:val="2"/>
            <w:shd w:val="clear" w:color="auto" w:fill="F2F2F2" w:themeFill="background1" w:themeFillShade="F2"/>
          </w:tcPr>
          <w:p w14:paraId="3CC0280E" w14:textId="77777777" w:rsidR="002B1CD4" w:rsidRPr="002B1CD4" w:rsidRDefault="002B1CD4" w:rsidP="006B7909">
            <w:pPr>
              <w:rPr>
                <w:sz w:val="18"/>
                <w:szCs w:val="18"/>
              </w:rPr>
            </w:pPr>
            <w:r w:rsidRPr="002B1CD4">
              <w:rPr>
                <w:sz w:val="18"/>
                <w:szCs w:val="18"/>
              </w:rPr>
              <w:t>Type of reference point</w:t>
            </w:r>
          </w:p>
        </w:tc>
        <w:tc>
          <w:tcPr>
            <w:tcW w:w="2247" w:type="dxa"/>
            <w:shd w:val="clear" w:color="auto" w:fill="F2F2F2" w:themeFill="background1" w:themeFillShade="F2"/>
          </w:tcPr>
          <w:p w14:paraId="32CD7D06" w14:textId="77777777" w:rsidR="002B1CD4" w:rsidRPr="002B1CD4" w:rsidRDefault="002B1CD4" w:rsidP="006B7909">
            <w:pPr>
              <w:rPr>
                <w:sz w:val="18"/>
                <w:szCs w:val="18"/>
              </w:rPr>
            </w:pPr>
            <w:r w:rsidRPr="002B1CD4">
              <w:rPr>
                <w:sz w:val="18"/>
                <w:szCs w:val="18"/>
              </w:rPr>
              <w:t>Value of reference point</w:t>
            </w:r>
          </w:p>
        </w:tc>
        <w:tc>
          <w:tcPr>
            <w:tcW w:w="2603" w:type="dxa"/>
            <w:shd w:val="clear" w:color="auto" w:fill="F2F2F2" w:themeFill="background1" w:themeFillShade="F2"/>
          </w:tcPr>
          <w:p w14:paraId="10422427" w14:textId="77777777" w:rsidR="002B1CD4" w:rsidRPr="002B1CD4" w:rsidRDefault="002B1CD4" w:rsidP="006B7909">
            <w:pPr>
              <w:rPr>
                <w:sz w:val="18"/>
                <w:szCs w:val="18"/>
              </w:rPr>
            </w:pPr>
            <w:r w:rsidRPr="002B1CD4">
              <w:rPr>
                <w:sz w:val="18"/>
                <w:szCs w:val="18"/>
              </w:rPr>
              <w:t>Current stock status relative to reference point</w:t>
            </w:r>
          </w:p>
        </w:tc>
      </w:tr>
      <w:tr w:rsidR="002B1CD4" w:rsidRPr="002B1CD4" w14:paraId="733BB96A" w14:textId="77777777" w:rsidTr="002D7941">
        <w:trPr>
          <w:gridAfter w:val="1"/>
          <w:wAfter w:w="141" w:type="dxa"/>
        </w:trPr>
        <w:tc>
          <w:tcPr>
            <w:tcW w:w="1685" w:type="dxa"/>
            <w:shd w:val="clear" w:color="auto" w:fill="F2F2F2" w:themeFill="background1" w:themeFillShade="F2"/>
          </w:tcPr>
          <w:p w14:paraId="25E98FE9" w14:textId="77777777" w:rsidR="002B1CD4" w:rsidRPr="002B1CD4" w:rsidRDefault="002B1CD4" w:rsidP="006B7909">
            <w:pPr>
              <w:rPr>
                <w:sz w:val="18"/>
                <w:szCs w:val="18"/>
              </w:rPr>
            </w:pPr>
            <w:r w:rsidRPr="002B1CD4">
              <w:rPr>
                <w:sz w:val="18"/>
                <w:szCs w:val="18"/>
              </w:rPr>
              <w:t>Reference point used in scoring stock relative to PRI (SIa)</w:t>
            </w:r>
          </w:p>
        </w:tc>
        <w:tc>
          <w:tcPr>
            <w:tcW w:w="2391" w:type="dxa"/>
            <w:gridSpan w:val="2"/>
            <w:shd w:val="clear" w:color="auto" w:fill="FFFFFF" w:themeFill="background1"/>
          </w:tcPr>
          <w:p w14:paraId="0C429385" w14:textId="77777777" w:rsidR="002B1CD4" w:rsidRPr="002B1CD4" w:rsidRDefault="002B1CD4" w:rsidP="006B7909">
            <w:pPr>
              <w:rPr>
                <w:sz w:val="18"/>
                <w:szCs w:val="18"/>
              </w:rPr>
            </w:pPr>
            <w:r w:rsidRPr="002B1CD4">
              <w:rPr>
                <w:sz w:val="18"/>
                <w:szCs w:val="18"/>
              </w:rPr>
              <w:t xml:space="preserve"> </w:t>
            </w:r>
          </w:p>
          <w:p w14:paraId="71221FCB" w14:textId="65244C08" w:rsidR="002B1CD4" w:rsidRPr="002B1CD4" w:rsidRDefault="00CF4264" w:rsidP="006B7909">
            <w:pPr>
              <w:rPr>
                <w:i/>
                <w:iCs/>
                <w:sz w:val="18"/>
                <w:szCs w:val="18"/>
              </w:rPr>
            </w:pPr>
            <w:r w:rsidRPr="00A33A01">
              <w:rPr>
                <w:lang w:val="es-CL"/>
              </w:rPr>
              <w:t>BD límite = 27,5%BDo</w:t>
            </w:r>
          </w:p>
        </w:tc>
        <w:tc>
          <w:tcPr>
            <w:tcW w:w="2247" w:type="dxa"/>
            <w:shd w:val="clear" w:color="auto" w:fill="FFFFFF" w:themeFill="background1"/>
          </w:tcPr>
          <w:p w14:paraId="452A9DB7" w14:textId="77777777" w:rsidR="002B1CD4" w:rsidRPr="002B1CD4" w:rsidRDefault="002B1CD4" w:rsidP="006B7909">
            <w:pPr>
              <w:rPr>
                <w:sz w:val="18"/>
                <w:szCs w:val="18"/>
              </w:rPr>
            </w:pPr>
          </w:p>
          <w:p w14:paraId="0EF14FC6" w14:textId="428FF993" w:rsidR="002B1CD4" w:rsidRPr="002B1CD4" w:rsidRDefault="00CF4264" w:rsidP="006B7909">
            <w:pPr>
              <w:rPr>
                <w:i/>
                <w:iCs/>
                <w:sz w:val="18"/>
                <w:szCs w:val="18"/>
              </w:rPr>
            </w:pPr>
            <w:r w:rsidRPr="00A33A01">
              <w:rPr>
                <w:lang w:val="es-CL"/>
              </w:rPr>
              <w:t>420.500 t.</w:t>
            </w:r>
          </w:p>
        </w:tc>
        <w:tc>
          <w:tcPr>
            <w:tcW w:w="2603" w:type="dxa"/>
            <w:shd w:val="clear" w:color="auto" w:fill="FFFFFF" w:themeFill="background1"/>
          </w:tcPr>
          <w:p w14:paraId="5A8E0DAF" w14:textId="77777777" w:rsidR="002B1CD4" w:rsidRPr="002B1CD4" w:rsidRDefault="002B1CD4" w:rsidP="006B7909">
            <w:pPr>
              <w:rPr>
                <w:sz w:val="18"/>
                <w:szCs w:val="18"/>
              </w:rPr>
            </w:pPr>
          </w:p>
          <w:p w14:paraId="71B6BAFA" w14:textId="77777777" w:rsidR="002B1CD4" w:rsidRDefault="00A82010" w:rsidP="006B7909">
            <w:r>
              <w:t>BD2023/24/BDRMS=0,63</w:t>
            </w:r>
          </w:p>
          <w:p w14:paraId="16AFD99A" w14:textId="39261836" w:rsidR="00A82010" w:rsidRPr="002B1CD4" w:rsidRDefault="00A82010" w:rsidP="006B7909">
            <w:pPr>
              <w:rPr>
                <w:i/>
                <w:iCs/>
                <w:sz w:val="18"/>
                <w:szCs w:val="18"/>
              </w:rPr>
            </w:pPr>
          </w:p>
        </w:tc>
      </w:tr>
      <w:tr w:rsidR="002B1CD4" w:rsidRPr="002B1CD4" w14:paraId="77936842" w14:textId="77777777" w:rsidTr="002D7941">
        <w:trPr>
          <w:gridAfter w:val="1"/>
          <w:wAfter w:w="141" w:type="dxa"/>
        </w:trPr>
        <w:tc>
          <w:tcPr>
            <w:tcW w:w="1685" w:type="dxa"/>
            <w:shd w:val="clear" w:color="auto" w:fill="F2F2F2" w:themeFill="background1" w:themeFillShade="F2"/>
          </w:tcPr>
          <w:p w14:paraId="55451ADB" w14:textId="77777777" w:rsidR="002B1CD4" w:rsidRPr="002B1CD4" w:rsidRDefault="002B1CD4" w:rsidP="006B7909">
            <w:pPr>
              <w:rPr>
                <w:sz w:val="18"/>
                <w:szCs w:val="18"/>
              </w:rPr>
            </w:pPr>
            <w:r w:rsidRPr="002B1CD4">
              <w:rPr>
                <w:sz w:val="18"/>
                <w:szCs w:val="18"/>
              </w:rPr>
              <w:t>Reference point used in scoring stock relative to MSY (SIb)</w:t>
            </w:r>
          </w:p>
        </w:tc>
        <w:tc>
          <w:tcPr>
            <w:tcW w:w="2391" w:type="dxa"/>
            <w:gridSpan w:val="2"/>
            <w:shd w:val="clear" w:color="auto" w:fill="FFFFFF" w:themeFill="background1"/>
          </w:tcPr>
          <w:p w14:paraId="57242D6E" w14:textId="77777777" w:rsidR="002B1CD4" w:rsidRPr="002B1CD4" w:rsidRDefault="002B1CD4" w:rsidP="006B7909">
            <w:pPr>
              <w:rPr>
                <w:sz w:val="18"/>
                <w:szCs w:val="18"/>
              </w:rPr>
            </w:pPr>
          </w:p>
          <w:p w14:paraId="21EFC80E" w14:textId="031F9D89" w:rsidR="002B1CD4" w:rsidRPr="00CF4264" w:rsidRDefault="00CF4264" w:rsidP="006B7909">
            <w:pPr>
              <w:rPr>
                <w:i/>
                <w:iCs/>
                <w:sz w:val="18"/>
                <w:szCs w:val="18"/>
                <w:lang w:val="es-CL"/>
              </w:rPr>
            </w:pPr>
            <w:r w:rsidRPr="00A33A01">
              <w:rPr>
                <w:lang w:val="es-CL"/>
              </w:rPr>
              <w:t>Proxy BDRMS = 60%BDPR o 55%BDo</w:t>
            </w:r>
            <w:r w:rsidR="002B1CD4" w:rsidRPr="00CF4264">
              <w:rPr>
                <w:i/>
                <w:iCs/>
                <w:sz w:val="18"/>
                <w:szCs w:val="18"/>
                <w:lang w:val="es-CL"/>
              </w:rPr>
              <w:t>.</w:t>
            </w:r>
          </w:p>
        </w:tc>
        <w:tc>
          <w:tcPr>
            <w:tcW w:w="2247" w:type="dxa"/>
            <w:shd w:val="clear" w:color="auto" w:fill="FFFFFF" w:themeFill="background1"/>
          </w:tcPr>
          <w:p w14:paraId="06DA7491" w14:textId="77777777" w:rsidR="002B1CD4" w:rsidRPr="00CF4264" w:rsidRDefault="002B1CD4" w:rsidP="006B7909">
            <w:pPr>
              <w:rPr>
                <w:sz w:val="18"/>
                <w:szCs w:val="18"/>
                <w:lang w:val="es-CL"/>
              </w:rPr>
            </w:pPr>
          </w:p>
          <w:p w14:paraId="05B689FD" w14:textId="518CF2B8" w:rsidR="002B1CD4" w:rsidRPr="002B1CD4" w:rsidRDefault="00CF4264" w:rsidP="006B7909">
            <w:pPr>
              <w:rPr>
                <w:i/>
                <w:iCs/>
                <w:sz w:val="18"/>
                <w:szCs w:val="18"/>
              </w:rPr>
            </w:pPr>
            <w:r w:rsidRPr="00A33A01">
              <w:rPr>
                <w:lang w:val="es-CL"/>
              </w:rPr>
              <w:t>841.000 t.</w:t>
            </w:r>
          </w:p>
        </w:tc>
        <w:tc>
          <w:tcPr>
            <w:tcW w:w="2603" w:type="dxa"/>
            <w:shd w:val="clear" w:color="auto" w:fill="FFFFFF" w:themeFill="background1"/>
          </w:tcPr>
          <w:p w14:paraId="6764FBEF" w14:textId="77777777" w:rsidR="00A82010" w:rsidRDefault="00A82010" w:rsidP="006B7909"/>
          <w:p w14:paraId="76320269" w14:textId="15AEA10C" w:rsidR="002B1CD4" w:rsidRPr="002B1CD4" w:rsidRDefault="00A82010" w:rsidP="006B7909">
            <w:pPr>
              <w:rPr>
                <w:i/>
                <w:iCs/>
                <w:sz w:val="18"/>
                <w:szCs w:val="18"/>
              </w:rPr>
            </w:pPr>
            <w:r>
              <w:t>BD2023/24/BDRMS=0,63</w:t>
            </w:r>
          </w:p>
        </w:tc>
      </w:tr>
      <w:tr w:rsidR="002D7941" w14:paraId="4B119E17" w14:textId="77777777" w:rsidTr="002D7941">
        <w:tc>
          <w:tcPr>
            <w:tcW w:w="2689" w:type="dxa"/>
            <w:gridSpan w:val="2"/>
            <w:shd w:val="clear" w:color="auto" w:fill="F2F2F2" w:themeFill="background1" w:themeFillShade="F2"/>
          </w:tcPr>
          <w:p w14:paraId="37D1474A" w14:textId="77777777" w:rsidR="002D7941" w:rsidRDefault="002D7941" w:rsidP="006B7909">
            <w:r w:rsidRPr="00C35C08">
              <w:t>Draft scoring range</w:t>
            </w:r>
          </w:p>
        </w:tc>
        <w:tc>
          <w:tcPr>
            <w:tcW w:w="6378" w:type="dxa"/>
            <w:gridSpan w:val="4"/>
            <w:shd w:val="clear" w:color="auto" w:fill="FFFFFF" w:themeFill="background1"/>
          </w:tcPr>
          <w:p w14:paraId="72A8A6BD" w14:textId="6A18D96A" w:rsidR="002D7941" w:rsidRPr="00493233" w:rsidRDefault="002D7941" w:rsidP="006B7909">
            <w:pPr>
              <w:rPr>
                <w:b/>
                <w:bCs/>
                <w:i/>
                <w:iCs/>
              </w:rPr>
            </w:pPr>
            <w:r w:rsidRPr="00493233">
              <w:rPr>
                <w:b/>
                <w:bCs/>
              </w:rPr>
              <w:t xml:space="preserve">60-79 </w:t>
            </w:r>
          </w:p>
        </w:tc>
      </w:tr>
      <w:tr w:rsidR="002D7941" w:rsidRPr="003E56F1" w14:paraId="350D0496" w14:textId="77777777" w:rsidTr="002D7941">
        <w:tc>
          <w:tcPr>
            <w:tcW w:w="2689" w:type="dxa"/>
            <w:gridSpan w:val="2"/>
            <w:shd w:val="clear" w:color="auto" w:fill="F2F2F2" w:themeFill="background1" w:themeFillShade="F2"/>
          </w:tcPr>
          <w:p w14:paraId="7DEAB4E3" w14:textId="77777777" w:rsidR="002D7941" w:rsidRDefault="002D7941" w:rsidP="006B7909">
            <w:r w:rsidRPr="00C35C08">
              <w:t>Information gap indicator</w:t>
            </w:r>
          </w:p>
        </w:tc>
        <w:tc>
          <w:tcPr>
            <w:tcW w:w="6378" w:type="dxa"/>
            <w:gridSpan w:val="4"/>
            <w:shd w:val="clear" w:color="auto" w:fill="FFFFFF" w:themeFill="background1"/>
          </w:tcPr>
          <w:p w14:paraId="54F0CD9E" w14:textId="41BA3373" w:rsidR="002D7941" w:rsidRPr="002E220F" w:rsidRDefault="002D7941" w:rsidP="006B7909">
            <w:pPr>
              <w:rPr>
                <w:i/>
                <w:iCs/>
                <w:lang w:val="en-US"/>
              </w:rPr>
            </w:pPr>
            <w:r w:rsidRPr="002E220F">
              <w:rPr>
                <w:i/>
                <w:iCs/>
                <w:lang w:val="en-US"/>
              </w:rPr>
              <w:t xml:space="preserve"> </w:t>
            </w:r>
            <w:r w:rsidR="002E220F" w:rsidRPr="002E220F">
              <w:rPr>
                <w:i/>
                <w:iCs/>
              </w:rPr>
              <w:t xml:space="preserve">The lowest status of the two species is considered, in this case, Araucanian Herring obtains a score of 60. </w:t>
            </w:r>
          </w:p>
        </w:tc>
      </w:tr>
    </w:tbl>
    <w:p w14:paraId="3E6746B2" w14:textId="77777777" w:rsidR="002B1CD4" w:rsidRPr="002E220F" w:rsidRDefault="002B1CD4" w:rsidP="005327D4">
      <w:pPr>
        <w:jc w:val="both"/>
        <w:rPr>
          <w:lang w:val="en-US"/>
        </w:rPr>
      </w:pPr>
    </w:p>
    <w:p w14:paraId="526DAD6A" w14:textId="1BCA26B3" w:rsidR="004B65FF" w:rsidRPr="003E56F1" w:rsidRDefault="00CA7AF0" w:rsidP="00A33A01">
      <w:pPr>
        <w:jc w:val="both"/>
        <w:rPr>
          <w:lang w:val="en-US"/>
        </w:rPr>
      </w:pPr>
      <w:r w:rsidRPr="003E56F1">
        <w:rPr>
          <w:lang w:val="en-US"/>
        </w:rPr>
        <w:t>PI 1.1.2 – Stock rebuilding</w:t>
      </w:r>
    </w:p>
    <w:p w14:paraId="681B4196" w14:textId="77777777" w:rsidR="0004549E" w:rsidRPr="003E56F1" w:rsidRDefault="0004549E" w:rsidP="004B65FF">
      <w:pPr>
        <w:jc w:val="both"/>
        <w:rPr>
          <w:lang w:val="en-US"/>
        </w:rPr>
      </w:pPr>
      <w:r w:rsidRPr="003E56F1">
        <w:rPr>
          <w:lang w:val="en-US"/>
        </w:rPr>
        <w:t>PI 1.1.2 Where the stock is reduced, there is evidence of stock rebuilding within a specified timeframe</w:t>
      </w:r>
    </w:p>
    <w:p w14:paraId="0162B6C6" w14:textId="3D3D870E" w:rsidR="002D7941" w:rsidRPr="002D7941" w:rsidRDefault="002D7941" w:rsidP="002D7941">
      <w:pPr>
        <w:jc w:val="both"/>
        <w:rPr>
          <w:lang w:val="en-US"/>
        </w:rPr>
      </w:pPr>
      <w:r>
        <w:rPr>
          <w:lang w:val="en-US"/>
        </w:rPr>
        <w:t xml:space="preserve">PI 1.1.2. a) </w:t>
      </w:r>
      <w:r w:rsidRPr="002D7941">
        <w:rPr>
          <w:lang w:val="en-US"/>
        </w:rPr>
        <w:t>Rebuilding timeframes</w:t>
      </w:r>
    </w:p>
    <w:p w14:paraId="5A7D4D99" w14:textId="7CAEEA7D" w:rsidR="002D7941" w:rsidRDefault="002D7941" w:rsidP="002D7941">
      <w:pPr>
        <w:jc w:val="both"/>
        <w:rPr>
          <w:lang w:val="en-US"/>
        </w:rPr>
      </w:pPr>
      <w:r w:rsidRPr="002D7941">
        <w:rPr>
          <w:lang w:val="en-US"/>
        </w:rPr>
        <w:t>A rebuilding timeframe is specified for the stock that is the shorter of 20 years or 2 times its generation time. For cases where 2 generations is less than 5 years, the rebuilding timeframe is up to 5 years.</w:t>
      </w:r>
      <w:r>
        <w:rPr>
          <w:lang w:val="en-US"/>
        </w:rPr>
        <w:t xml:space="preserve"> </w:t>
      </w:r>
      <w:r w:rsidRPr="003E56F1">
        <w:rPr>
          <w:b/>
          <w:bCs/>
          <w:u w:val="single"/>
          <w:lang w:val="en-US"/>
        </w:rPr>
        <w:t>Doesn't reach the score</w:t>
      </w:r>
    </w:p>
    <w:p w14:paraId="144A62B3" w14:textId="4FECD2D4" w:rsidR="002D7941" w:rsidRPr="002D7941" w:rsidRDefault="002D7941" w:rsidP="002D7941">
      <w:pPr>
        <w:jc w:val="both"/>
        <w:rPr>
          <w:lang w:val="en-US"/>
        </w:rPr>
      </w:pPr>
      <w:r>
        <w:rPr>
          <w:lang w:val="en-US"/>
        </w:rPr>
        <w:t xml:space="preserve">PI 1.1.2. b) </w:t>
      </w:r>
      <w:r w:rsidRPr="002D7941">
        <w:rPr>
          <w:lang w:val="en-US"/>
        </w:rPr>
        <w:t>Rebuilding evaluation</w:t>
      </w:r>
    </w:p>
    <w:p w14:paraId="487939F6" w14:textId="343A8083" w:rsidR="002D7941" w:rsidRPr="003E56F1" w:rsidRDefault="002D7941" w:rsidP="002D7941">
      <w:pPr>
        <w:jc w:val="both"/>
        <w:rPr>
          <w:lang w:val="en-US"/>
        </w:rPr>
      </w:pPr>
      <w:r w:rsidRPr="002D7941">
        <w:rPr>
          <w:lang w:val="en-US"/>
        </w:rPr>
        <w:t>Monitoring is in place to determine whether the rebuilding strategies are effective in rebuilding the stock within the specified timeframe.</w:t>
      </w:r>
      <w:r>
        <w:rPr>
          <w:lang w:val="en-US"/>
        </w:rPr>
        <w:t xml:space="preserve"> </w:t>
      </w:r>
      <w:r w:rsidRPr="003E56F1">
        <w:rPr>
          <w:b/>
          <w:bCs/>
          <w:u w:val="single"/>
          <w:lang w:val="en-US"/>
        </w:rPr>
        <w:t>Doesn't reach the score</w:t>
      </w:r>
    </w:p>
    <w:p w14:paraId="789AD3A6" w14:textId="2DD86BF5" w:rsidR="002D7941" w:rsidRPr="003E56F1" w:rsidRDefault="002D7941" w:rsidP="004B65FF">
      <w:pPr>
        <w:jc w:val="both"/>
        <w:rPr>
          <w:b/>
          <w:bCs/>
          <w:lang w:val="en-US"/>
        </w:rPr>
      </w:pPr>
      <w:r w:rsidRPr="003E56F1">
        <w:rPr>
          <w:b/>
          <w:bCs/>
          <w:lang w:val="en-US"/>
        </w:rPr>
        <w:t>Rationale (Both PI)</w:t>
      </w:r>
    </w:p>
    <w:p w14:paraId="31A9C9D0" w14:textId="77777777" w:rsidR="002D7941" w:rsidRPr="002D7941" w:rsidRDefault="002D7941" w:rsidP="00DE0DB8">
      <w:pPr>
        <w:jc w:val="both"/>
        <w:rPr>
          <w:lang w:val="en-US"/>
        </w:rPr>
      </w:pPr>
      <w:r w:rsidRPr="002D7941">
        <w:rPr>
          <w:lang w:val="en-US"/>
        </w:rPr>
        <w:t>Even though the LGPA establishes the obligation to establish recovery plans:</w:t>
      </w:r>
    </w:p>
    <w:p w14:paraId="59B00561" w14:textId="481338D7" w:rsidR="002D7941" w:rsidRPr="002D7941" w:rsidRDefault="002D7941" w:rsidP="00DE0DB8">
      <w:pPr>
        <w:jc w:val="both"/>
        <w:rPr>
          <w:lang w:val="en-US"/>
        </w:rPr>
      </w:pPr>
      <w:r>
        <w:rPr>
          <w:lang w:val="en-US"/>
        </w:rPr>
        <w:t>“</w:t>
      </w:r>
      <w:r w:rsidRPr="002D7941">
        <w:rPr>
          <w:lang w:val="en-US"/>
        </w:rPr>
        <w:t>Article 9°A.- In cases where a fishery is in a state of overexploitation or depleted, in accordance with the determined biological reference points or, in the case of benthic resources, with the respective biological or fishery indicators on a local or regional scale, the management plan shall establish, with the prior agreement of the Management Committee,  a recovery program that must consider, at least, the following:</w:t>
      </w:r>
    </w:p>
    <w:p w14:paraId="50CB4BC1" w14:textId="77777777" w:rsidR="002D7941" w:rsidRPr="002D7941" w:rsidRDefault="002D7941" w:rsidP="00DE0DB8">
      <w:pPr>
        <w:jc w:val="both"/>
        <w:rPr>
          <w:lang w:val="en-US"/>
        </w:rPr>
      </w:pPr>
      <w:r w:rsidRPr="002D7941">
        <w:rPr>
          <w:lang w:val="en-US"/>
        </w:rPr>
        <w:t xml:space="preserve">(a) Assess and establish objectives and targets for the recovery of the fishery in the long term and in a transparent manner; and to establish a system for evaluating compliance with such goals and objectives; </w:t>
      </w:r>
    </w:p>
    <w:p w14:paraId="22260C13" w14:textId="77777777" w:rsidR="002D7941" w:rsidRPr="002D7941" w:rsidRDefault="002D7941" w:rsidP="00DE0DB8">
      <w:pPr>
        <w:jc w:val="both"/>
        <w:rPr>
          <w:lang w:val="en-US"/>
        </w:rPr>
      </w:pPr>
      <w:r w:rsidRPr="002D7941">
        <w:rPr>
          <w:lang w:val="en-US"/>
        </w:rPr>
        <w:t xml:space="preserve">(b) To assess the effectiveness of management and conservation measures and to identify the changes that will need to be made in order to achieve the objective of fisheries recovery; </w:t>
      </w:r>
    </w:p>
    <w:p w14:paraId="28A9EA07" w14:textId="77777777" w:rsidR="002D7941" w:rsidRPr="002D7941" w:rsidRDefault="002D7941" w:rsidP="00DE0DB8">
      <w:pPr>
        <w:jc w:val="both"/>
        <w:rPr>
          <w:lang w:val="en-US"/>
        </w:rPr>
      </w:pPr>
      <w:r w:rsidRPr="002D7941">
        <w:rPr>
          <w:lang w:val="en-US"/>
        </w:rPr>
        <w:t xml:space="preserve">(c) Evaluate the effectiveness of the fishery control system and define the changes that will need to be made to increase its effectiveness in the event that &lt; is not well evaluated; </w:t>
      </w:r>
    </w:p>
    <w:p w14:paraId="1983E011" w14:textId="77777777" w:rsidR="002D7941" w:rsidRPr="002D7941" w:rsidRDefault="002D7941" w:rsidP="00DE0DB8">
      <w:pPr>
        <w:jc w:val="both"/>
        <w:rPr>
          <w:lang w:val="en-US"/>
        </w:rPr>
      </w:pPr>
      <w:r w:rsidRPr="002D7941">
        <w:rPr>
          <w:lang w:val="en-US"/>
        </w:rPr>
        <w:t xml:space="preserve">(d) To evaluate the scientific research carried out and to identify the changes that should be introduced, if appropriate; </w:t>
      </w:r>
    </w:p>
    <w:p w14:paraId="7337B7A0" w14:textId="77777777" w:rsidR="002D7941" w:rsidRPr="002D7941" w:rsidRDefault="002D7941" w:rsidP="00DE0DB8">
      <w:pPr>
        <w:jc w:val="both"/>
        <w:rPr>
          <w:lang w:val="en-US"/>
        </w:rPr>
      </w:pPr>
      <w:r w:rsidRPr="002D7941">
        <w:rPr>
          <w:lang w:val="en-US"/>
        </w:rPr>
        <w:lastRenderedPageBreak/>
        <w:t xml:space="preserve">(e) Take into account the economic and social impact of the adoption of the proposed measures; </w:t>
      </w:r>
    </w:p>
    <w:p w14:paraId="3B8C71F5" w14:textId="77777777" w:rsidR="002D7941" w:rsidRPr="002D7941" w:rsidRDefault="002D7941" w:rsidP="00DE0DB8">
      <w:pPr>
        <w:jc w:val="both"/>
        <w:rPr>
          <w:lang w:val="en-US"/>
        </w:rPr>
      </w:pPr>
      <w:r w:rsidRPr="002D7941">
        <w:rPr>
          <w:lang w:val="en-US"/>
        </w:rPr>
        <w:t xml:space="preserve">f) Consider mitigation and compensation measures for artisanal fishermen, crew members of special vessels and plant workers, and </w:t>
      </w:r>
    </w:p>
    <w:p w14:paraId="15FC8F29" w14:textId="77777777" w:rsidR="002D7941" w:rsidRPr="002D7941" w:rsidRDefault="002D7941" w:rsidP="00DE0DB8">
      <w:pPr>
        <w:jc w:val="both"/>
        <w:rPr>
          <w:lang w:val="en-US"/>
        </w:rPr>
      </w:pPr>
      <w:r w:rsidRPr="002D7941">
        <w:rPr>
          <w:lang w:val="en-US"/>
        </w:rPr>
        <w:t xml:space="preserve">g) In the case of collapsing fisheries, to evaluate and propose the alternating operation in time of fishing grounds of certain fisheries referred to in the first paragraph by different fleets, as well as to evaluate the temporal limitation of the use of certain fishing gear or gear in said fishing grounds. </w:t>
      </w:r>
    </w:p>
    <w:p w14:paraId="150CD27E" w14:textId="38045C7F" w:rsidR="002D7941" w:rsidRPr="002D7941" w:rsidRDefault="002D7941" w:rsidP="00DE0DB8">
      <w:pPr>
        <w:jc w:val="both"/>
        <w:rPr>
          <w:lang w:val="en-US"/>
        </w:rPr>
      </w:pPr>
      <w:r w:rsidRPr="002D7941">
        <w:rPr>
          <w:lang w:val="en-US"/>
        </w:rPr>
        <w:t>Once the fishery recovery program has been established, it must be evaluated with the periodicity established in the respective management plan</w:t>
      </w:r>
      <w:r>
        <w:rPr>
          <w:lang w:val="en-US"/>
        </w:rPr>
        <w:t>”</w:t>
      </w:r>
    </w:p>
    <w:p w14:paraId="09F810D0" w14:textId="77777777" w:rsidR="002D7941" w:rsidRDefault="002D7941" w:rsidP="00DE0DB8">
      <w:pPr>
        <w:jc w:val="both"/>
        <w:rPr>
          <w:lang w:val="en-US"/>
        </w:rPr>
      </w:pPr>
    </w:p>
    <w:p w14:paraId="5207A913" w14:textId="1A5D57A5" w:rsidR="002D7941" w:rsidRPr="002D7941" w:rsidRDefault="002D7941" w:rsidP="00DE0DB8">
      <w:pPr>
        <w:jc w:val="both"/>
        <w:rPr>
          <w:lang w:val="en-US"/>
        </w:rPr>
      </w:pPr>
      <w:r w:rsidRPr="002D7941">
        <w:rPr>
          <w:lang w:val="en-US"/>
        </w:rPr>
        <w:t>And the Fishery Management Plan expressly states this in one of its dimensions:</w:t>
      </w:r>
    </w:p>
    <w:p w14:paraId="0AEE2FB9" w14:textId="77777777" w:rsidR="002D7941" w:rsidRPr="002D7941" w:rsidRDefault="002D7941" w:rsidP="00DE0DB8">
      <w:pPr>
        <w:jc w:val="both"/>
        <w:rPr>
          <w:lang w:val="en-US"/>
        </w:rPr>
      </w:pPr>
      <w:r w:rsidRPr="002D7941">
        <w:rPr>
          <w:lang w:val="en-US"/>
        </w:rPr>
        <w:t>The Management Plan, in point 6.1 "biological dimension", in the Action Plan: measure 1.1.1. defines that to establish catch quotas, PBRs should be taken as references, with the aim of maintaining or carrying Anchovy or Araucanian Herring stocks around the RMS or proxy of the latter. In the same action, it is established that "When the fishery is overexploited or collapsed, a recovery program must be generated."</w:t>
      </w:r>
    </w:p>
    <w:p w14:paraId="6EA97C4F" w14:textId="75C2DF59" w:rsidR="002D7941" w:rsidRPr="002D7941" w:rsidRDefault="002D7941" w:rsidP="00DE0DB8">
      <w:pPr>
        <w:jc w:val="both"/>
        <w:rPr>
          <w:b/>
          <w:bCs/>
          <w:lang w:val="en-US"/>
        </w:rPr>
      </w:pPr>
      <w:r w:rsidRPr="002D7941">
        <w:rPr>
          <w:b/>
          <w:bCs/>
          <w:lang w:val="en-US"/>
        </w:rPr>
        <w:t xml:space="preserve">The fishery does not have an explicit </w:t>
      </w:r>
      <w:r>
        <w:rPr>
          <w:b/>
          <w:bCs/>
          <w:lang w:val="en-US"/>
        </w:rPr>
        <w:t xml:space="preserve">and formal </w:t>
      </w:r>
      <w:r w:rsidRPr="002D7941">
        <w:rPr>
          <w:b/>
          <w:bCs/>
          <w:lang w:val="en-US"/>
        </w:rPr>
        <w:t xml:space="preserve">strategy for its recovery from a situation of overexploitation or depletion. </w:t>
      </w:r>
    </w:p>
    <w:tbl>
      <w:tblPr>
        <w:tblStyle w:val="Tablaconcuadrcula"/>
        <w:tblW w:w="9067" w:type="dxa"/>
        <w:tblCellMar>
          <w:top w:w="57" w:type="dxa"/>
          <w:bottom w:w="57" w:type="dxa"/>
        </w:tblCellMar>
        <w:tblLook w:val="04A0" w:firstRow="1" w:lastRow="0" w:firstColumn="1" w:lastColumn="0" w:noHBand="0" w:noVBand="1"/>
      </w:tblPr>
      <w:tblGrid>
        <w:gridCol w:w="2689"/>
        <w:gridCol w:w="6378"/>
      </w:tblGrid>
      <w:tr w:rsidR="002D7941" w14:paraId="0D922DFE" w14:textId="77777777" w:rsidTr="002D7941">
        <w:tc>
          <w:tcPr>
            <w:tcW w:w="2689" w:type="dxa"/>
            <w:shd w:val="clear" w:color="auto" w:fill="F2F2F2" w:themeFill="background1" w:themeFillShade="F2"/>
          </w:tcPr>
          <w:p w14:paraId="698A7FC1" w14:textId="77777777" w:rsidR="002D7941" w:rsidRDefault="002D7941" w:rsidP="006B7909">
            <w:r w:rsidRPr="00C35C08">
              <w:t>Draft scoring range</w:t>
            </w:r>
          </w:p>
        </w:tc>
        <w:tc>
          <w:tcPr>
            <w:tcW w:w="6378" w:type="dxa"/>
            <w:shd w:val="clear" w:color="auto" w:fill="FFFFFF" w:themeFill="background1"/>
          </w:tcPr>
          <w:p w14:paraId="0153F95E" w14:textId="12A76642" w:rsidR="002D7941" w:rsidRPr="00493233" w:rsidRDefault="002D7941" w:rsidP="006B7909">
            <w:pPr>
              <w:rPr>
                <w:b/>
                <w:bCs/>
                <w:i/>
                <w:iCs/>
              </w:rPr>
            </w:pPr>
            <w:r w:rsidRPr="00493233">
              <w:rPr>
                <w:b/>
                <w:bCs/>
              </w:rPr>
              <w:t xml:space="preserve">&lt;60 </w:t>
            </w:r>
          </w:p>
        </w:tc>
      </w:tr>
      <w:tr w:rsidR="002D7941" w:rsidRPr="003E56F1" w14:paraId="2D34B5F9" w14:textId="77777777" w:rsidTr="002D7941">
        <w:tc>
          <w:tcPr>
            <w:tcW w:w="2689" w:type="dxa"/>
            <w:shd w:val="clear" w:color="auto" w:fill="F2F2F2" w:themeFill="background1" w:themeFillShade="F2"/>
          </w:tcPr>
          <w:p w14:paraId="3BFB2E82" w14:textId="77777777" w:rsidR="002D7941" w:rsidRDefault="002D7941" w:rsidP="006B7909">
            <w:r w:rsidRPr="00C35C08">
              <w:t>Information gap indicator</w:t>
            </w:r>
          </w:p>
        </w:tc>
        <w:tc>
          <w:tcPr>
            <w:tcW w:w="6378" w:type="dxa"/>
            <w:shd w:val="clear" w:color="auto" w:fill="FFFFFF" w:themeFill="background1"/>
          </w:tcPr>
          <w:p w14:paraId="0FAAF990" w14:textId="7566CBF3" w:rsidR="002D7941" w:rsidRPr="002E220F" w:rsidRDefault="002E220F" w:rsidP="006B7909">
            <w:pPr>
              <w:rPr>
                <w:i/>
                <w:iCs/>
                <w:lang w:val="en-US"/>
              </w:rPr>
            </w:pPr>
            <w:r w:rsidRPr="002E220F">
              <w:rPr>
                <w:i/>
                <w:iCs/>
              </w:rPr>
              <w:t>Even though the legal framework establishes the development of a recovery plan, and in opportative terms, the application of the LGPA, with the mandate to maintain the fishery around the MSY, functions as a recovery plan, this is not defined in terms of deadlines and actions. For the purposes of the MSC standard assessment, there is no recovery plan.</w:t>
            </w:r>
          </w:p>
        </w:tc>
      </w:tr>
    </w:tbl>
    <w:p w14:paraId="55369CC6" w14:textId="77777777" w:rsidR="004B65FF" w:rsidRDefault="004B65FF" w:rsidP="004B65FF">
      <w:pPr>
        <w:jc w:val="both"/>
        <w:rPr>
          <w:lang w:val="en-US"/>
        </w:rPr>
      </w:pPr>
    </w:p>
    <w:p w14:paraId="5782EF84" w14:textId="5C63B68E" w:rsidR="002E220F" w:rsidRDefault="00684892" w:rsidP="004B65FF">
      <w:pPr>
        <w:jc w:val="both"/>
        <w:rPr>
          <w:lang w:val="en-US"/>
        </w:rPr>
      </w:pPr>
      <w:r w:rsidRPr="00684892">
        <w:rPr>
          <w:lang w:val="en-US"/>
        </w:rPr>
        <w:t>PI 1.2.1 – Harvest strategy</w:t>
      </w:r>
    </w:p>
    <w:p w14:paraId="79B20E7D" w14:textId="0D8DD9ED" w:rsidR="00684892" w:rsidRDefault="00684892" w:rsidP="004B65FF">
      <w:pPr>
        <w:jc w:val="both"/>
        <w:rPr>
          <w:lang w:val="en-US"/>
        </w:rPr>
      </w:pPr>
      <w:r w:rsidRPr="00684892">
        <w:rPr>
          <w:lang w:val="en-US"/>
        </w:rPr>
        <w:t>PI 1.2.1</w:t>
      </w:r>
      <w:r w:rsidR="009441EB">
        <w:rPr>
          <w:lang w:val="en-US"/>
        </w:rPr>
        <w:t xml:space="preserve"> </w:t>
      </w:r>
      <w:r w:rsidRPr="00684892">
        <w:rPr>
          <w:lang w:val="en-US"/>
        </w:rPr>
        <w:t>There is a robust and precautionary harvest strategy in place</w:t>
      </w:r>
    </w:p>
    <w:p w14:paraId="2DC671AD" w14:textId="2A1EC350" w:rsidR="00BC7655" w:rsidRDefault="00596863" w:rsidP="00BC7655">
      <w:pPr>
        <w:jc w:val="both"/>
        <w:rPr>
          <w:lang w:val="en-US"/>
        </w:rPr>
      </w:pPr>
      <w:r w:rsidRPr="00684892">
        <w:rPr>
          <w:lang w:val="en-US"/>
        </w:rPr>
        <w:t>PI 1.2.1</w:t>
      </w:r>
      <w:r>
        <w:rPr>
          <w:lang w:val="en-US"/>
        </w:rPr>
        <w:t xml:space="preserve">. a) </w:t>
      </w:r>
      <w:r w:rsidR="00BC7655" w:rsidRPr="00BC7655">
        <w:rPr>
          <w:lang w:val="en-US"/>
        </w:rPr>
        <w:t>Harvest strategy design</w:t>
      </w:r>
    </w:p>
    <w:p w14:paraId="0E224848" w14:textId="77777777" w:rsidR="00BC7655" w:rsidRDefault="00BC7655" w:rsidP="00BC7655">
      <w:pPr>
        <w:jc w:val="both"/>
        <w:rPr>
          <w:lang w:val="en-US"/>
        </w:rPr>
      </w:pPr>
    </w:p>
    <w:p w14:paraId="118CEFA9" w14:textId="77777777" w:rsidR="00BC7655" w:rsidRPr="00BC7655" w:rsidRDefault="00BC7655" w:rsidP="00BC7655">
      <w:pPr>
        <w:jc w:val="both"/>
        <w:rPr>
          <w:lang w:val="en-US"/>
        </w:rPr>
      </w:pPr>
    </w:p>
    <w:p w14:paraId="02541D15" w14:textId="3103B2A5" w:rsidR="002E220F" w:rsidRDefault="00BC7655" w:rsidP="00BC7655">
      <w:pPr>
        <w:jc w:val="both"/>
        <w:rPr>
          <w:lang w:val="en-US"/>
        </w:rPr>
      </w:pPr>
      <w:r w:rsidRPr="00BC7655">
        <w:rPr>
          <w:lang w:val="en-US"/>
        </w:rPr>
        <w:lastRenderedPageBreak/>
        <w:t>The harvest strategy is responsive to the state of the stock and the elements of the harvest strategy work together towards achieving stock management objectives reflected in PI 1.1.1/PI 1.1.1A SG80.</w:t>
      </w:r>
    </w:p>
    <w:p w14:paraId="44E2B051" w14:textId="579C7CDB" w:rsidR="00BC7655" w:rsidRDefault="00596863" w:rsidP="00BC7655">
      <w:pPr>
        <w:jc w:val="both"/>
        <w:rPr>
          <w:lang w:val="en-US"/>
        </w:rPr>
      </w:pPr>
      <w:r w:rsidRPr="00684892">
        <w:rPr>
          <w:lang w:val="en-US"/>
        </w:rPr>
        <w:t>PI 1.2.1</w:t>
      </w:r>
      <w:r>
        <w:rPr>
          <w:lang w:val="en-US"/>
        </w:rPr>
        <w:t xml:space="preserve">. b) </w:t>
      </w:r>
      <w:r w:rsidR="003C6D42" w:rsidRPr="003C6D42">
        <w:rPr>
          <w:lang w:val="en-US"/>
        </w:rPr>
        <w:t>Harvest strategy evaluation</w:t>
      </w:r>
    </w:p>
    <w:p w14:paraId="6CB06847" w14:textId="5CAE8F66" w:rsidR="003C6D42" w:rsidRDefault="003C6D42" w:rsidP="00BC7655">
      <w:pPr>
        <w:jc w:val="both"/>
        <w:rPr>
          <w:lang w:val="en-US"/>
        </w:rPr>
      </w:pPr>
      <w:r w:rsidRPr="003C6D42">
        <w:rPr>
          <w:lang w:val="en-US"/>
        </w:rPr>
        <w:t>The harvest strategy may not have been fully tested but evidence exists that it is achieving its objectives.</w:t>
      </w:r>
      <w:r w:rsidR="0004555F">
        <w:rPr>
          <w:lang w:val="en-US"/>
        </w:rPr>
        <w:t xml:space="preserve"> </w:t>
      </w:r>
      <w:r w:rsidR="0004555F" w:rsidRPr="00BC7655">
        <w:rPr>
          <w:lang w:val="en-US"/>
        </w:rPr>
        <w:t>SG80.</w:t>
      </w:r>
    </w:p>
    <w:p w14:paraId="1895DA6F" w14:textId="1A198E46" w:rsidR="00596863" w:rsidRPr="00596863" w:rsidRDefault="00596863" w:rsidP="00596863">
      <w:pPr>
        <w:jc w:val="both"/>
        <w:rPr>
          <w:lang w:val="en-US"/>
        </w:rPr>
      </w:pPr>
      <w:r w:rsidRPr="00684892">
        <w:rPr>
          <w:lang w:val="en-US"/>
        </w:rPr>
        <w:t>PI 1.2.1</w:t>
      </w:r>
      <w:r>
        <w:rPr>
          <w:lang w:val="en-US"/>
        </w:rPr>
        <w:t xml:space="preserve">. c) </w:t>
      </w:r>
      <w:r w:rsidRPr="00596863">
        <w:rPr>
          <w:lang w:val="en-US"/>
        </w:rPr>
        <w:t>Harvest strategy monitoring</w:t>
      </w:r>
    </w:p>
    <w:p w14:paraId="6C378944" w14:textId="7209236F" w:rsidR="00BC7655" w:rsidRDefault="00596863" w:rsidP="00596863">
      <w:pPr>
        <w:jc w:val="both"/>
        <w:rPr>
          <w:lang w:val="en-US"/>
        </w:rPr>
      </w:pPr>
      <w:r w:rsidRPr="00596863">
        <w:rPr>
          <w:lang w:val="en-US"/>
        </w:rPr>
        <w:t>Monitoring is in place that is expected to determine whether the harvest strategy is working.</w:t>
      </w:r>
      <w:r w:rsidR="00E6315A">
        <w:rPr>
          <w:lang w:val="en-US"/>
        </w:rPr>
        <w:t xml:space="preserve"> SG</w:t>
      </w:r>
      <w:r w:rsidR="008A6A55">
        <w:rPr>
          <w:lang w:val="en-US"/>
        </w:rPr>
        <w:t>6</w:t>
      </w:r>
      <w:r w:rsidR="00E6315A">
        <w:rPr>
          <w:lang w:val="en-US"/>
        </w:rPr>
        <w:t>0</w:t>
      </w:r>
    </w:p>
    <w:p w14:paraId="3CADA366" w14:textId="196A8343" w:rsidR="00596863" w:rsidRPr="00596863" w:rsidRDefault="00596863" w:rsidP="00596863">
      <w:pPr>
        <w:jc w:val="both"/>
        <w:rPr>
          <w:lang w:val="en-US"/>
        </w:rPr>
      </w:pPr>
      <w:r w:rsidRPr="00684892">
        <w:rPr>
          <w:lang w:val="en-US"/>
        </w:rPr>
        <w:t>PI 1.2.1</w:t>
      </w:r>
      <w:r>
        <w:rPr>
          <w:lang w:val="en-US"/>
        </w:rPr>
        <w:t xml:space="preserve">. d) </w:t>
      </w:r>
      <w:r w:rsidRPr="00596863">
        <w:rPr>
          <w:lang w:val="en-US"/>
        </w:rPr>
        <w:t>Harvest strategy review</w:t>
      </w:r>
    </w:p>
    <w:p w14:paraId="18D1D365" w14:textId="020EEB76" w:rsidR="00596863" w:rsidRDefault="00596863" w:rsidP="00596863">
      <w:pPr>
        <w:jc w:val="both"/>
        <w:rPr>
          <w:lang w:val="en-US"/>
        </w:rPr>
      </w:pPr>
      <w:r w:rsidRPr="00596863">
        <w:rPr>
          <w:lang w:val="en-US"/>
        </w:rPr>
        <w:t>The harvest strategy is periodically reviewed and improved as necessary.</w:t>
      </w:r>
      <w:r w:rsidR="00E6315A">
        <w:rPr>
          <w:lang w:val="en-US"/>
        </w:rPr>
        <w:t>SG100-</w:t>
      </w:r>
    </w:p>
    <w:p w14:paraId="74DADF79" w14:textId="3D3BACF8" w:rsidR="00596863" w:rsidRPr="00596863" w:rsidRDefault="00596863" w:rsidP="00596863">
      <w:pPr>
        <w:jc w:val="both"/>
        <w:rPr>
          <w:lang w:val="en-US"/>
        </w:rPr>
      </w:pPr>
      <w:r w:rsidRPr="00684892">
        <w:rPr>
          <w:lang w:val="en-US"/>
        </w:rPr>
        <w:t>PI 1.2.1</w:t>
      </w:r>
      <w:r>
        <w:rPr>
          <w:lang w:val="en-US"/>
        </w:rPr>
        <w:t xml:space="preserve">. e) </w:t>
      </w:r>
      <w:r w:rsidRPr="00596863">
        <w:rPr>
          <w:lang w:val="en-US"/>
        </w:rPr>
        <w:t>Shark finning</w:t>
      </w:r>
    </w:p>
    <w:p w14:paraId="027CFBF5" w14:textId="1BF912D3" w:rsidR="00596863" w:rsidRDefault="00596863" w:rsidP="00596863">
      <w:pPr>
        <w:jc w:val="both"/>
        <w:rPr>
          <w:lang w:val="en-US"/>
        </w:rPr>
      </w:pPr>
      <w:r w:rsidRPr="00596863">
        <w:rPr>
          <w:lang w:val="en-US"/>
        </w:rPr>
        <w:t>There is a high degree of certainty that shark finning is not taking place.</w:t>
      </w:r>
      <w:r w:rsidR="00E6315A">
        <w:rPr>
          <w:lang w:val="en-US"/>
        </w:rPr>
        <w:t xml:space="preserve"> SG100</w:t>
      </w:r>
    </w:p>
    <w:p w14:paraId="0E5A347C" w14:textId="1346519C" w:rsidR="00090735" w:rsidRPr="00090735" w:rsidRDefault="00090735" w:rsidP="00090735">
      <w:pPr>
        <w:jc w:val="both"/>
        <w:rPr>
          <w:lang w:val="en-US"/>
        </w:rPr>
      </w:pPr>
      <w:r w:rsidRPr="00684892">
        <w:rPr>
          <w:lang w:val="en-US"/>
        </w:rPr>
        <w:t>PI 1.2.1</w:t>
      </w:r>
      <w:r>
        <w:rPr>
          <w:lang w:val="en-US"/>
        </w:rPr>
        <w:t xml:space="preserve">. </w:t>
      </w:r>
      <w:r w:rsidR="00A21B50">
        <w:rPr>
          <w:lang w:val="en-US"/>
        </w:rPr>
        <w:t>f)</w:t>
      </w:r>
      <w:r w:rsidR="00A21B50" w:rsidRPr="00090735">
        <w:rPr>
          <w:lang w:val="en-US"/>
        </w:rPr>
        <w:t xml:space="preserve"> Review</w:t>
      </w:r>
      <w:r w:rsidRPr="00090735">
        <w:rPr>
          <w:lang w:val="en-US"/>
        </w:rPr>
        <w:t xml:space="preserve"> of alternative measures</w:t>
      </w:r>
    </w:p>
    <w:p w14:paraId="51C00407" w14:textId="6911217B" w:rsidR="00596863" w:rsidRPr="008A6A55" w:rsidRDefault="00090735" w:rsidP="00090735">
      <w:pPr>
        <w:jc w:val="both"/>
      </w:pPr>
      <w:r w:rsidRPr="00090735">
        <w:rPr>
          <w:lang w:val="en-US"/>
        </w:rPr>
        <w:t>There has been a review of the potential effectiveness and practicality of alternative measures to minimise UoA-related mortality of unwanted catch of the target stock.</w:t>
      </w:r>
      <w:r w:rsidR="00E6315A">
        <w:rPr>
          <w:lang w:val="en-US"/>
        </w:rPr>
        <w:t xml:space="preserve"> </w:t>
      </w:r>
      <w:r w:rsidR="00E6315A" w:rsidRPr="008A6A55">
        <w:t>SG80</w:t>
      </w:r>
    </w:p>
    <w:p w14:paraId="4E507328" w14:textId="7F4AB4D1" w:rsidR="00A21B50" w:rsidRPr="008A6A55" w:rsidRDefault="009970CB" w:rsidP="00090735">
      <w:pPr>
        <w:jc w:val="both"/>
      </w:pPr>
      <w:r w:rsidRPr="008A6A55">
        <w:t>Rationale:</w:t>
      </w:r>
    </w:p>
    <w:p w14:paraId="40B6DBE2" w14:textId="7EC177F0" w:rsidR="0027673E" w:rsidRPr="0027673E" w:rsidRDefault="0027673E" w:rsidP="0027673E">
      <w:pPr>
        <w:pStyle w:val="Prrafodelista"/>
        <w:numPr>
          <w:ilvl w:val="0"/>
          <w:numId w:val="5"/>
        </w:numPr>
        <w:jc w:val="both"/>
        <w:rPr>
          <w:lang w:val="en-US"/>
        </w:rPr>
      </w:pPr>
      <w:r w:rsidRPr="0027673E">
        <w:rPr>
          <w:lang w:val="en-US"/>
        </w:rPr>
        <w:t>The harvest strategy is consistent with the status of the stock and with the reproductive condition of the species, applying both the measure of the annual global catch quota tending to the MSY and mobile reproductive closures depending on the presence of specimens under size. This is done on a permanent basis and there is a high investment from the state and contributions from private investigations.</w:t>
      </w:r>
    </w:p>
    <w:p w14:paraId="106BCF8C" w14:textId="6D88854F" w:rsidR="003900AC" w:rsidRPr="003900AC" w:rsidRDefault="0027673E" w:rsidP="000C3DE3">
      <w:pPr>
        <w:pStyle w:val="Prrafodelista"/>
        <w:jc w:val="both"/>
        <w:rPr>
          <w:lang w:val="en-US"/>
        </w:rPr>
      </w:pPr>
      <w:r w:rsidRPr="0027673E">
        <w:rPr>
          <w:lang w:val="en-US"/>
        </w:rPr>
        <w:t xml:space="preserve">The formal support is provided by the text of the management plan, which its preparation and adaptation is mandated by the Fisheries Law. </w:t>
      </w:r>
      <w:r w:rsidRPr="003900AC">
        <w:rPr>
          <w:lang w:val="en-US"/>
        </w:rPr>
        <w:t>The procedures are also based on the LGPA</w:t>
      </w:r>
      <w:r w:rsidR="003900AC">
        <w:rPr>
          <w:lang w:val="en-US"/>
        </w:rPr>
        <w:t>.</w:t>
      </w:r>
      <w:r w:rsidR="003900AC" w:rsidRPr="003900AC">
        <w:rPr>
          <w:lang w:val="en-US"/>
        </w:rPr>
        <w:t xml:space="preserve"> So, the fishery reaches 80, but not 100.</w:t>
      </w:r>
    </w:p>
    <w:p w14:paraId="760D367A" w14:textId="1305F079" w:rsidR="00F733B3" w:rsidRPr="003900AC" w:rsidRDefault="00F733B3" w:rsidP="00F733B3">
      <w:pPr>
        <w:pStyle w:val="Prrafodelista"/>
        <w:jc w:val="both"/>
        <w:rPr>
          <w:lang w:val="en-US"/>
        </w:rPr>
      </w:pPr>
    </w:p>
    <w:p w14:paraId="51D67D9B" w14:textId="67274E7E" w:rsidR="00F733B3" w:rsidRDefault="00F733B3" w:rsidP="00F733B3">
      <w:pPr>
        <w:pStyle w:val="Prrafodelista"/>
        <w:jc w:val="both"/>
      </w:pPr>
      <w:hyperlink r:id="rId7" w:history="1">
        <w:r w:rsidRPr="00F733B3">
          <w:rPr>
            <w:rStyle w:val="Hipervnculo"/>
          </w:rPr>
          <w:t>articles-94523_documento.pdf</w:t>
        </w:r>
      </w:hyperlink>
    </w:p>
    <w:p w14:paraId="1B9520A3" w14:textId="77777777" w:rsidR="00F733B3" w:rsidRDefault="00F733B3" w:rsidP="00F733B3">
      <w:pPr>
        <w:pStyle w:val="Prrafodelista"/>
        <w:jc w:val="both"/>
      </w:pPr>
    </w:p>
    <w:p w14:paraId="3F24BE04" w14:textId="469374C7" w:rsidR="00845082" w:rsidRPr="00845082" w:rsidRDefault="00845082" w:rsidP="008E7425">
      <w:pPr>
        <w:pStyle w:val="Prrafodelista"/>
        <w:numPr>
          <w:ilvl w:val="0"/>
          <w:numId w:val="5"/>
        </w:numPr>
        <w:jc w:val="both"/>
        <w:rPr>
          <w:lang w:val="en-US"/>
        </w:rPr>
      </w:pPr>
      <w:r w:rsidRPr="00845082">
        <w:rPr>
          <w:lang w:val="en-US"/>
        </w:rPr>
        <w:t xml:space="preserve">The exploitation strategy was built based on the adjustment of various management approaches, and the technical support of the process has been </w:t>
      </w:r>
      <w:r w:rsidRPr="00845082">
        <w:rPr>
          <w:lang w:val="en-US"/>
        </w:rPr>
        <w:lastRenderedPageBreak/>
        <w:t>developed within the framework of stock evaluation, in the process of continuous improvement and the definition of biological reference points (Payá et al 2014). So, the strategy has been partially tested in stages. There has been in the past (Arteaga et al, 2012), by virtue of the requirements of that time.</w:t>
      </w:r>
    </w:p>
    <w:p w14:paraId="555C1130" w14:textId="77E30C13" w:rsidR="008E7425" w:rsidRPr="003E56F1" w:rsidRDefault="00845082" w:rsidP="008E7425">
      <w:pPr>
        <w:pStyle w:val="Prrafodelista"/>
        <w:jc w:val="both"/>
      </w:pPr>
      <w:r w:rsidRPr="00845082">
        <w:rPr>
          <w:lang w:val="en-US"/>
        </w:rPr>
        <w:t>Finally, a project for the design and implementation of the evaluation of Management Strategies is underway.</w:t>
      </w:r>
      <w:r w:rsidR="008E7425">
        <w:rPr>
          <w:lang w:val="en-US"/>
        </w:rPr>
        <w:t xml:space="preserve"> </w:t>
      </w:r>
      <w:r w:rsidR="008E7425" w:rsidRPr="003E56F1">
        <w:t>The fishery reaches 80, but not 100.</w:t>
      </w:r>
    </w:p>
    <w:p w14:paraId="7F05FBE5" w14:textId="239D7F32" w:rsidR="003900AC" w:rsidRPr="003E56F1" w:rsidRDefault="003900AC" w:rsidP="003900AC">
      <w:pPr>
        <w:pStyle w:val="Prrafodelista"/>
        <w:jc w:val="both"/>
      </w:pPr>
      <w:r w:rsidRPr="003E56F1">
        <w:t xml:space="preserve"> </w:t>
      </w:r>
    </w:p>
    <w:p w14:paraId="020819EB" w14:textId="3FC4BB66" w:rsidR="00B727B9" w:rsidRDefault="00B727B9" w:rsidP="00B727B9">
      <w:pPr>
        <w:pStyle w:val="Prrafodelista"/>
        <w:jc w:val="both"/>
      </w:pPr>
      <w:hyperlink r:id="rId8" w:history="1">
        <w:r w:rsidRPr="00B727B9">
          <w:rPr>
            <w:rStyle w:val="Hipervnculo"/>
          </w:rPr>
          <w:t>(PDF) Revisión de los puntos biológicos de referencia (Rendimiento Máximo Sostenible) en las pesquerías nacionales. (Review of Biological Reference Points for main chilean fisheries)</w:t>
        </w:r>
      </w:hyperlink>
    </w:p>
    <w:p w14:paraId="610C252B" w14:textId="77777777" w:rsidR="00B727B9" w:rsidRDefault="00B727B9" w:rsidP="00B727B9">
      <w:pPr>
        <w:pStyle w:val="Prrafodelista"/>
        <w:jc w:val="both"/>
      </w:pPr>
    </w:p>
    <w:p w14:paraId="2674D099" w14:textId="77777777" w:rsidR="003900AC" w:rsidRDefault="003900AC" w:rsidP="003900AC">
      <w:pPr>
        <w:jc w:val="both"/>
      </w:pPr>
    </w:p>
    <w:p w14:paraId="0A710DC6" w14:textId="5A67250C" w:rsidR="008E7425" w:rsidRDefault="008E7425" w:rsidP="008E7425">
      <w:pPr>
        <w:pStyle w:val="Prrafodelista"/>
        <w:numPr>
          <w:ilvl w:val="0"/>
          <w:numId w:val="5"/>
        </w:numPr>
        <w:jc w:val="both"/>
        <w:rPr>
          <w:lang w:val="en-US"/>
        </w:rPr>
      </w:pPr>
      <w:r w:rsidRPr="008E7425">
        <w:rPr>
          <w:lang w:val="en-US"/>
        </w:rPr>
        <w:t>There is a permanent monitoring program on the fishery, whose information can be used as an input for the definition of status and the implementation of management measures. Although it is not explicitly deployed as an evaluation of the performance of the harvest strategy, operationally it is. In this case, the fishery achieves the defined score of SG 60.</w:t>
      </w:r>
    </w:p>
    <w:p w14:paraId="5B37B017" w14:textId="571F1030" w:rsidR="008E7425" w:rsidRPr="008E7425" w:rsidRDefault="008E7425" w:rsidP="008E7425">
      <w:pPr>
        <w:pStyle w:val="Prrafodelista"/>
        <w:jc w:val="both"/>
        <w:rPr>
          <w:lang w:val="en-US"/>
        </w:rPr>
      </w:pPr>
      <w:hyperlink r:id="rId9" w:history="1">
        <w:r w:rsidRPr="007755F4">
          <w:rPr>
            <w:rStyle w:val="Hipervnculo"/>
            <w:lang w:val="en-US"/>
          </w:rPr>
          <w:t>1</w:t>
        </w:r>
      </w:hyperlink>
    </w:p>
    <w:p w14:paraId="7AA76DFE" w14:textId="77777777" w:rsidR="008E7425" w:rsidRPr="008E7425" w:rsidRDefault="008E7425" w:rsidP="008E7425">
      <w:pPr>
        <w:pStyle w:val="Prrafodelista"/>
        <w:jc w:val="both"/>
        <w:rPr>
          <w:lang w:val="en-US"/>
        </w:rPr>
      </w:pPr>
    </w:p>
    <w:p w14:paraId="3EA3D172" w14:textId="2AF5D6D3" w:rsidR="007755F4" w:rsidRPr="007755F4" w:rsidRDefault="007755F4" w:rsidP="007755F4">
      <w:pPr>
        <w:pStyle w:val="Prrafodelista"/>
        <w:numPr>
          <w:ilvl w:val="0"/>
          <w:numId w:val="5"/>
        </w:numPr>
        <w:jc w:val="both"/>
        <w:rPr>
          <w:lang w:val="en-US"/>
        </w:rPr>
      </w:pPr>
      <w:r w:rsidRPr="007755F4">
        <w:rPr>
          <w:lang w:val="en-US"/>
        </w:rPr>
        <w:t>The harvest strategy has been built on the fly in management and has been complemented and reviewed periodically, according to the new approaches developed in fisheries research. With all this background, the fishery reaches SG100.-</w:t>
      </w:r>
    </w:p>
    <w:p w14:paraId="1144CF2E" w14:textId="77777777" w:rsidR="00CE779A" w:rsidRPr="007755F4" w:rsidRDefault="00CE779A" w:rsidP="00CE779A">
      <w:pPr>
        <w:pStyle w:val="Prrafodelista"/>
        <w:jc w:val="both"/>
        <w:rPr>
          <w:lang w:val="en-US"/>
        </w:rPr>
      </w:pPr>
      <w:hyperlink r:id="rId10" w:history="1">
        <w:r w:rsidRPr="007755F4">
          <w:rPr>
            <w:rStyle w:val="Hipervnculo"/>
            <w:lang w:val="en-US"/>
          </w:rPr>
          <w:t>art06.pdf</w:t>
        </w:r>
      </w:hyperlink>
    </w:p>
    <w:p w14:paraId="01A8B57D" w14:textId="571DA45D" w:rsidR="00CE779A" w:rsidRPr="007755F4" w:rsidRDefault="007755F4" w:rsidP="00CE779A">
      <w:pPr>
        <w:pStyle w:val="Prrafodelista"/>
        <w:jc w:val="both"/>
        <w:rPr>
          <w:lang w:val="en-US"/>
        </w:rPr>
      </w:pPr>
      <w:hyperlink r:id="rId11" w:history="1">
        <w:r w:rsidRPr="007755F4">
          <w:rPr>
            <w:rStyle w:val="Hipervnculo"/>
            <w:lang w:val="en-US"/>
          </w:rPr>
          <w:t>articles-116755_informe_final.pdf</w:t>
        </w:r>
      </w:hyperlink>
    </w:p>
    <w:p w14:paraId="17CCD6BA" w14:textId="77777777" w:rsidR="00CE779A" w:rsidRDefault="00CE779A" w:rsidP="00CE779A">
      <w:pPr>
        <w:pStyle w:val="Prrafodelista"/>
        <w:jc w:val="both"/>
      </w:pPr>
      <w:hyperlink r:id="rId12" w:history="1">
        <w:r w:rsidRPr="003900AC">
          <w:rPr>
            <w:rStyle w:val="Hipervnculo"/>
          </w:rPr>
          <w:t>Diseño e implementación de Evaluación de Estrategias de Manejo (EEM) en las pesquerías de anchoveta y sardina común: fase 2 - FIPA. SUBPESCA. Fondo de Investigación Pesquera y de Acuicultura</w:t>
        </w:r>
      </w:hyperlink>
    </w:p>
    <w:p w14:paraId="786DADB1" w14:textId="77777777" w:rsidR="007755F4" w:rsidRDefault="007755F4" w:rsidP="00CE779A">
      <w:pPr>
        <w:pStyle w:val="Prrafodelista"/>
        <w:jc w:val="both"/>
      </w:pPr>
    </w:p>
    <w:p w14:paraId="41E8CE56" w14:textId="35FCDE78" w:rsidR="00277DC7" w:rsidRPr="00277DC7" w:rsidRDefault="00277DC7" w:rsidP="00191D45">
      <w:pPr>
        <w:pStyle w:val="Prrafodelista"/>
        <w:numPr>
          <w:ilvl w:val="0"/>
          <w:numId w:val="5"/>
        </w:numPr>
        <w:jc w:val="both"/>
      </w:pPr>
      <w:r w:rsidRPr="00277DC7">
        <w:rPr>
          <w:lang w:val="en-US"/>
        </w:rPr>
        <w:t xml:space="preserve">At the national level, a conservation measure has been established for shark species included in the CMS appendices whose conservation status is highly threatened. This measure, contained in Supreme Decree No. 81 of 2009, establishes a permanent capture ban in Chile for the following species: whale shark (Rhincodon typus), white shark (Carcharodon carcharias) and basking shark (Cetorhinus maximus). For its part, in 2011 Law No. 20,525 was enacted in Chile, which modifies the General Law of Fisheries and Aquaculture on the use and benefit of sharks, which prohibits the mutilation of the fins of any </w:t>
      </w:r>
      <w:r w:rsidRPr="00277DC7">
        <w:rPr>
          <w:lang w:val="en-US"/>
        </w:rPr>
        <w:lastRenderedPageBreak/>
        <w:t>species of shark, an action called finning.</w:t>
      </w:r>
      <w:r>
        <w:rPr>
          <w:lang w:val="en-US"/>
        </w:rPr>
        <w:t xml:space="preserve"> </w:t>
      </w:r>
      <w:r w:rsidRPr="00277DC7">
        <w:rPr>
          <w:lang w:val="en-US"/>
        </w:rPr>
        <w:t>Linked to this issue, Chile has a National Action Plan for the Conservation of Sharks.</w:t>
      </w:r>
      <w:r>
        <w:rPr>
          <w:lang w:val="en-US"/>
        </w:rPr>
        <w:t xml:space="preserve"> </w:t>
      </w:r>
      <w:r w:rsidRPr="00277DC7">
        <w:rPr>
          <w:lang w:val="en-US"/>
        </w:rPr>
        <w:t xml:space="preserve">This, associated with the discard mitigation and control programs, plus restrictions on the export of shark fin allow to offer a high certainty that there is no finning. </w:t>
      </w:r>
      <w:r w:rsidRPr="00277DC7">
        <w:t>SG100.-</w:t>
      </w:r>
    </w:p>
    <w:p w14:paraId="2331A689" w14:textId="1B40A045" w:rsidR="00277DC7" w:rsidRPr="00277DC7" w:rsidRDefault="00277DC7" w:rsidP="00277DC7">
      <w:pPr>
        <w:pStyle w:val="Prrafodelista"/>
        <w:jc w:val="both"/>
      </w:pPr>
    </w:p>
    <w:p w14:paraId="0A0C3533" w14:textId="15EA22C0" w:rsidR="00277DC7" w:rsidRDefault="00277DC7" w:rsidP="00277DC7">
      <w:pPr>
        <w:pStyle w:val="Prrafodelista"/>
        <w:jc w:val="both"/>
      </w:pPr>
      <w:hyperlink r:id="rId13" w:history="1">
        <w:r w:rsidRPr="00277DC7">
          <w:rPr>
            <w:rStyle w:val="Hipervnculo"/>
          </w:rPr>
          <w:t>Migratory_Sharks_MoU_S</w:t>
        </w:r>
      </w:hyperlink>
    </w:p>
    <w:p w14:paraId="4BEA2D25" w14:textId="77777777" w:rsidR="008E7425" w:rsidRDefault="008E7425" w:rsidP="008E7425">
      <w:pPr>
        <w:pStyle w:val="Prrafodelista"/>
        <w:jc w:val="both"/>
      </w:pPr>
    </w:p>
    <w:p w14:paraId="2500E371" w14:textId="48176A12" w:rsidR="004F7DA3" w:rsidRDefault="004F7DA3" w:rsidP="004F7DA3">
      <w:pPr>
        <w:pStyle w:val="Prrafodelista"/>
        <w:numPr>
          <w:ilvl w:val="0"/>
          <w:numId w:val="5"/>
        </w:numPr>
        <w:jc w:val="both"/>
      </w:pPr>
      <w:r w:rsidRPr="004F7DA3">
        <w:rPr>
          <w:lang w:val="en-US"/>
        </w:rPr>
        <w:t xml:space="preserve">In Chile, new elements are eventually considered and implemented in management by virtue of their applicability and scope. Harvest strategies' evaluation documents are evidence of this. Both methodological approaches and the implementation of technology, and in some cases, agreements of good practices have been explored. </w:t>
      </w:r>
      <w:r>
        <w:t xml:space="preserve">The fishery reaches SG.80. </w:t>
      </w:r>
    </w:p>
    <w:p w14:paraId="67EBC9C6" w14:textId="77777777" w:rsidR="004F7DA3" w:rsidRPr="00CE779A" w:rsidRDefault="004F7DA3" w:rsidP="008E7425">
      <w:pPr>
        <w:pStyle w:val="Prrafodelista"/>
        <w:jc w:val="both"/>
      </w:pPr>
    </w:p>
    <w:tbl>
      <w:tblPr>
        <w:tblStyle w:val="Tablaconcuadrcula"/>
        <w:tblW w:w="9067" w:type="dxa"/>
        <w:tblCellMar>
          <w:top w:w="57" w:type="dxa"/>
          <w:bottom w:w="57" w:type="dxa"/>
        </w:tblCellMar>
        <w:tblLook w:val="04A0" w:firstRow="1" w:lastRow="0" w:firstColumn="1" w:lastColumn="0" w:noHBand="0" w:noVBand="1"/>
      </w:tblPr>
      <w:tblGrid>
        <w:gridCol w:w="2689"/>
        <w:gridCol w:w="6378"/>
      </w:tblGrid>
      <w:tr w:rsidR="002D7941" w14:paraId="1AC02F8B" w14:textId="77777777" w:rsidTr="006B7909">
        <w:tc>
          <w:tcPr>
            <w:tcW w:w="2689" w:type="dxa"/>
            <w:shd w:val="clear" w:color="auto" w:fill="F2F2F2" w:themeFill="background1" w:themeFillShade="F2"/>
          </w:tcPr>
          <w:p w14:paraId="57C1DEE3" w14:textId="77777777" w:rsidR="002D7941" w:rsidRDefault="002D7941" w:rsidP="006B7909">
            <w:r w:rsidRPr="00C35C08">
              <w:t>Draft scoring range</w:t>
            </w:r>
          </w:p>
        </w:tc>
        <w:tc>
          <w:tcPr>
            <w:tcW w:w="6378" w:type="dxa"/>
            <w:shd w:val="clear" w:color="auto" w:fill="FFFFFF" w:themeFill="background1"/>
          </w:tcPr>
          <w:p w14:paraId="4390880D" w14:textId="33C41241" w:rsidR="002D7941" w:rsidRPr="00493233" w:rsidRDefault="002D7941" w:rsidP="006B7909">
            <w:pPr>
              <w:rPr>
                <w:b/>
                <w:bCs/>
                <w:i/>
                <w:iCs/>
              </w:rPr>
            </w:pPr>
            <w:r w:rsidRPr="00493233">
              <w:rPr>
                <w:b/>
                <w:bCs/>
              </w:rPr>
              <w:t xml:space="preserve"> ≥80</w:t>
            </w:r>
          </w:p>
        </w:tc>
      </w:tr>
      <w:tr w:rsidR="002D7941" w:rsidRPr="003E56F1" w14:paraId="1F02DB97" w14:textId="77777777" w:rsidTr="006B7909">
        <w:tc>
          <w:tcPr>
            <w:tcW w:w="2689" w:type="dxa"/>
            <w:shd w:val="clear" w:color="auto" w:fill="F2F2F2" w:themeFill="background1" w:themeFillShade="F2"/>
          </w:tcPr>
          <w:p w14:paraId="59ECB2A6" w14:textId="77777777" w:rsidR="002D7941" w:rsidRDefault="002D7941" w:rsidP="006B7909">
            <w:r w:rsidRPr="00C35C08">
              <w:t>Information gap indicator</w:t>
            </w:r>
          </w:p>
        </w:tc>
        <w:tc>
          <w:tcPr>
            <w:tcW w:w="6378" w:type="dxa"/>
            <w:shd w:val="clear" w:color="auto" w:fill="FFFFFF" w:themeFill="background1"/>
          </w:tcPr>
          <w:p w14:paraId="688E6B42" w14:textId="77777777" w:rsidR="002D7941" w:rsidRPr="00313847" w:rsidRDefault="002D7941" w:rsidP="006B7909">
            <w:pPr>
              <w:rPr>
                <w:b/>
                <w:bCs/>
              </w:rPr>
            </w:pPr>
            <w:r w:rsidRPr="00313847">
              <w:rPr>
                <w:b/>
                <w:bCs/>
              </w:rPr>
              <w:t>More information sought / Information sufficient to score PI</w:t>
            </w:r>
          </w:p>
          <w:p w14:paraId="3AB5C4D4" w14:textId="77777777" w:rsidR="002D7941" w:rsidRDefault="002D7941" w:rsidP="006B7909"/>
          <w:p w14:paraId="6A4CCA89" w14:textId="75E29450" w:rsidR="002D7941" w:rsidRPr="00A43999" w:rsidRDefault="00A43999" w:rsidP="006B7909">
            <w:pPr>
              <w:rPr>
                <w:i/>
                <w:iCs/>
                <w:lang w:val="en-US"/>
              </w:rPr>
            </w:pPr>
            <w:r w:rsidRPr="00A43999">
              <w:rPr>
                <w:i/>
                <w:iCs/>
              </w:rPr>
              <w:t>Projects under development need to be considered and an external review of strategies is recommended.</w:t>
            </w:r>
          </w:p>
        </w:tc>
      </w:tr>
    </w:tbl>
    <w:p w14:paraId="31585D62" w14:textId="77777777" w:rsidR="004B65FF" w:rsidRDefault="004B65FF" w:rsidP="005327D4">
      <w:pPr>
        <w:jc w:val="both"/>
        <w:rPr>
          <w:lang w:val="en-US"/>
        </w:rPr>
      </w:pPr>
    </w:p>
    <w:p w14:paraId="41C62CD8" w14:textId="090CFF76" w:rsidR="009441EB" w:rsidRDefault="009441EB" w:rsidP="005327D4">
      <w:pPr>
        <w:jc w:val="both"/>
        <w:rPr>
          <w:lang w:val="en-US"/>
        </w:rPr>
      </w:pPr>
      <w:r w:rsidRPr="009441EB">
        <w:rPr>
          <w:lang w:val="en-US"/>
        </w:rPr>
        <w:t>PI 1.2.2 – Harvest control rules and tools</w:t>
      </w:r>
    </w:p>
    <w:p w14:paraId="6F430ED1" w14:textId="79FEAD67" w:rsidR="009441EB" w:rsidRDefault="009441EB" w:rsidP="005327D4">
      <w:pPr>
        <w:jc w:val="both"/>
        <w:rPr>
          <w:lang w:val="en-US"/>
        </w:rPr>
      </w:pPr>
      <w:r w:rsidRPr="009441EB">
        <w:rPr>
          <w:lang w:val="en-US"/>
        </w:rPr>
        <w:t>PI 1.2.2</w:t>
      </w:r>
      <w:r>
        <w:rPr>
          <w:lang w:val="en-US"/>
        </w:rPr>
        <w:t xml:space="preserve"> </w:t>
      </w:r>
      <w:r w:rsidRPr="009441EB">
        <w:rPr>
          <w:lang w:val="en-US"/>
        </w:rPr>
        <w:t>There are well-defined and effective HCRs in place</w:t>
      </w:r>
    </w:p>
    <w:p w14:paraId="6044BAAC" w14:textId="1A0B54FD" w:rsidR="009441EB" w:rsidRDefault="009441EB" w:rsidP="009441EB">
      <w:pPr>
        <w:jc w:val="both"/>
        <w:rPr>
          <w:lang w:val="en-US"/>
        </w:rPr>
      </w:pPr>
      <w:r w:rsidRPr="009441EB">
        <w:rPr>
          <w:lang w:val="en-US"/>
        </w:rPr>
        <w:t>PI 1.2.2</w:t>
      </w:r>
      <w:r>
        <w:rPr>
          <w:lang w:val="en-US"/>
        </w:rPr>
        <w:t xml:space="preserve"> a) </w:t>
      </w:r>
      <w:r w:rsidRPr="009441EB">
        <w:rPr>
          <w:lang w:val="en-US"/>
        </w:rPr>
        <w:t>HCRs design and application</w:t>
      </w:r>
      <w:r>
        <w:rPr>
          <w:lang w:val="en-US"/>
        </w:rPr>
        <w:t xml:space="preserve">: </w:t>
      </w:r>
      <w:r w:rsidRPr="009441EB">
        <w:rPr>
          <w:lang w:val="en-US"/>
        </w:rPr>
        <w:t>Well defined HCRs are in place that ensure that the exploitation rate is reduced as the PRI is approached, are expected to keep the stock fluctuating around a target level consistent with (or above) MSY, or for key LTL species a level consistent with ecosystem needs.</w:t>
      </w:r>
      <w:r>
        <w:rPr>
          <w:lang w:val="en-US"/>
        </w:rPr>
        <w:t xml:space="preserve"> SG.80.-</w:t>
      </w:r>
    </w:p>
    <w:p w14:paraId="3E78E89E" w14:textId="5AA8E211" w:rsidR="009441EB" w:rsidRDefault="009441EB" w:rsidP="009441EB">
      <w:pPr>
        <w:jc w:val="both"/>
        <w:rPr>
          <w:lang w:val="en-US"/>
        </w:rPr>
      </w:pPr>
      <w:r w:rsidRPr="009441EB">
        <w:rPr>
          <w:lang w:val="en-US"/>
        </w:rPr>
        <w:t>PI 1.2.2</w:t>
      </w:r>
      <w:r>
        <w:rPr>
          <w:lang w:val="en-US"/>
        </w:rPr>
        <w:t xml:space="preserve"> b)</w:t>
      </w:r>
      <w:r w:rsidR="00CA25ED">
        <w:rPr>
          <w:lang w:val="en-US"/>
        </w:rPr>
        <w:t xml:space="preserve"> </w:t>
      </w:r>
      <w:r w:rsidRPr="009441EB">
        <w:rPr>
          <w:lang w:val="en-US"/>
        </w:rPr>
        <w:t>The robustness of HCRs to uncertainty</w:t>
      </w:r>
      <w:r>
        <w:rPr>
          <w:lang w:val="en-US"/>
        </w:rPr>
        <w:t xml:space="preserve">: </w:t>
      </w:r>
      <w:r w:rsidRPr="009441EB">
        <w:rPr>
          <w:lang w:val="en-US"/>
        </w:rPr>
        <w:t>The HCRs are likely to be robust to the main uncertainties.</w:t>
      </w:r>
      <w:r>
        <w:rPr>
          <w:lang w:val="en-US"/>
        </w:rPr>
        <w:t xml:space="preserve"> SG.80.</w:t>
      </w:r>
    </w:p>
    <w:p w14:paraId="5806468F" w14:textId="147BA436" w:rsidR="009441EB" w:rsidRDefault="00CA25ED" w:rsidP="00CA25ED">
      <w:pPr>
        <w:jc w:val="both"/>
        <w:rPr>
          <w:lang w:val="en-US"/>
        </w:rPr>
      </w:pPr>
      <w:r w:rsidRPr="009441EB">
        <w:rPr>
          <w:lang w:val="en-US"/>
        </w:rPr>
        <w:t>PI 1.2.2</w:t>
      </w:r>
      <w:r>
        <w:rPr>
          <w:lang w:val="en-US"/>
        </w:rPr>
        <w:t xml:space="preserve"> c) </w:t>
      </w:r>
      <w:r w:rsidRPr="00CA25ED">
        <w:rPr>
          <w:lang w:val="en-US"/>
        </w:rPr>
        <w:t>Evaluation of HCRs</w:t>
      </w:r>
      <w:r>
        <w:rPr>
          <w:lang w:val="en-US"/>
        </w:rPr>
        <w:t xml:space="preserve">. </w:t>
      </w:r>
      <w:r w:rsidRPr="00CA25ED">
        <w:rPr>
          <w:lang w:val="en-US"/>
        </w:rPr>
        <w:t>There is some evidence that tools used or available to implement HCRs are appropriate and effective in controlling exploitation.</w:t>
      </w:r>
      <w:r>
        <w:rPr>
          <w:lang w:val="en-US"/>
        </w:rPr>
        <w:t xml:space="preserve"> SG.60</w:t>
      </w:r>
    </w:p>
    <w:p w14:paraId="405DF399" w14:textId="11E7D0B4" w:rsidR="00CA25ED" w:rsidRDefault="00CA25ED" w:rsidP="00CA25ED">
      <w:pPr>
        <w:jc w:val="both"/>
        <w:rPr>
          <w:lang w:val="en-US"/>
        </w:rPr>
      </w:pPr>
      <w:r>
        <w:rPr>
          <w:lang w:val="en-US"/>
        </w:rPr>
        <w:t>Rationale:</w:t>
      </w:r>
    </w:p>
    <w:p w14:paraId="0BB41BE7" w14:textId="69D326C6" w:rsidR="003C7FE9" w:rsidRPr="003C7FE9" w:rsidRDefault="003C7FE9" w:rsidP="003C7FE9">
      <w:pPr>
        <w:pStyle w:val="Prrafodelista"/>
        <w:numPr>
          <w:ilvl w:val="0"/>
          <w:numId w:val="12"/>
        </w:numPr>
        <w:jc w:val="both"/>
        <w:rPr>
          <w:lang w:val="en-US"/>
        </w:rPr>
      </w:pPr>
      <w:r w:rsidRPr="003C7FE9">
        <w:rPr>
          <w:lang w:val="en-US"/>
        </w:rPr>
        <w:t xml:space="preserve">The management plan establishes the harvest strategy, the implementation of the management actions is triggered based on the condition of the status of the stock, defined based on the Biological Reference Points, defined by the scientific committee annually. On the other hand, the system of implementation </w:t>
      </w:r>
      <w:r w:rsidRPr="003C7FE9">
        <w:rPr>
          <w:lang w:val="en-US"/>
        </w:rPr>
        <w:lastRenderedPageBreak/>
        <w:t>of mobile reproductive bans. In both directions, the control rules are triggered around the defined biological reference points, and the reference of sizes.</w:t>
      </w:r>
    </w:p>
    <w:p w14:paraId="179F1E4C" w14:textId="77777777" w:rsidR="003C7FE9" w:rsidRPr="003C7FE9" w:rsidRDefault="003C7FE9" w:rsidP="003C7FE9">
      <w:pPr>
        <w:pStyle w:val="Prrafodelista"/>
        <w:numPr>
          <w:ilvl w:val="0"/>
          <w:numId w:val="12"/>
        </w:numPr>
        <w:jc w:val="both"/>
        <w:rPr>
          <w:lang w:val="en-US"/>
        </w:rPr>
      </w:pPr>
      <w:r w:rsidRPr="003C7FE9">
        <w:rPr>
          <w:lang w:val="en-US"/>
        </w:rPr>
        <w:t>The robustness of the control rules is evident from the analyses of the stock evaluation processes and the future evaluations of the performance of the harvest strategy.</w:t>
      </w:r>
    </w:p>
    <w:p w14:paraId="4E5A17FC" w14:textId="77777777" w:rsidR="003C7FE9" w:rsidRPr="003C7FE9" w:rsidRDefault="003C7FE9" w:rsidP="003C7FE9">
      <w:pPr>
        <w:pStyle w:val="Prrafodelista"/>
        <w:numPr>
          <w:ilvl w:val="0"/>
          <w:numId w:val="12"/>
        </w:numPr>
        <w:jc w:val="both"/>
        <w:rPr>
          <w:lang w:val="en-US"/>
        </w:rPr>
      </w:pPr>
      <w:r w:rsidRPr="003C7FE9">
        <w:rPr>
          <w:lang w:val="en-US"/>
        </w:rPr>
        <w:t>The main evidence is that reported through the annual status of national fisheries, where the performance of the fishery and its HCRs is exposed.</w:t>
      </w:r>
    </w:p>
    <w:p w14:paraId="393F652D" w14:textId="3849DB3A" w:rsidR="003C7FE9" w:rsidRDefault="003C7FE9" w:rsidP="003C7FE9">
      <w:pPr>
        <w:pStyle w:val="Prrafodelista"/>
        <w:jc w:val="both"/>
      </w:pPr>
      <w:hyperlink r:id="rId14" w:history="1">
        <w:r w:rsidRPr="003C7FE9">
          <w:rPr>
            <w:rStyle w:val="Hipervnculo"/>
          </w:rPr>
          <w:t>Estado de situación de las principales pesquerías chilenas, año 2023 - SUBPESCA Publicaciones y Estudios</w:t>
        </w:r>
      </w:hyperlink>
    </w:p>
    <w:tbl>
      <w:tblPr>
        <w:tblStyle w:val="Tablaconcuadrcula"/>
        <w:tblW w:w="9067" w:type="dxa"/>
        <w:tblCellMar>
          <w:top w:w="57" w:type="dxa"/>
          <w:bottom w:w="57" w:type="dxa"/>
        </w:tblCellMar>
        <w:tblLook w:val="04A0" w:firstRow="1" w:lastRow="0" w:firstColumn="1" w:lastColumn="0" w:noHBand="0" w:noVBand="1"/>
      </w:tblPr>
      <w:tblGrid>
        <w:gridCol w:w="2689"/>
        <w:gridCol w:w="6378"/>
      </w:tblGrid>
      <w:tr w:rsidR="003C7FE9" w14:paraId="7BDC6D0A" w14:textId="77777777" w:rsidTr="006B7909">
        <w:tc>
          <w:tcPr>
            <w:tcW w:w="2689" w:type="dxa"/>
            <w:shd w:val="clear" w:color="auto" w:fill="F2F2F2" w:themeFill="background1" w:themeFillShade="F2"/>
          </w:tcPr>
          <w:p w14:paraId="6A1F13A4" w14:textId="77777777" w:rsidR="003C7FE9" w:rsidRDefault="003C7FE9" w:rsidP="006B7909">
            <w:r w:rsidRPr="00C35C08">
              <w:t>Draft scoring range</w:t>
            </w:r>
          </w:p>
        </w:tc>
        <w:tc>
          <w:tcPr>
            <w:tcW w:w="6378" w:type="dxa"/>
            <w:shd w:val="clear" w:color="auto" w:fill="FFFFFF" w:themeFill="background1"/>
          </w:tcPr>
          <w:p w14:paraId="4541796F" w14:textId="47FFCC1A" w:rsidR="003C7FE9" w:rsidRPr="00493233" w:rsidRDefault="003C7FE9" w:rsidP="006B7909">
            <w:pPr>
              <w:rPr>
                <w:b/>
                <w:bCs/>
                <w:i/>
                <w:iCs/>
              </w:rPr>
            </w:pPr>
            <w:r w:rsidRPr="00493233">
              <w:rPr>
                <w:b/>
                <w:bCs/>
              </w:rPr>
              <w:t xml:space="preserve"> </w:t>
            </w:r>
            <w:r>
              <w:rPr>
                <w:b/>
                <w:bCs/>
              </w:rPr>
              <w:t>60-79</w:t>
            </w:r>
          </w:p>
        </w:tc>
      </w:tr>
      <w:tr w:rsidR="003C7FE9" w:rsidRPr="003E56F1" w14:paraId="756B813C" w14:textId="77777777" w:rsidTr="006B7909">
        <w:tc>
          <w:tcPr>
            <w:tcW w:w="2689" w:type="dxa"/>
            <w:shd w:val="clear" w:color="auto" w:fill="F2F2F2" w:themeFill="background1" w:themeFillShade="F2"/>
          </w:tcPr>
          <w:p w14:paraId="5250110B" w14:textId="77777777" w:rsidR="003C7FE9" w:rsidRDefault="003C7FE9" w:rsidP="006B7909">
            <w:r w:rsidRPr="00C35C08">
              <w:t>Information gap indicator</w:t>
            </w:r>
          </w:p>
        </w:tc>
        <w:tc>
          <w:tcPr>
            <w:tcW w:w="6378" w:type="dxa"/>
            <w:shd w:val="clear" w:color="auto" w:fill="FFFFFF" w:themeFill="background1"/>
          </w:tcPr>
          <w:p w14:paraId="64AAA8F0" w14:textId="77777777" w:rsidR="003C7FE9" w:rsidRPr="00313847" w:rsidRDefault="003C7FE9" w:rsidP="006B7909">
            <w:pPr>
              <w:rPr>
                <w:b/>
                <w:bCs/>
              </w:rPr>
            </w:pPr>
            <w:r w:rsidRPr="00313847">
              <w:rPr>
                <w:b/>
                <w:bCs/>
              </w:rPr>
              <w:t>More information sought / Information sufficient to score PI</w:t>
            </w:r>
          </w:p>
          <w:p w14:paraId="021FE625" w14:textId="77777777" w:rsidR="003C7FE9" w:rsidRDefault="003C7FE9" w:rsidP="006B7909"/>
          <w:p w14:paraId="1CCCBC96" w14:textId="77777777" w:rsidR="003C7FE9" w:rsidRPr="00A43999" w:rsidRDefault="003C7FE9" w:rsidP="006B7909">
            <w:pPr>
              <w:rPr>
                <w:i/>
                <w:iCs/>
                <w:lang w:val="en-US"/>
              </w:rPr>
            </w:pPr>
            <w:r w:rsidRPr="00A43999">
              <w:rPr>
                <w:i/>
                <w:iCs/>
              </w:rPr>
              <w:t>Projects under development need to be considered and an external review of strategies is recommended.</w:t>
            </w:r>
          </w:p>
        </w:tc>
      </w:tr>
    </w:tbl>
    <w:p w14:paraId="004ECD1A" w14:textId="77777777" w:rsidR="003C7FE9" w:rsidRPr="003C7FE9" w:rsidRDefault="003C7FE9" w:rsidP="003C7FE9">
      <w:pPr>
        <w:jc w:val="both"/>
        <w:rPr>
          <w:lang w:val="en-US"/>
        </w:rPr>
      </w:pPr>
    </w:p>
    <w:sectPr w:rsidR="003C7FE9" w:rsidRPr="003C7F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762"/>
    <w:multiLevelType w:val="multilevel"/>
    <w:tmpl w:val="232EF628"/>
    <w:lvl w:ilvl="0">
      <w:start w:val="1"/>
      <w:numFmt w:val="lowerLetter"/>
      <w:lvlText w:val="%1)"/>
      <w:lvlJc w:val="left"/>
      <w:pPr>
        <w:tabs>
          <w:tab w:val="num" w:pos="720"/>
        </w:tabs>
        <w:ind w:left="720" w:hanging="720"/>
      </w:pPr>
      <w:rPr>
        <w:rFonts w:asciiTheme="minorHAnsi" w:eastAsiaTheme="minorHAnsi" w:hAnsiTheme="minorHAnsi" w:cstheme="minorBid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FF689A"/>
    <w:multiLevelType w:val="multilevel"/>
    <w:tmpl w:val="67A24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F5770E"/>
    <w:multiLevelType w:val="hybridMultilevel"/>
    <w:tmpl w:val="56DA7D4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7A12EB"/>
    <w:multiLevelType w:val="multilevel"/>
    <w:tmpl w:val="05A4C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7349A1"/>
    <w:multiLevelType w:val="multilevel"/>
    <w:tmpl w:val="B0C2B9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485F98"/>
    <w:multiLevelType w:val="hybridMultilevel"/>
    <w:tmpl w:val="5644CD7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32E42BC"/>
    <w:multiLevelType w:val="multilevel"/>
    <w:tmpl w:val="D3ECB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54333F5"/>
    <w:multiLevelType w:val="hybridMultilevel"/>
    <w:tmpl w:val="77404B6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585870"/>
    <w:multiLevelType w:val="multilevel"/>
    <w:tmpl w:val="1FA45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116425"/>
    <w:multiLevelType w:val="hybridMultilevel"/>
    <w:tmpl w:val="7042FC2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804514D"/>
    <w:multiLevelType w:val="multilevel"/>
    <w:tmpl w:val="8B48D8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042AA6"/>
    <w:multiLevelType w:val="hybridMultilevel"/>
    <w:tmpl w:val="83AE252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70395573">
    <w:abstractNumId w:val="9"/>
  </w:num>
  <w:num w:numId="2" w16cid:durableId="650065781">
    <w:abstractNumId w:val="7"/>
  </w:num>
  <w:num w:numId="3" w16cid:durableId="2127389716">
    <w:abstractNumId w:val="5"/>
  </w:num>
  <w:num w:numId="4" w16cid:durableId="1566991936">
    <w:abstractNumId w:val="4"/>
  </w:num>
  <w:num w:numId="5" w16cid:durableId="789323315">
    <w:abstractNumId w:val="11"/>
  </w:num>
  <w:num w:numId="6" w16cid:durableId="1014308554">
    <w:abstractNumId w:val="6"/>
  </w:num>
  <w:num w:numId="7" w16cid:durableId="1924755248">
    <w:abstractNumId w:val="1"/>
  </w:num>
  <w:num w:numId="8" w16cid:durableId="2062706975">
    <w:abstractNumId w:val="10"/>
  </w:num>
  <w:num w:numId="9" w16cid:durableId="484010602">
    <w:abstractNumId w:val="3"/>
  </w:num>
  <w:num w:numId="10" w16cid:durableId="460852462">
    <w:abstractNumId w:val="8"/>
  </w:num>
  <w:num w:numId="11" w16cid:durableId="94257313">
    <w:abstractNumId w:val="2"/>
  </w:num>
  <w:num w:numId="12" w16cid:durableId="178306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2C"/>
    <w:rsid w:val="00030FC2"/>
    <w:rsid w:val="0004549E"/>
    <w:rsid w:val="0004555F"/>
    <w:rsid w:val="00046E43"/>
    <w:rsid w:val="00090735"/>
    <w:rsid w:val="00094CD1"/>
    <w:rsid w:val="000A6465"/>
    <w:rsid w:val="000F1F7C"/>
    <w:rsid w:val="00120897"/>
    <w:rsid w:val="00182FB8"/>
    <w:rsid w:val="00186F95"/>
    <w:rsid w:val="00191D45"/>
    <w:rsid w:val="001B5DEF"/>
    <w:rsid w:val="00222D0D"/>
    <w:rsid w:val="0027673E"/>
    <w:rsid w:val="00277DC7"/>
    <w:rsid w:val="00297345"/>
    <w:rsid w:val="002B1CD4"/>
    <w:rsid w:val="002D0DF3"/>
    <w:rsid w:val="002D3350"/>
    <w:rsid w:val="002D7941"/>
    <w:rsid w:val="002E220F"/>
    <w:rsid w:val="002E6073"/>
    <w:rsid w:val="00303A38"/>
    <w:rsid w:val="00307427"/>
    <w:rsid w:val="00372C29"/>
    <w:rsid w:val="003900AC"/>
    <w:rsid w:val="003C6D42"/>
    <w:rsid w:val="003C7FE9"/>
    <w:rsid w:val="003D0F3C"/>
    <w:rsid w:val="003E56F1"/>
    <w:rsid w:val="00430C7C"/>
    <w:rsid w:val="004368C6"/>
    <w:rsid w:val="004B65FF"/>
    <w:rsid w:val="004B7059"/>
    <w:rsid w:val="004F35A1"/>
    <w:rsid w:val="004F7DA3"/>
    <w:rsid w:val="00506C80"/>
    <w:rsid w:val="00524B2D"/>
    <w:rsid w:val="005327D4"/>
    <w:rsid w:val="005716A0"/>
    <w:rsid w:val="005758C7"/>
    <w:rsid w:val="00596863"/>
    <w:rsid w:val="00625693"/>
    <w:rsid w:val="00662D58"/>
    <w:rsid w:val="00684892"/>
    <w:rsid w:val="006C4392"/>
    <w:rsid w:val="006D7064"/>
    <w:rsid w:val="006D709A"/>
    <w:rsid w:val="006E2825"/>
    <w:rsid w:val="00707CDB"/>
    <w:rsid w:val="007755F4"/>
    <w:rsid w:val="007D3348"/>
    <w:rsid w:val="00813AB6"/>
    <w:rsid w:val="00822F90"/>
    <w:rsid w:val="00845082"/>
    <w:rsid w:val="008819F2"/>
    <w:rsid w:val="00891483"/>
    <w:rsid w:val="008A2098"/>
    <w:rsid w:val="008A6A55"/>
    <w:rsid w:val="008A7210"/>
    <w:rsid w:val="008E7425"/>
    <w:rsid w:val="009441EB"/>
    <w:rsid w:val="009611DE"/>
    <w:rsid w:val="0099415D"/>
    <w:rsid w:val="009970CB"/>
    <w:rsid w:val="009D5E1E"/>
    <w:rsid w:val="009F3C9A"/>
    <w:rsid w:val="00A21B50"/>
    <w:rsid w:val="00A33A01"/>
    <w:rsid w:val="00A43999"/>
    <w:rsid w:val="00A46375"/>
    <w:rsid w:val="00A82010"/>
    <w:rsid w:val="00B32F2C"/>
    <w:rsid w:val="00B6570C"/>
    <w:rsid w:val="00B727B9"/>
    <w:rsid w:val="00BC7655"/>
    <w:rsid w:val="00CA25ED"/>
    <w:rsid w:val="00CA7AF0"/>
    <w:rsid w:val="00CD52F6"/>
    <w:rsid w:val="00CE779A"/>
    <w:rsid w:val="00CF4264"/>
    <w:rsid w:val="00D038F2"/>
    <w:rsid w:val="00DC1F4C"/>
    <w:rsid w:val="00E211DD"/>
    <w:rsid w:val="00E33925"/>
    <w:rsid w:val="00E43DD3"/>
    <w:rsid w:val="00E6315A"/>
    <w:rsid w:val="00EA59A7"/>
    <w:rsid w:val="00F523C4"/>
    <w:rsid w:val="00F733B3"/>
    <w:rsid w:val="00F959E8"/>
    <w:rsid w:val="00FB6016"/>
    <w:rsid w:val="00FE7A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B8D8"/>
  <w15:chartTrackingRefBased/>
  <w15:docId w15:val="{2A961E9C-D53E-4133-9CD9-12528CEA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2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32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2F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2F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2F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B32F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2F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2F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2F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2F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32F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2F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2F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2F2C"/>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B32F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2F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2F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2F2C"/>
    <w:rPr>
      <w:rFonts w:eastAsiaTheme="majorEastAsia" w:cstheme="majorBidi"/>
      <w:color w:val="272727" w:themeColor="text1" w:themeTint="D8"/>
    </w:rPr>
  </w:style>
  <w:style w:type="paragraph" w:styleId="Ttulo">
    <w:name w:val="Title"/>
    <w:basedOn w:val="Normal"/>
    <w:next w:val="Normal"/>
    <w:link w:val="TtuloCar"/>
    <w:uiPriority w:val="10"/>
    <w:qFormat/>
    <w:rsid w:val="00B3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2F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2F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2F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2F2C"/>
    <w:pPr>
      <w:spacing w:before="160"/>
      <w:jc w:val="center"/>
    </w:pPr>
    <w:rPr>
      <w:i/>
      <w:iCs/>
      <w:color w:val="404040" w:themeColor="text1" w:themeTint="BF"/>
    </w:rPr>
  </w:style>
  <w:style w:type="character" w:customStyle="1" w:styleId="CitaCar">
    <w:name w:val="Cita Car"/>
    <w:basedOn w:val="Fuentedeprrafopredeter"/>
    <w:link w:val="Cita"/>
    <w:uiPriority w:val="29"/>
    <w:rsid w:val="00B32F2C"/>
    <w:rPr>
      <w:i/>
      <w:iCs/>
      <w:color w:val="404040" w:themeColor="text1" w:themeTint="BF"/>
    </w:rPr>
  </w:style>
  <w:style w:type="paragraph" w:styleId="Prrafodelista">
    <w:name w:val="List Paragraph"/>
    <w:basedOn w:val="Normal"/>
    <w:uiPriority w:val="34"/>
    <w:qFormat/>
    <w:rsid w:val="00B32F2C"/>
    <w:pPr>
      <w:ind w:left="720"/>
      <w:contextualSpacing/>
    </w:pPr>
  </w:style>
  <w:style w:type="character" w:styleId="nfasisintenso">
    <w:name w:val="Intense Emphasis"/>
    <w:basedOn w:val="Fuentedeprrafopredeter"/>
    <w:uiPriority w:val="21"/>
    <w:qFormat/>
    <w:rsid w:val="00B32F2C"/>
    <w:rPr>
      <w:i/>
      <w:iCs/>
      <w:color w:val="0F4761" w:themeColor="accent1" w:themeShade="BF"/>
    </w:rPr>
  </w:style>
  <w:style w:type="paragraph" w:styleId="Citadestacada">
    <w:name w:val="Intense Quote"/>
    <w:basedOn w:val="Normal"/>
    <w:next w:val="Normal"/>
    <w:link w:val="CitadestacadaCar"/>
    <w:uiPriority w:val="30"/>
    <w:qFormat/>
    <w:rsid w:val="00B32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2F2C"/>
    <w:rPr>
      <w:i/>
      <w:iCs/>
      <w:color w:val="0F4761" w:themeColor="accent1" w:themeShade="BF"/>
    </w:rPr>
  </w:style>
  <w:style w:type="character" w:styleId="Referenciaintensa">
    <w:name w:val="Intense Reference"/>
    <w:basedOn w:val="Fuentedeprrafopredeter"/>
    <w:uiPriority w:val="32"/>
    <w:qFormat/>
    <w:rsid w:val="00B32F2C"/>
    <w:rPr>
      <w:b/>
      <w:bCs/>
      <w:smallCaps/>
      <w:color w:val="0F4761" w:themeColor="accent1" w:themeShade="BF"/>
      <w:spacing w:val="5"/>
    </w:rPr>
  </w:style>
  <w:style w:type="table" w:styleId="Tablaconcuadrcula">
    <w:name w:val="Table Grid"/>
    <w:aliases w:val="Texttabelle"/>
    <w:basedOn w:val="Tablanormal"/>
    <w:uiPriority w:val="39"/>
    <w:rsid w:val="002B1CD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33B3"/>
    <w:rPr>
      <w:color w:val="467886" w:themeColor="hyperlink"/>
      <w:u w:val="single"/>
    </w:rPr>
  </w:style>
  <w:style w:type="character" w:styleId="Mencinsinresolver">
    <w:name w:val="Unresolved Mention"/>
    <w:basedOn w:val="Fuentedeprrafopredeter"/>
    <w:uiPriority w:val="99"/>
    <w:semiHidden/>
    <w:unhideWhenUsed/>
    <w:rsid w:val="00F73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6561">
      <w:bodyDiv w:val="1"/>
      <w:marLeft w:val="0"/>
      <w:marRight w:val="0"/>
      <w:marTop w:val="0"/>
      <w:marBottom w:val="0"/>
      <w:divBdr>
        <w:top w:val="none" w:sz="0" w:space="0" w:color="auto"/>
        <w:left w:val="none" w:sz="0" w:space="0" w:color="auto"/>
        <w:bottom w:val="none" w:sz="0" w:space="0" w:color="auto"/>
        <w:right w:val="none" w:sz="0" w:space="0" w:color="auto"/>
      </w:divBdr>
    </w:div>
    <w:div w:id="954217523">
      <w:bodyDiv w:val="1"/>
      <w:marLeft w:val="0"/>
      <w:marRight w:val="0"/>
      <w:marTop w:val="0"/>
      <w:marBottom w:val="0"/>
      <w:divBdr>
        <w:top w:val="none" w:sz="0" w:space="0" w:color="auto"/>
        <w:left w:val="none" w:sz="0" w:space="0" w:color="auto"/>
        <w:bottom w:val="none" w:sz="0" w:space="0" w:color="auto"/>
        <w:right w:val="none" w:sz="0" w:space="0" w:color="auto"/>
      </w:divBdr>
    </w:div>
    <w:div w:id="1183395079">
      <w:bodyDiv w:val="1"/>
      <w:marLeft w:val="0"/>
      <w:marRight w:val="0"/>
      <w:marTop w:val="0"/>
      <w:marBottom w:val="0"/>
      <w:divBdr>
        <w:top w:val="none" w:sz="0" w:space="0" w:color="auto"/>
        <w:left w:val="none" w:sz="0" w:space="0" w:color="auto"/>
        <w:bottom w:val="none" w:sz="0" w:space="0" w:color="auto"/>
        <w:right w:val="none" w:sz="0" w:space="0" w:color="auto"/>
      </w:divBdr>
    </w:div>
    <w:div w:id="21362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01698303_Revision_de_los_puntos_biologicos_de_referencia_Rendimiento_Maximo_Sostenible_en_las_pesquerias_nacionales_Review_of_Biological_Reference_Points_for_main_chilean_fisheries" TargetMode="External"/><Relationship Id="rId13" Type="http://schemas.openxmlformats.org/officeDocument/2006/relationships/hyperlink" Target="https://www.cms.int/sharks/sites/default/files/uploads/Migratory_Sharks_MoU_S.pdf" TargetMode="External"/><Relationship Id="rId3" Type="http://schemas.openxmlformats.org/officeDocument/2006/relationships/settings" Target="settings.xml"/><Relationship Id="rId7" Type="http://schemas.openxmlformats.org/officeDocument/2006/relationships/hyperlink" Target="https://www.subpesca.cl/portal/616/articles-94523_documento.pdf" TargetMode="External"/><Relationship Id="rId12" Type="http://schemas.openxmlformats.org/officeDocument/2006/relationships/hyperlink" Target="https://www.subpesca.cl/fipa/613/w3-article-11695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ubpesca.cl/fipa/613/articles-116755_informe_final.pdf"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scielo.conicyt.cl/pdf/lajar/v42n3/art06.pdf" TargetMode="External"/><Relationship Id="rId4" Type="http://schemas.openxmlformats.org/officeDocument/2006/relationships/webSettings" Target="webSettings.xml"/><Relationship Id="rId9" Type="http://schemas.openxmlformats.org/officeDocument/2006/relationships/hyperlink" Target="https://www.ifop.cl/wp-content/contenidos/uploads/RepositorioIfop/InformeFinal/2025/P-581206.pdf" TargetMode="External"/><Relationship Id="rId14" Type="http://schemas.openxmlformats.org/officeDocument/2006/relationships/hyperlink" Target="https://www.subpesca.cl/portal/publicaciones/121344:Estado-de-situacion-de-las-principales-pesquerias-chilenas-ano-20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4301</Words>
  <Characters>23657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Karstegl</dc:creator>
  <cp:keywords/>
  <dc:description/>
  <cp:lastModifiedBy>Alejandro Karstegl</cp:lastModifiedBy>
  <cp:revision>3</cp:revision>
  <dcterms:created xsi:type="dcterms:W3CDTF">2025-04-10T17:53:00Z</dcterms:created>
  <dcterms:modified xsi:type="dcterms:W3CDTF">2025-04-11T15:17:00Z</dcterms:modified>
</cp:coreProperties>
</file>