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88"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88"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color w:val="000000"/>
        </w:rPr>
        <w:drawing>
          <wp:inline distB="0" distT="0" distL="0" distR="0">
            <wp:extent cx="1223010" cy="119570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23010" cy="11957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88"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88" w:lineRule="auto"/>
        <w:rPr>
          <w:rFonts w:ascii="Times New Roman" w:cs="Times New Roman" w:eastAsia="Times New Roman" w:hAnsi="Times New Roman"/>
          <w:b w:val="1"/>
          <w:color w:val="000000"/>
        </w:rPr>
      </w:pPr>
      <w:r w:rsidDel="00000000" w:rsidR="00000000" w:rsidRPr="00000000">
        <w:rPr>
          <w:rtl w:val="0"/>
        </w:rPr>
      </w:r>
    </w:p>
    <w:bookmarkStart w:colFirst="0" w:colLast="0" w:name="2u7p1b9y6uvy" w:id="0"/>
    <w:bookmarkEnd w:id="0"/>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88"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Goal #5 Stock assessment</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88" w:lineRule="auto"/>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color w:val="000000"/>
          <w:rtl w:val="0"/>
        </w:rPr>
        <w:t xml:space="preserve">Objective of the goal: to demonstrate the existence of an adequate stock status assessment.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60" w:line="306"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008">
      <w:pPr>
        <w:jc w:val="both"/>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Reliable stock status assessment is a centerpiece of sustainable fisheries management. For the Kunashir salmon fisheries, this process is based on a comprehensive consideration of biological, oceanographic, and climatic factors, as well as the results of systematic observations and interdepartmental programs of VNIRO, TINRO, and regional branches.</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main goal of the stock assessment is the timely determination of population abundance and the dynamics of its status for optimal regulation of fishing and maintaining a sustainable level of catch, taking into account natural mortality, commercial harvesting, reproduction and ecosystem factors [1]. The reliability of calculations is ensured by the use of agreed methods and proven forecast models applied in both national and international practice [4].</w:t>
      </w:r>
    </w:p>
    <w:p w:rsidR="00000000" w:rsidDel="00000000" w:rsidP="00000000" w:rsidRDefault="00000000" w:rsidRPr="00000000" w14:paraId="0000000A">
      <w:pPr>
        <w:ind w:firstLine="720"/>
        <w:jc w:val="both"/>
        <w:rPr/>
      </w:pPr>
      <w:r w:rsidDel="00000000" w:rsidR="00000000" w:rsidRPr="00000000">
        <w:rPr>
          <w:rFonts w:ascii="Times New Roman" w:cs="Times New Roman" w:eastAsia="Times New Roman" w:hAnsi="Times New Roman"/>
          <w:color w:val="000000"/>
          <w:rtl w:val="0"/>
        </w:rPr>
        <w:t xml:space="preserve">Every year, scientists from regional VNIRO institutes, including SakhNIRO, prepare fishery forecasts for individual stock units. These materials are then grouped into a source book entitled “Status of Commercial Resources of the Far Eastern Fishery Basin – 2025.” In April 2025, the 26th edition of the Fisheries Forecast for the Far Eastern Fisheries Basin was released: </w:t>
      </w:r>
      <w:r w:rsidDel="00000000" w:rsidR="00000000" w:rsidRPr="00000000">
        <w:rPr>
          <w:rFonts w:ascii="Times New Roman" w:cs="Times New Roman" w:eastAsia="Times New Roman" w:hAnsi="Times New Roman"/>
          <w:color w:val="004e9a"/>
          <w:u w:val="single"/>
          <w:rtl w:val="0"/>
        </w:rPr>
        <w:t xml:space="preserve">Far Eastern scientists have prepared new fisheries forecasts – VNIRO</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40" w:line="276" w:lineRule="auto"/>
        <w:rPr>
          <w:color w:val="000000"/>
        </w:rPr>
      </w:pPr>
      <w:r w:rsidDel="00000000" w:rsidR="00000000" w:rsidRPr="00000000">
        <w:rPr>
          <w:color w:val="000000"/>
          <w:rtl w:val="0"/>
        </w:rPr>
        <w:br w:type="textWrapping"/>
      </w:r>
      <w:r w:rsidDel="00000000" w:rsidR="00000000" w:rsidRPr="00000000">
        <w:rPr>
          <w:rFonts w:ascii="Times New Roman" w:cs="Times New Roman" w:eastAsia="Times New Roman" w:hAnsi="Times New Roman"/>
          <w:b w:val="1"/>
          <w:color w:val="000000"/>
          <w:rtl w:val="0"/>
        </w:rPr>
        <w:t xml:space="preserve">Scientific and methodological basis for stock assessment</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methodological basis for salmon stocks assessment has been developed and is being updated by VNIRO and its Far Eastern branches (TINRO, SakhNIRO, etc.) based on scientific approaches to determining the total allowable catch (TAC) [1]. The methodology takes into account the reproductive potential of populations, the biomass of spawners, conditions of the feeding period, hydrological factors, the level of commercial harvest, etc.</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 recent years, the use of integrated models has increased. These models, which use observational data on sea surface temperature, salinity, current intensity, and ice conditions in addition to biological parameters, form the basis for annual TAC forecasts and regional stock assessments [5], [11], [16].</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development of the PIСES system (Programs for Research and Monitoring of Ecosystem Systems) plays a special role in improving approaches to stock assessment [2]. This complex combines field research, statistical models and automated monitoring results. According to Baitaliuk and Radchenko [2], “The PICES program allows to provide for the real-time consistency between regional forecasts and actual data on salmon stocks. The use of automated monitoring has increased the accuracy of assessments for Chum and Pink Salmon.”</w:t>
      </w:r>
    </w:p>
    <w:p w:rsidR="00000000" w:rsidDel="00000000" w:rsidP="00000000" w:rsidRDefault="00000000" w:rsidRPr="00000000" w14:paraId="00000010">
      <w:pPr>
        <w:jc w:val="both"/>
        <w:rPr/>
      </w:pPr>
      <w:r w:rsidDel="00000000" w:rsidR="00000000" w:rsidRPr="00000000">
        <w:rPr>
          <w:rtl w:val="0"/>
        </w:rPr>
        <w:t xml:space="preserve">        It is also important to note the use of approaches recommended by FAO and developed in the works of Garcia [4], where the emphasis is on the need to assess stocks in the context of ecosystem management and sustainability indicators. The principles set out in these documents have been adapted by the Russian scientific school and are used in the development of regional programs by VNIRO and TINRO.</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data on salmon stocks in the Sakhalin-Kuril region</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According to the materials of Bulletin No.19 [3], which summarizes the results of the salmon fishing season, the level of Chum and Pink Salmon stocks in the South Kuril region in 2024 remained within the average long-term values ​​with a moderate tendency towards a decrease in the number of returns. These observations are consistent with the findings of Kaev and Sukhonos [7], who noted that a sharp decline in the spawners abundance was recorded on Iturup in 2023, which led to the lowest figures for the entire observation period in 2024.</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According to the minutes of the meetings with A. Zhivoglyadov and M. Kozlov [6], [9], the stock assessment is carried out in close coordination with the regional divisions of VNIRO (SakhNIRO) and Rosrybolovstvo (Sakhalinrybvod). The results of in-situ examinations and satellite monitoring data on temperature and currents are used. It was noted that the accuracy of the calculations and their adaptability are improved by switching to predictive models that take into account the distribution of spawners across spawning rivers and the juvenile return index.</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 was pointed out during the meeting with D. Lajus [10], the modern monitoring system in the Southern Kuril Islands combines field observations with analytical modeling and has a high degree of reliability. Data from the 2022 NPAFC winter expeditions confirmed the overall resilience of Сhum and Pink Salmon populations in the North Pacific, with interannual variability of survival in the open ocean persisting [11].</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 important element of practical stock assessment are oceanographic observations. Conduction of such studies is confirmed by the publication of Shevchenko and Chastikov [16], who note the influence of a stable warm intermediate layer of water at depths of 100–350 m in the Kunashir Strait, associated with the influence of the Soya Current. This factor creates favorable conditions for the feeding of juveniles and increases the likelihood of their successful ocean migration.</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influence of oceanographic and climatic factors</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Climate changes, reflected in the works of Shevlyakov and Ostrovsky [15], have a long-term impact on the stock dynamics. It has been established that the abundance and the average weight of Pacific salmon show a cyclical pattern associated with the 80-year climatic cycles. A positive correlation with increasing water temperature in the North Pacific Ocean was found for Chum and Pink Salmon. It is predicted that the peak of average catches of common species has already been passed by the early 2020s, and a downward trend in abundance is expected in the coming decades to a level of ~250 thousand tons, which is still higher than the previous minimum. Moreover, over 70–100 years of warming, Chinook Salmon lost up to 60% of its average body weight, while Chum, Sockeye, and Coho Salmon lost 25–30%. No relationship was found between Pink Salmon weight and temperature.</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results of TINRO forecast observations as of September 2025 indicate that oceanographic conditions in the South Kuril region are generally conducive to the formation of commercial fish concentrations [14]. Surface water temperature was close to the long-run annual averages, and the subarctic front remained stable. Higher temperature in the Soya Current zone (1–3°C above the last years) could negatively impact Chum Salmon migrations to the Kunashir coast.</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Hydrological observation data are confirmed by TINRO studies [12], [13]. It is noted that the sustainability of salmon stocks in the region is largely determined by the stability of ocean fronts and the interannual recurrence of temperature regimes. “Scenarios up to 2050 show a likely reduction in average catches while maintaining the overall ecological sustainability of populations.”</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Thus, climatic factors (warming and cyclicity) have a complex and multidirectional impact on species, creating risks for sustainable fisheries.</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role of institutional and international coordination</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 noted in Kolonchin's reports [11], the effectiveness of the stock assessment system is determined by the interaction of scientific institutions, governing bodies, and international partners. The Russian stock assessment methodology complies with international FAO and MSC recommendations, where key principles include scientific validity, transparency, and the use of an ecosystem approach [8], [11].</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NPAFC programs and interagency research confirm a high degree of consistency between national and international approaches. In particular, the results of the 2022 winter expedition [11] and forecasts of synoptic conditions in the South Kuril region (TINRO) [14] are being used in the preparation of annual stock reviews published in international bulletins. This creates the basis for recognizing the Russian system as reliable and open to verification, consistent with the principles of sustainable fisheries.</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Thus, the presented data demonstrate the existence of an adequate system for assessing the state of Pacific salmon stocks in the South Kuril region. The methods used are based on scientifically validated models and regularly updated observational data, ensuring the reliability of the forecasts.</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comprehensive assessment, including biological, hydrological and climatic parameters, as well as consistency with international FAO and MSC recommendations, confirms the high level of scientific and institutional maturity of the system. The availability of interagency data exchange, regular field studies, and transparent reporting creates the preconditions for sustainable fisheries management and further improvements in forecast accuracy.</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 list </w:t>
      </w:r>
    </w:p>
    <w:p w:rsidR="00000000" w:rsidDel="00000000" w:rsidP="00000000" w:rsidRDefault="00000000" w:rsidRPr="00000000" w14:paraId="0000002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Times New Roman" w:cs="Times New Roman" w:eastAsia="Times New Roman" w:hAnsi="Times New Roman"/>
          <w:b w:val="1"/>
          <w:rtl w:val="0"/>
        </w:rPr>
        <w:t xml:space="preserve">1. Babayan V.K., </w:t>
      </w:r>
      <w:r w:rsidDel="00000000" w:rsidR="00000000" w:rsidRPr="00000000">
        <w:rPr>
          <w:rFonts w:ascii="Times New Roman" w:cs="Times New Roman" w:eastAsia="Times New Roman" w:hAnsi="Times New Roman"/>
          <w:rtl w:val="0"/>
        </w:rPr>
        <w:t xml:space="preserve">Korotkov V.N., Gorshkov S.G. et al. Methodology for calculating the total allowable catch (TAC) for anadromous and coastal fish species (in Russian).</w:t>
      </w:r>
      <w:r w:rsidDel="00000000" w:rsidR="00000000" w:rsidRPr="00000000">
        <w:rPr>
          <w:rFonts w:ascii="Times New Roman" w:cs="Times New Roman" w:eastAsia="Times New Roman" w:hAnsi="Times New Roman"/>
          <w:b w:val="1"/>
          <w:rtl w:val="0"/>
        </w:rPr>
        <w:t xml:space="preserve"> Бабаян В.К.</w:t>
      </w:r>
      <w:r w:rsidDel="00000000" w:rsidR="00000000" w:rsidRPr="00000000">
        <w:rPr>
          <w:rFonts w:ascii="Times New Roman" w:cs="Times New Roman" w:eastAsia="Times New Roman" w:hAnsi="Times New Roman"/>
          <w:rtl w:val="0"/>
        </w:rPr>
        <w:t xml:space="preserve">, Коротков В.Н., Горшков С.Г. и др. </w:t>
      </w:r>
      <w:r w:rsidDel="00000000" w:rsidR="00000000" w:rsidRPr="00000000">
        <w:rPr>
          <w:rFonts w:ascii="Times New Roman" w:cs="Times New Roman" w:eastAsia="Times New Roman" w:hAnsi="Times New Roman"/>
          <w:i w:val="1"/>
          <w:rtl w:val="0"/>
        </w:rPr>
        <w:t xml:space="preserve">Методика расчётов общего допустимого улова (ОДУ) для анадромных и прибрежных видов рыб.</w:t>
      </w:r>
      <w:r w:rsidDel="00000000" w:rsidR="00000000" w:rsidRPr="00000000">
        <w:rPr>
          <w:rFonts w:ascii="Times New Roman" w:cs="Times New Roman" w:eastAsia="Times New Roman" w:hAnsi="Times New Roman"/>
          <w:rtl w:val="0"/>
        </w:rPr>
        <w:t xml:space="preserve"> — М.: ВНИРО, 2023. — 45 с.</w:t>
      </w:r>
      <w:r w:rsidDel="00000000" w:rsidR="00000000" w:rsidRPr="00000000">
        <w:rPr>
          <w:rtl w:val="0"/>
        </w:rPr>
      </w:r>
    </w:p>
    <w:p w:rsidR="00000000" w:rsidDel="00000000" w:rsidP="00000000" w:rsidRDefault="00000000" w:rsidRPr="00000000" w14:paraId="0000002E">
      <w:pPr>
        <w:rPr/>
      </w:pPr>
      <w:r w:rsidDel="00000000" w:rsidR="00000000" w:rsidRPr="00000000">
        <w:rPr>
          <w:rFonts w:ascii="Times New Roman" w:cs="Times New Roman" w:eastAsia="Times New Roman" w:hAnsi="Times New Roman"/>
          <w:b w:val="1"/>
          <w:rtl w:val="0"/>
        </w:rPr>
        <w:t xml:space="preserve">2. A.A. Baitaliuk, V.I. Radchenko. </w:t>
      </w:r>
      <w:r w:rsidDel="00000000" w:rsidR="00000000" w:rsidRPr="00000000">
        <w:rPr>
          <w:rFonts w:ascii="Times New Roman" w:cs="Times New Roman" w:eastAsia="Times New Roman" w:hAnsi="Times New Roman"/>
          <w:rtl w:val="0"/>
        </w:rPr>
        <w:t xml:space="preserve">New objectives in PICES activities: turn to applied science and strengthening of the practical function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Russian).</w:t>
      </w:r>
      <w:r w:rsidDel="00000000" w:rsidR="00000000" w:rsidRPr="00000000">
        <w:rPr>
          <w:rFonts w:ascii="Times New Roman" w:cs="Times New Roman" w:eastAsia="Times New Roman" w:hAnsi="Times New Roman"/>
          <w:b w:val="1"/>
          <w:rtl w:val="0"/>
        </w:rPr>
        <w:t xml:space="preserve"> Байталюк А.А.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Радченко В.И.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Программы исследований и контроля экосистемных систем (ПИКЕС) и их роль в прогнозировании запасов лососей.</w:t>
      </w:r>
      <w:r w:rsidDel="00000000" w:rsidR="00000000" w:rsidRPr="00000000">
        <w:rPr>
          <w:rFonts w:ascii="Times New Roman" w:cs="Times New Roman" w:eastAsia="Times New Roman" w:hAnsi="Times New Roman"/>
          <w:rtl w:val="0"/>
        </w:rPr>
        <w:t xml:space="preserve"> — Изв. ТИНРО, 2025. — Т. 205, вып. 1. — С. 34–48.</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Bulletin on the study of Pacific salmon in the Far East. No 19/2025 </w:t>
      </w:r>
      <w:r w:rsidDel="00000000" w:rsidR="00000000" w:rsidRPr="00000000">
        <w:rPr>
          <w:rFonts w:ascii="Times New Roman" w:cs="Times New Roman" w:eastAsia="Times New Roman" w:hAnsi="Times New Roman"/>
          <w:rtl w:val="0"/>
        </w:rPr>
        <w:t xml:space="preserve">(in Russian)</w:t>
      </w:r>
      <w:r w:rsidDel="00000000" w:rsidR="00000000" w:rsidRPr="00000000">
        <w:rPr>
          <w:rFonts w:ascii="Times New Roman" w:cs="Times New Roman" w:eastAsia="Times New Roman" w:hAnsi="Times New Roman"/>
          <w:b w:val="1"/>
          <w:rtl w:val="0"/>
        </w:rPr>
        <w:t xml:space="preserve">. Бюллетень № 19.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Итоги лососевой путины 2024 года в Дальневосточном бассейне.</w:t>
      </w:r>
      <w:r w:rsidDel="00000000" w:rsidR="00000000" w:rsidRPr="00000000">
        <w:rPr>
          <w:rFonts w:ascii="Times New Roman" w:cs="Times New Roman" w:eastAsia="Times New Roman" w:hAnsi="Times New Roman"/>
          <w:rtl w:val="0"/>
        </w:rPr>
        <w:t xml:space="preserve"> — Владивосток: ТИНРО, 2025. — 68 с.</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S.M. Garcia. </w:t>
      </w:r>
      <w:r w:rsidDel="00000000" w:rsidR="00000000" w:rsidRPr="00000000">
        <w:rPr>
          <w:rFonts w:ascii="Times New Roman" w:cs="Times New Roman" w:eastAsia="Times New Roman" w:hAnsi="Times New Roman"/>
          <w:rtl w:val="0"/>
        </w:rPr>
        <w:t xml:space="preserve">Indicators for sustainable development of fisheries. FAO Guide to Assessment and Monitoring. Rome: FAO, 2021. – 82 p. </w:t>
      </w:r>
      <w:r w:rsidDel="00000000" w:rsidR="00000000" w:rsidRPr="00000000">
        <w:rPr>
          <w:rFonts w:ascii="Times New Roman" w:cs="Times New Roman" w:eastAsia="Times New Roman" w:hAnsi="Times New Roman"/>
          <w:b w:val="1"/>
          <w:rtl w:val="0"/>
        </w:rPr>
        <w:t xml:space="preserve">Гарсия С.М.</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Индикаторы устойчивого рыболовства. Руководство ФАО по оценке и мониторингу.</w:t>
      </w:r>
      <w:r w:rsidDel="00000000" w:rsidR="00000000" w:rsidRPr="00000000">
        <w:rPr>
          <w:rFonts w:ascii="Times New Roman" w:cs="Times New Roman" w:eastAsia="Times New Roman" w:hAnsi="Times New Roman"/>
          <w:rtl w:val="0"/>
        </w:rPr>
        <w:t xml:space="preserve"> — Рим: FAO, 2021. — 82 с.</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A.V. Datsky. </w:t>
      </w:r>
      <w:r w:rsidDel="00000000" w:rsidR="00000000" w:rsidRPr="00000000">
        <w:rPr>
          <w:rFonts w:ascii="Times New Roman" w:cs="Times New Roman" w:eastAsia="Times New Roman" w:hAnsi="Times New Roman"/>
          <w:rtl w:val="0"/>
        </w:rPr>
        <w:t xml:space="preserve">Current state of reserves and harvesting of aquatic biological resources in the Russian waters of the Bering and Chukchi Seas and recommendations for their rational use (in Russian).</w:t>
      </w:r>
      <w:r w:rsidDel="00000000" w:rsidR="00000000" w:rsidRPr="00000000">
        <w:rPr>
          <w:rFonts w:ascii="Times New Roman" w:cs="Times New Roman" w:eastAsia="Times New Roman" w:hAnsi="Times New Roman"/>
          <w:b w:val="1"/>
          <w:rtl w:val="0"/>
        </w:rPr>
        <w:t xml:space="preserve"> Датский А.В.</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Современные изменения гидрологических условий и распределения промысловых объектов в Беринговом и Чукотском морях.</w:t>
      </w:r>
      <w:r w:rsidDel="00000000" w:rsidR="00000000" w:rsidRPr="00000000">
        <w:rPr>
          <w:rFonts w:ascii="Times New Roman" w:cs="Times New Roman" w:eastAsia="Times New Roman" w:hAnsi="Times New Roman"/>
          <w:rtl w:val="0"/>
        </w:rPr>
        <w:t xml:space="preserve"> — Изв. ТИНРО, 2025. — Т. 205, вып. 2. — С. 145–168.</w:t>
      </w: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w:t>
      </w:r>
      <w:r w:rsidDel="00000000" w:rsidR="00000000" w:rsidRPr="00000000">
        <w:rPr>
          <w:rFonts w:ascii="Times New Roman" w:cs="Times New Roman" w:eastAsia="Times New Roman" w:hAnsi="Times New Roman"/>
          <w:rtl w:val="0"/>
        </w:rPr>
        <w:t xml:space="preserve">. Minutes of the meeting with A. Zhivoglyadov, April 2025. – 2 p.</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 Kaev A.M., Sukhonos P.S. </w:t>
      </w:r>
      <w:r w:rsidDel="00000000" w:rsidR="00000000" w:rsidRPr="00000000">
        <w:rPr>
          <w:rFonts w:ascii="Times New Roman" w:cs="Times New Roman" w:eastAsia="Times New Roman" w:hAnsi="Times New Roman"/>
          <w:rtl w:val="0"/>
        </w:rPr>
        <w:t xml:space="preserve">Estimation of abundance for the migrating juvenile Pink Salmon in the rivers of Sakhalin and Iturup Islands in 2024, Izv. Tikhookean. Nauchno-Issled. Inst. Rybn. Khoz. Okeanogr., 2025, vol. 205, no. 2, pp. 284–297. (In Russ.). DOI: 10.26428/1606-9919-2025-205-284-297. EDN: ATZEXC (in Russian).</w:t>
      </w:r>
      <w:r w:rsidDel="00000000" w:rsidR="00000000" w:rsidRPr="00000000">
        <w:rPr>
          <w:rFonts w:ascii="Times New Roman" w:cs="Times New Roman" w:eastAsia="Times New Roman" w:hAnsi="Times New Roman"/>
          <w:b w:val="1"/>
          <w:rtl w:val="0"/>
        </w:rPr>
        <w:t xml:space="preserve"> Каев А.М.</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Сухонос П.С.</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Оценка численности покатной молоди тихоокеанских лососей в Курильских районах.</w:t>
      </w:r>
      <w:r w:rsidDel="00000000" w:rsidR="00000000" w:rsidRPr="00000000">
        <w:rPr>
          <w:rFonts w:ascii="Times New Roman" w:cs="Times New Roman" w:eastAsia="Times New Roman" w:hAnsi="Times New Roman"/>
          <w:rtl w:val="0"/>
        </w:rPr>
        <w:t xml:space="preserve"> — Изв. ТИНРО, 2025. — Т. 205, вып. 1. — С. 79–92.</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 Kolonchin K.V. </w:t>
      </w:r>
      <w:r w:rsidDel="00000000" w:rsidR="00000000" w:rsidRPr="00000000">
        <w:rPr>
          <w:rFonts w:ascii="Times New Roman" w:cs="Times New Roman" w:eastAsia="Times New Roman" w:hAnsi="Times New Roman"/>
          <w:rtl w:val="0"/>
        </w:rPr>
        <w:t xml:space="preserve">(2025). Fisheries science in addressing issues of biodiversity conservation</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basis for the rational use of aquatic biological resources. // Fisheries. No. 3. Pp. 11–26.</w:t>
      </w:r>
    </w:p>
    <w:p w:rsidR="00000000" w:rsidDel="00000000" w:rsidP="00000000" w:rsidRDefault="00000000" w:rsidRPr="00000000" w14:paraId="00000036">
      <w:pPr>
        <w:rPr/>
      </w:pPr>
      <w:hyperlink r:id="rId7">
        <w:r w:rsidDel="00000000" w:rsidR="00000000" w:rsidRPr="00000000">
          <w:rPr>
            <w:rFonts w:ascii="Times New Roman" w:cs="Times New Roman" w:eastAsia="Times New Roman" w:hAnsi="Times New Roman"/>
            <w:color w:val="0000ff"/>
            <w:u w:val="single"/>
            <w:rtl w:val="0"/>
          </w:rPr>
          <w:t xml:space="preserve">https://doi.org/10.36038/0131-6184-2025-3-11-26</w:t>
        </w:r>
      </w:hyperlink>
      <w:r w:rsidDel="00000000" w:rsidR="00000000" w:rsidRPr="00000000">
        <w:rPr>
          <w:rFonts w:ascii="Times New Roman" w:cs="Times New Roman" w:eastAsia="Times New Roman" w:hAnsi="Times New Roman"/>
          <w:rtl w:val="0"/>
        </w:rPr>
        <w:t xml:space="preserve"> (in Russian).</w:t>
      </w:r>
      <w:r w:rsidDel="00000000" w:rsidR="00000000" w:rsidRPr="00000000">
        <w:rPr>
          <w:rFonts w:ascii="Times New Roman" w:cs="Times New Roman" w:eastAsia="Times New Roman" w:hAnsi="Times New Roman"/>
          <w:b w:val="1"/>
          <w:rtl w:val="0"/>
        </w:rPr>
        <w:t xml:space="preserve"> Колончин К.В.</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Устойчивость рыбохозяйственного комплекса России в условиях изменения климата.</w:t>
      </w:r>
      <w:r w:rsidDel="00000000" w:rsidR="00000000" w:rsidRPr="00000000">
        <w:rPr>
          <w:rFonts w:ascii="Times New Roman" w:cs="Times New Roman" w:eastAsia="Times New Roman" w:hAnsi="Times New Roman"/>
          <w:rtl w:val="0"/>
        </w:rPr>
        <w:t xml:space="preserve"> — Владивосток: ВНИРО, 2025. — 54 с.</w:t>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 </w:t>
      </w:r>
      <w:r w:rsidDel="00000000" w:rsidR="00000000" w:rsidRPr="00000000">
        <w:rPr>
          <w:rFonts w:ascii="Times New Roman" w:cs="Times New Roman" w:eastAsia="Times New Roman" w:hAnsi="Times New Roman"/>
          <w:rtl w:val="0"/>
        </w:rPr>
        <w:t xml:space="preserve">Minutes of the meeting with M. Kozlov (ARSO), April 2025. – 3 p.</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rtl w:val="0"/>
        </w:rPr>
        <w:t xml:space="preserve"> Minutes of the meeting with independent expert D. Lajus, April 2025. – 2 p.</w:t>
      </w:r>
    </w:p>
    <w:p w:rsidR="00000000" w:rsidDel="00000000" w:rsidP="00000000" w:rsidRDefault="00000000" w:rsidRPr="00000000" w14:paraId="00000039">
      <w:pPr>
        <w:rPr/>
      </w:pPr>
      <w:r w:rsidDel="00000000" w:rsidR="00000000" w:rsidRPr="00000000">
        <w:rPr>
          <w:rFonts w:ascii="Times New Roman" w:cs="Times New Roman" w:eastAsia="Times New Roman" w:hAnsi="Times New Roman"/>
          <w:b w:val="1"/>
          <w:rtl w:val="0"/>
        </w:rPr>
        <w:t xml:space="preserve">11. NPAFC.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Bulletin No. 7: Pan-Pacific Winter Expedition 2022 — Results and Summary.</w:t>
      </w:r>
      <w:r w:rsidDel="00000000" w:rsidR="00000000" w:rsidRPr="00000000">
        <w:rPr>
          <w:rFonts w:ascii="Times New Roman" w:cs="Times New Roman" w:eastAsia="Times New Roman" w:hAnsi="Times New Roman"/>
          <w:rtl w:val="0"/>
        </w:rPr>
        <w:t xml:space="preserve"> — Vancouver: NPAFC Secretariat, 2024. — 121 p.</w:t>
      </w:r>
      <w:r w:rsidDel="00000000" w:rsidR="00000000" w:rsidRPr="00000000">
        <w:rPr>
          <w:rtl w:val="0"/>
        </w:rPr>
      </w:r>
    </w:p>
    <w:p w:rsidR="00000000" w:rsidDel="00000000" w:rsidP="00000000" w:rsidRDefault="00000000" w:rsidRPr="00000000" w14:paraId="0000003A">
      <w:pPr>
        <w:rPr/>
      </w:pPr>
      <w:r w:rsidDel="00000000" w:rsidR="00000000" w:rsidRPr="00000000">
        <w:rPr>
          <w:rFonts w:ascii="Times New Roman" w:cs="Times New Roman" w:eastAsia="Times New Roman" w:hAnsi="Times New Roman"/>
          <w:b w:val="1"/>
          <w:rtl w:val="0"/>
        </w:rPr>
        <w:t xml:space="preserve">12. Media. </w:t>
      </w:r>
      <w:r w:rsidDel="00000000" w:rsidR="00000000" w:rsidRPr="00000000">
        <w:rPr>
          <w:rFonts w:ascii="Times New Roman" w:cs="Times New Roman" w:eastAsia="Times New Roman" w:hAnsi="Times New Roman"/>
          <w:rtl w:val="0"/>
        </w:rPr>
        <w:t xml:space="preserve">Marine Research: TINRO Expeditions in the Kuril Straits in 2024–2025 (in Russian). </w:t>
      </w:r>
      <w:r w:rsidDel="00000000" w:rsidR="00000000" w:rsidRPr="00000000">
        <w:rPr>
          <w:rFonts w:ascii="Times New Roman" w:cs="Times New Roman" w:eastAsia="Times New Roman" w:hAnsi="Times New Roman"/>
          <w:b w:val="1"/>
          <w:rtl w:val="0"/>
        </w:rPr>
        <w:t xml:space="preserve">СМИ.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Морские исследования: экспедиции ТИНРО в Курильских проливах 2024–2025 гг.</w:t>
      </w:r>
      <w:r w:rsidDel="00000000" w:rsidR="00000000" w:rsidRPr="00000000">
        <w:rPr>
          <w:rFonts w:ascii="Times New Roman" w:cs="Times New Roman" w:eastAsia="Times New Roman" w:hAnsi="Times New Roman"/>
          <w:rtl w:val="0"/>
        </w:rPr>
        <w:t xml:space="preserve"> — Новости ТИНРО, 2025. — 4 с.</w:t>
      </w:r>
      <w:r w:rsidDel="00000000" w:rsidR="00000000" w:rsidRPr="00000000">
        <w:rPr>
          <w:rtl w:val="0"/>
        </w:rPr>
      </w:r>
    </w:p>
    <w:p w:rsidR="00000000" w:rsidDel="00000000" w:rsidP="00000000" w:rsidRDefault="00000000" w:rsidRPr="00000000" w14:paraId="0000003B">
      <w:pPr>
        <w:rPr/>
      </w:pPr>
      <w:r w:rsidDel="00000000" w:rsidR="00000000" w:rsidRPr="00000000">
        <w:rPr>
          <w:rFonts w:ascii="Times New Roman" w:cs="Times New Roman" w:eastAsia="Times New Roman" w:hAnsi="Times New Roman"/>
          <w:b w:val="1"/>
          <w:rtl w:val="0"/>
        </w:rPr>
        <w:t xml:space="preserve">13. Media. </w:t>
      </w:r>
      <w:r w:rsidDel="00000000" w:rsidR="00000000" w:rsidRPr="00000000">
        <w:rPr>
          <w:rFonts w:ascii="Times New Roman" w:cs="Times New Roman" w:eastAsia="Times New Roman" w:hAnsi="Times New Roman"/>
          <w:rtl w:val="0"/>
        </w:rPr>
        <w:t xml:space="preserve">Forecast of the Pacific salmon state up to 2050, taking into account climate change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Russian).</w:t>
      </w:r>
      <w:r w:rsidDel="00000000" w:rsidR="00000000" w:rsidRPr="00000000">
        <w:rPr>
          <w:rFonts w:ascii="Times New Roman" w:cs="Times New Roman" w:eastAsia="Times New Roman" w:hAnsi="Times New Roman"/>
          <w:b w:val="1"/>
          <w:rtl w:val="0"/>
        </w:rPr>
        <w:t xml:space="preserve"> СМИ.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Прогноз состояния тихоокеанских лососей до 2050 года с учётом климатических изменений.</w:t>
      </w:r>
      <w:r w:rsidDel="00000000" w:rsidR="00000000" w:rsidRPr="00000000">
        <w:rPr>
          <w:rFonts w:ascii="Times New Roman" w:cs="Times New Roman" w:eastAsia="Times New Roman" w:hAnsi="Times New Roman"/>
          <w:rtl w:val="0"/>
        </w:rPr>
        <w:t xml:space="preserve"> — Информационное агентство РИА Океан, 2025. — 6 с.</w:t>
      </w:r>
      <w:r w:rsidDel="00000000" w:rsidR="00000000" w:rsidRPr="00000000">
        <w:rPr>
          <w:rtl w:val="0"/>
        </w:rPr>
      </w:r>
    </w:p>
    <w:p w:rsidR="00000000" w:rsidDel="00000000" w:rsidP="00000000" w:rsidRDefault="00000000" w:rsidRPr="00000000" w14:paraId="0000003C">
      <w:pPr>
        <w:rPr/>
      </w:pPr>
      <w:r w:rsidDel="00000000" w:rsidR="00000000" w:rsidRPr="00000000">
        <w:rPr>
          <w:rFonts w:ascii="Times New Roman" w:cs="Times New Roman" w:eastAsia="Times New Roman" w:hAnsi="Times New Roman"/>
          <w:b w:val="1"/>
          <w:rtl w:val="0"/>
        </w:rPr>
        <w:t xml:space="preserve">14. TINRO. </w:t>
      </w:r>
      <w:r w:rsidDel="00000000" w:rsidR="00000000" w:rsidRPr="00000000">
        <w:rPr>
          <w:rFonts w:ascii="Times New Roman" w:cs="Times New Roman" w:eastAsia="Times New Roman" w:hAnsi="Times New Roman"/>
          <w:rtl w:val="0"/>
        </w:rPr>
        <w:t xml:space="preserve">Forecast of synoptic conditions in the South Kuril region for Sep 8, 2025</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Russian).</w:t>
      </w:r>
      <w:r w:rsidDel="00000000" w:rsidR="00000000" w:rsidRPr="00000000">
        <w:rPr>
          <w:rFonts w:ascii="Times New Roman" w:cs="Times New Roman" w:eastAsia="Times New Roman" w:hAnsi="Times New Roman"/>
          <w:b w:val="1"/>
          <w:rtl w:val="0"/>
        </w:rPr>
        <w:t xml:space="preserve"> ТИНРО.</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Прогноз синоптических условий в Южно-Курильском районе на 08 сентября 2025 года.</w:t>
      </w:r>
      <w:r w:rsidDel="00000000" w:rsidR="00000000" w:rsidRPr="00000000">
        <w:rPr>
          <w:rFonts w:ascii="Times New Roman" w:cs="Times New Roman" w:eastAsia="Times New Roman" w:hAnsi="Times New Roman"/>
          <w:rtl w:val="0"/>
        </w:rPr>
        <w:t xml:space="preserve"> — Владивосток: ТИНРО, 2025. — 10 с.</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 Shevlyakov E.A., Ostrovsky V.I. </w:t>
      </w:r>
      <w:r w:rsidDel="00000000" w:rsidR="00000000" w:rsidRPr="00000000">
        <w:rPr>
          <w:rFonts w:ascii="Times New Roman" w:cs="Times New Roman" w:eastAsia="Times New Roman" w:hAnsi="Times New Roman"/>
          <w:rtl w:val="0"/>
        </w:rPr>
        <w:t xml:space="preserve">Centennial dynamics of stocks and average individual weight for pacific salmon in the Russian Far East through the prism of climate cycles and trends, Izv. Tikhookean. Nauchno-Issled. Inst. Rybn. Khoz. Okeanogr., 2025, vol. 205, no. 2, pp. 199–222. (In Russ.). DOI: 10.26428/1606-9919-2025-205-199-222. EDN: BZQPIL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Russian). </w:t>
      </w:r>
      <w:r w:rsidDel="00000000" w:rsidR="00000000" w:rsidRPr="00000000">
        <w:rPr>
          <w:rFonts w:ascii="Times New Roman" w:cs="Times New Roman" w:eastAsia="Times New Roman" w:hAnsi="Times New Roman"/>
          <w:b w:val="1"/>
          <w:rtl w:val="0"/>
        </w:rPr>
        <w:t xml:space="preserve">Шевляков Е.А.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Островский В.И.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Вековая динамика запасов и средней массы тихоокеанских лососей Дальнего Востока России через призму климатических циклов и трендов.</w:t>
      </w:r>
      <w:r w:rsidDel="00000000" w:rsidR="00000000" w:rsidRPr="00000000">
        <w:rPr>
          <w:rFonts w:ascii="Times New Roman" w:cs="Times New Roman" w:eastAsia="Times New Roman" w:hAnsi="Times New Roman"/>
          <w:rtl w:val="0"/>
        </w:rPr>
        <w:t xml:space="preserve"> — Изв. ТИНРО, 2025. — Т. 205, вып. 2. — С. 199–222.</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16. Shevchenko G. V., Chastikov V. N. </w:t>
      </w:r>
      <w:r w:rsidDel="00000000" w:rsidR="00000000" w:rsidRPr="00000000">
        <w:rPr>
          <w:rFonts w:ascii="Times New Roman" w:cs="Times New Roman" w:eastAsia="Times New Roman" w:hAnsi="Times New Roman"/>
          <w:rtl w:val="0"/>
        </w:rPr>
        <w:t xml:space="preserve">Hydrological conditions in the Kunashir Strait and the Izmeny Strait // Water life biology, resources status and condition of inhabitation in Sakhalin-</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Kuril region and adjoining water areas: Transactions of the “SakhNIRO”. – Yuzhno-Sakhalinsk : “SakhNIRO”, 2024. – Vol. 20. – P. 123–138 (in Russian).</w:t>
      </w:r>
      <w:r w:rsidDel="00000000" w:rsidR="00000000" w:rsidRPr="00000000">
        <w:rPr>
          <w:rFonts w:ascii="Times New Roman" w:cs="Times New Roman" w:eastAsia="Times New Roman" w:hAnsi="Times New Roman"/>
          <w:b w:val="1"/>
          <w:rtl w:val="0"/>
        </w:rPr>
        <w:t xml:space="preserve"> Шевченко Г.В.</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Частиков В.Н.</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Гидрологические условия в Кунаширском проливе и проливе Измены.</w:t>
      </w:r>
      <w:r w:rsidDel="00000000" w:rsidR="00000000" w:rsidRPr="00000000">
        <w:rPr>
          <w:rFonts w:ascii="Times New Roman" w:cs="Times New Roman" w:eastAsia="Times New Roman" w:hAnsi="Times New Roman"/>
          <w:rtl w:val="0"/>
        </w:rPr>
        <w:t xml:space="preserve"> — Труды СахНИРО, 2024. — Т. 20. — С. 123–138.</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color w:val="000000"/>
          <w:rtl w:val="0"/>
        </w:rPr>
        <w:t xml:space="preserve">Liudmila Konstantinovna Fedorova</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Expert Fisheries Consultant </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Oct 05, 2025</w:t>
      </w:r>
      <w:r w:rsidDel="00000000" w:rsidR="00000000" w:rsidRPr="00000000">
        <w:rPr>
          <w:rtl w:val="0"/>
        </w:rPr>
      </w:r>
    </w:p>
    <w:sectPr>
      <w:pgSz w:h="16838" w:w="11906" w:orient="portrait"/>
      <w:pgMar w:bottom="850" w:top="850" w:left="1440" w:right="77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120" w:before="200" w:lineRule="auto"/>
    </w:pPr>
    <w:rPr>
      <w:b w:val="1"/>
      <w:sz w:val="36"/>
      <w:szCs w:val="36"/>
    </w:rPr>
  </w:style>
  <w:style w:type="paragraph" w:styleId="Heading3">
    <w:name w:val="heading 3"/>
    <w:basedOn w:val="Normal"/>
    <w:next w:val="Normal"/>
    <w:pPr>
      <w:keepNext w:val="1"/>
      <w:spacing w:after="120" w:before="14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i.org/10.36038/0131-6184-2025-3-1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