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Pr>
        <w:drawing>
          <wp:inline distB="0" distT="0" distL="0" distR="0">
            <wp:extent cx="1223010" cy="11957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3010" cy="11957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Goal #9 Decision-making process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rtl w:val="0"/>
        </w:rPr>
        <w:t xml:space="preserve">Objective of the goal: to demonstrate that the specific for the fishery and associated with it management system aimed to increase productivity of populations includes effective decision-making processes that result in measures and strategies to achieve objectives, and that the system has an appropriate approach to real-world fisheries disputes.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Prior to the start of the 2025 fishing season, based on research from previous years, scientific recommendations were developed and the "Strategy for Pacific Salmon Fisheries in the Sakhalin Region in 2025" was adopted. Further, the provisions of the “Strategy…” are implemented through the adoption of decisions by the Anadromous Fish Commission in the Sakhalin Region (hereinafter referred to as the Commission). The Commission's meetings were documented in relevant minutes, which were promptly published on the website of the Sakhalin Region Ministry of Fisheries and the Sakhalin-Kuril Territorial Administration (hereinafter referred to as SKTU). The SKTU website with the minutes: </w:t>
      </w:r>
      <w:hyperlink r:id="rId7">
        <w:r w:rsidDel="00000000" w:rsidR="00000000" w:rsidRPr="00000000">
          <w:rPr>
            <w:rFonts w:ascii="Times New Roman" w:cs="Times New Roman" w:eastAsia="Times New Roman" w:hAnsi="Times New Roman"/>
            <w:color w:val="000080"/>
            <w:u w:val="single"/>
            <w:rtl w:val="0"/>
          </w:rPr>
          <w:t xml:space="preserve">https://sakhalin.fish.gov.ru/activities/komissiya_po_anadromnym/</w:t>
        </w:r>
      </w:hyperlink>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 special feature of 2025 was the decision to ban the Kunashir Pink Salmon fishery at the federal level, even at the discussion stage of the Fishery Strategy. The initiators of this decision were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color w:val="000000"/>
          <w:rtl w:val="0"/>
        </w:rPr>
        <w:t xml:space="preserve"> (hereinafter referred to as YKRK) and </w:t>
      </w:r>
      <w:r w:rsidDel="00000000" w:rsidR="00000000" w:rsidRPr="00000000">
        <w:rPr>
          <w:rFonts w:ascii="Times New Roman" w:cs="Times New Roman" w:eastAsia="Times New Roman" w:hAnsi="Times New Roman"/>
          <w:rtl w:val="0"/>
        </w:rPr>
        <w:t xml:space="preserve">the </w:t>
      </w:r>
      <w:r w:rsidDel="00000000" w:rsidR="00000000" w:rsidRPr="00000000">
        <w:rPr>
          <w:rtl w:val="0"/>
        </w:rPr>
        <w:t xml:space="preserve">Sakhalin Region Fishing Enterprises Association</w:t>
      </w:r>
      <w:r w:rsidDel="00000000" w:rsidR="00000000" w:rsidRPr="00000000">
        <w:rPr>
          <w:rFonts w:ascii="Times New Roman" w:cs="Times New Roman" w:eastAsia="Times New Roman" w:hAnsi="Times New Roman"/>
          <w:color w:val="000000"/>
          <w:rtl w:val="0"/>
        </w:rPr>
        <w:t xml:space="preserve"> (hereinafter referred to as ARSO) [5]. This decision was approved at a meeting of the Far Eastern Scientific and Industrial Council in April 2025 [12]. Since the ban on Pink Salmon fishing on Kunashir Island was adopted at the Fisheries Strategy level, the Commission did not establish commercial fishing volumes or determine the timing and locations of Pink Salmon fishing gear set-up on Kunashir. However, since the Fishing Regulations allow for the accidental catch of Pink Salmon during the Chum Salmon fishery, small quantities of Pink Salmon (222 tons) were permitted to harvest during the Chum Salmon fishery.</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It's worth noting that in 2025 — for the first time in recorded history! — a ban on Pink Salmon fishing was established on neighboring Iturup Island. This decision was also enshrined in the Fishing Strategy for the Sakhalin Region.</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 Commission Protocol No. 10 dated Jun 06, 2025, the penultimate paragraph of point 1 specifically notes that “The start and end dates… for Pacific salmon fishing may be adjusted by decision of the Commission based on scientifically ground recommendations from “SakhNIRO” and “VNIRO”... In the event of low numbers of returns, fishing may be stopped.”</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In addition to external management system decisions,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color w:val="000000"/>
          <w:rtl w:val="0"/>
        </w:rPr>
        <w:t xml:space="preserve"> assumes certain obligations to preserve the natural reproduction of Pink Salmon and Chum Salmon in Kunashir. In 2025, a decision was made not to declare all 24 seine-setting locations. The company reduced this number in its application to 20. Also, during an online meeting with the representative of the YKRK, Artyom Gurov [10], other information was received about the company’s actions and intentions:</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Instead of 20, only 8 seines were actually set up.</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The seines were set up three weeks later than the permitted dates: Chum Salmon fishing was permitted from Sep 1, but the company set up the seines only on Sep 20.</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Before the fishing season, a meeting was held where a decision was taken: if negative information is received about the low level of natural spawning escapement, a decision would be made to terminate the fishery before the appointed time.</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4. </w:t>
      </w:r>
      <w:r w:rsidDel="00000000" w:rsidR="00000000" w:rsidRPr="00000000">
        <w:rPr>
          <w:rFonts w:ascii="Times New Roman" w:cs="Times New Roman" w:eastAsia="Times New Roman" w:hAnsi="Times New Roman"/>
          <w:color w:val="000000"/>
          <w:rtl w:val="0"/>
        </w:rPr>
        <w:t xml:space="preserve">Other Kunashir companies also cut down their fishing activities: of the 20 more seines they had declared, only two (company Island Fish) were set up. In total, only 10 seines are operating on Kunashir in 2025, instead of the 40 authorized.</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Thus, the actions of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color w:val="000000"/>
          <w:rtl w:val="0"/>
        </w:rPr>
        <w:t xml:space="preserve"> are a rare and positive example of a responsible approach in global fishing practice. YKRK demonstrates courage and commitment to preserving the existing resource — Kunashir salmon. Overall, the company's course is focused on sustainable resource management and long-term development of the industry.</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As of Oct 1, 2025, the Commission had taken several decisions concerning the Pacific salmon fishery on Kunashir [13]:</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tbl>
      <w:tblPr>
        <w:tblStyle w:val="Table1"/>
        <w:tblW w:w="9886.0" w:type="dxa"/>
        <w:jc w:val="left"/>
        <w:tblInd w:w="-3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5"/>
        <w:gridCol w:w="1296"/>
        <w:gridCol w:w="7655"/>
        <w:tblGridChange w:id="0">
          <w:tblGrid>
            <w:gridCol w:w="935"/>
            <w:gridCol w:w="1296"/>
            <w:gridCol w:w="76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Number of the minutes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of the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 number of the Commission's minutes.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Decisions adopted</w:t>
            </w:r>
            <w:r w:rsidDel="00000000" w:rsidR="00000000" w:rsidRPr="00000000">
              <w:rPr>
                <w:rtl w:val="0"/>
              </w:rPr>
            </w:r>
          </w:p>
        </w:tc>
      </w:tr>
      <w:tr>
        <w:trPr>
          <w:cantSplit w:val="0"/>
          <w:trHeight w:val="18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May 25,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Item 3, Appendix 1.  Total Pacific salmon harvest volumes have been established for commercial fishing, recreational fishing, and fishing to support the traditional way of life of the indigenous peoples of the North, Siberia, and the Russian Far East in the fishing areas of the Sakhalin Region in 2025. Including for the South Kuril zone, which includes Kunashir Island, the volume for different species was (tons):</w:t>
            </w:r>
            <w:r w:rsidDel="00000000" w:rsidR="00000000" w:rsidRPr="00000000">
              <w:rPr>
                <w:rtl w:val="0"/>
              </w:rPr>
            </w:r>
          </w:p>
          <w:tbl>
            <w:tblPr>
              <w:tblStyle w:val="Table2"/>
              <w:tblW w:w="7378.0" w:type="dxa"/>
              <w:jc w:val="left"/>
              <w:tblInd w:w="41.0" w:type="dxa"/>
              <w:tblBorders>
                <w:top w:color="000000" w:space="0" w:sz="8" w:val="single"/>
                <w:left w:color="000000" w:space="0" w:sz="8" w:val="single"/>
                <w:bottom w:color="000000" w:space="0" w:sz="8" w:val="single"/>
                <w:right w:color="000000" w:space="0" w:sz="4" w:val="single"/>
                <w:insideH w:color="000000" w:space="0" w:sz="8" w:val="single"/>
                <w:insideV w:color="000000" w:space="0" w:sz="4" w:val="single"/>
              </w:tblBorders>
              <w:tblLayout w:type="fixed"/>
              <w:tblLook w:val="0000"/>
            </w:tblPr>
            <w:tblGrid>
              <w:gridCol w:w="1928"/>
              <w:gridCol w:w="1560"/>
              <w:gridCol w:w="1134"/>
              <w:gridCol w:w="1080"/>
              <w:gridCol w:w="913"/>
              <w:gridCol w:w="763"/>
              <w:tblGridChange w:id="0">
                <w:tblGrid>
                  <w:gridCol w:w="1928"/>
                  <w:gridCol w:w="1560"/>
                  <w:gridCol w:w="1134"/>
                  <w:gridCol w:w="1080"/>
                  <w:gridCol w:w="913"/>
                  <w:gridCol w:w="763"/>
                </w:tblGrid>
              </w:tblGridChange>
            </w:tblGrid>
            <w:tr>
              <w:trPr>
                <w:cantSplit w:val="0"/>
                <w:trHeight w:val="283" w:hRule="atLeast"/>
                <w:tblHeader w:val="0"/>
              </w:trPr>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Fishing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Pink Salmon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Chum Salmon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Sockeye Salmon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Coho Salmon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rtl w:val="0"/>
                      </w:rPr>
                      <w:br w:type="textWrapping"/>
                    </w:r>
                  </w:hyperlink>
                  <w:hyperlink r:id="rId9">
                    <w:r w:rsidDel="00000000" w:rsidR="00000000" w:rsidRPr="00000000">
                      <w:rPr>
                        <w:rFonts w:ascii="Times New Roman" w:cs="Times New Roman" w:eastAsia="Times New Roman" w:hAnsi="Times New Roman"/>
                        <w:color w:val="000000"/>
                        <w:u w:val="none"/>
                        <w:rtl w:val="0"/>
                      </w:rPr>
                      <w:t xml:space="preserve">Сherry Salmon</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6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South Kuril zone</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222,860*</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9366,318</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11,4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Note: According to the current Fishing Regulations for the Far East Basin, Pacific salmon bycatch of one species in another species fishery must be documented in a fishing permit. Therefore, if Pink Salmon fishery is prohibited in the South Kuril Zone, volumes for this species are allocated for inclusion in Chum Salmon fishing permits. </w:t>
            </w:r>
          </w:p>
        </w:tc>
      </w:tr>
      <w:tr>
        <w:trPr>
          <w:cantSplit w:val="0"/>
          <w:trHeight w:val="21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Jun 06,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Item 2.2. On determining the timing of the commercial fishing performance for Pacific salmon (Pink Salmon) in the Sakhalin Region in 2025. There are no catch dates for </w:t>
            </w:r>
            <w:r w:rsidDel="00000000" w:rsidR="00000000" w:rsidRPr="00000000">
              <w:rPr>
                <w:rFonts w:ascii="Times New Roman" w:cs="Times New Roman" w:eastAsia="Times New Roman" w:hAnsi="Times New Roman"/>
                <w:b w:val="1"/>
                <w:bCs w:val="1"/>
                <w:color w:val="000000"/>
                <w:rtl w:val="0"/>
              </w:rPr>
              <w:t xml:space="preserve">Pink Salmon</w:t>
            </w:r>
            <w:r w:rsidDel="00000000" w:rsidR="00000000" w:rsidRPr="00000000">
              <w:rPr>
                <w:rFonts w:ascii="Times New Roman" w:cs="Times New Roman" w:eastAsia="Times New Roman" w:hAnsi="Times New Roman"/>
                <w:color w:val="000000"/>
                <w:rtl w:val="0"/>
              </w:rPr>
              <w:t xml:space="preserve"> on the islands of Kunashir and Iturup, as a ban on fishing for this species was introduced in 2025, as described in the paragraph below Table No.1.</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separate note 7 states that Pink Salmon fishery on the neighboring Island of Iturup can only be opened if the rivers escapement is 50% or more.</w:t>
            </w:r>
          </w:p>
        </w:tc>
      </w:tr>
      <w:tr>
        <w:trPr>
          <w:cantSplit w:val="0"/>
          <w:trHeight w:val="88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Jul 25, 2025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Item 1. Regarding the determination of the </w:t>
            </w:r>
            <w:r w:rsidDel="00000000" w:rsidR="00000000" w:rsidRPr="00000000">
              <w:rPr>
                <w:b w:val="1"/>
                <w:bCs w:val="1"/>
                <w:color w:val="000000"/>
                <w:rtl w:val="0"/>
              </w:rPr>
              <w:t xml:space="preserve">Chum Salmon</w:t>
            </w:r>
            <w:r w:rsidDel="00000000" w:rsidR="00000000" w:rsidRPr="00000000">
              <w:rPr>
                <w:color w:val="000000"/>
                <w:rtl w:val="0"/>
              </w:rPr>
              <w:t xml:space="preserve"> fishery timing: for Kunashir Island, the permitted fishing period for this species is from Sep 1 to Nov 30, 2025.</w:t>
            </w:r>
          </w:p>
        </w:tc>
      </w:tr>
      <w:tr>
        <w:trPr>
          <w:cantSplit w:val="0"/>
          <w:trHeight w:val="16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Aug 06,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Item 3. On the determination of the locations for harvest (catch) and locations where stationary gears for harvest (catch) would be set up to perform commercial fishing for Pacific salmon (</w:t>
            </w:r>
            <w:r w:rsidDel="00000000" w:rsidR="00000000" w:rsidRPr="00000000">
              <w:rPr>
                <w:rFonts w:ascii="Times New Roman" w:cs="Times New Roman" w:eastAsia="Times New Roman" w:hAnsi="Times New Roman"/>
                <w:b w:val="1"/>
                <w:bCs w:val="1"/>
                <w:color w:val="000000"/>
                <w:rtl w:val="0"/>
              </w:rPr>
              <w:t xml:space="preserve">Chum Salmon</w:t>
            </w:r>
            <w:r w:rsidDel="00000000" w:rsidR="00000000" w:rsidRPr="00000000">
              <w:rPr>
                <w:rFonts w:ascii="Times New Roman" w:cs="Times New Roman" w:eastAsia="Times New Roman" w:hAnsi="Times New Roman"/>
                <w:color w:val="000000"/>
                <w:rtl w:val="0"/>
              </w:rPr>
              <w:t xml:space="preserve">) in 2025, including in the South Kuril zone. According to Appendix 3,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color w:val="000000"/>
                <w:rtl w:val="0"/>
              </w:rPr>
              <w:t xml:space="preserve"> is permitted to set up stationary seines at 20 locations, which is 4 fewer than the last year (in 2024, 24 locations were permitted).</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Item 4. On establishing Pacific salmon harvesting (catch) volumes for commercial fishing in 2025 based on requests from legal entities submitted to the Commission. According to Appendix No.5, the total harvest volume for Kunashir is: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Pink Salmon – 272 tons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Chum Salmon – 5650 tons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Including for the </w:t>
            </w:r>
            <w:r w:rsidDel="00000000" w:rsidR="00000000" w:rsidRPr="00000000">
              <w:rPr>
                <w:rtl w:val="0"/>
              </w:rPr>
              <w:t xml:space="preserve">PCF Yuzhno-Kurilsky Ryibokombinat Co., Ltd.</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Pink Salmon – 222 tons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Chum Salmon – 5000 tons</w:t>
            </w:r>
            <w:r w:rsidDel="00000000" w:rsidR="00000000" w:rsidRPr="00000000">
              <w:rPr>
                <w:rtl w:val="0"/>
              </w:rPr>
            </w:r>
          </w:p>
        </w:tc>
      </w:tr>
      <w:tr>
        <w:trPr>
          <w:cantSplit w:val="0"/>
          <w:trHeight w:val="9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Aug 22,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Chum Salmon fishing permits have been granted to three more Kunashir companies. Items 4 and 5 add fishing gear locations and catch volumes for the “Kunashirsky Bereg”, “Zaliv Spokoiny”, and “Kurilsky Bereg” companies. Thus, in 2025, six companies received permits to fish for Kunashir Chum Salmon at 40 locations for seines set-up. The total permitted catch volume for Kunashir is: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Pink Salmon – 272 tons;</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Chum Salmon — 5780 tons.</w:t>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All decisions on salmon fishery management are covered on the websites of the Federal Agency for Fisheries, the All-Russian Scientific Research Institute (VNIRO)[11], the Ministry of Fisheries of the Sakhalin Region, the media and Telegram channels.: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rPr>
      </w:pPr>
      <w:hyperlink r:id="rId10">
        <w:r w:rsidDel="00000000" w:rsidR="00000000" w:rsidRPr="00000000">
          <w:rPr>
            <w:rFonts w:ascii="Times New Roman" w:cs="Times New Roman" w:eastAsia="Times New Roman" w:hAnsi="Times New Roman"/>
            <w:color w:val="000000"/>
            <w:rtl w:val="0"/>
          </w:rPr>
          <w:t xml:space="preserve">https://fish.gov.ru/news/2025/10/02/pomoshhnik-prezidenta-rossii-predsedatel-morskoj-kollegii-rf-nikolaj-patrushev-provel-soveshhanie-po-voprosam-sohraneniya-vosproizvodstva-i-effektivnogo-osvoeniya-vodnyh-biologicheskih-resursov-v-da/</w:t>
        </w:r>
      </w:hyperlink>
      <w:r w:rsidDel="00000000" w:rsidR="00000000" w:rsidRPr="00000000">
        <w:rPr>
          <w:rtl w:val="0"/>
        </w:rPr>
      </w:r>
    </w:p>
    <w:p w:rsidR="00000000" w:rsidDel="00000000" w:rsidP="00000000" w:rsidRDefault="00000000" w:rsidRPr="00000000" w14:paraId="00000043">
      <w:pPr>
        <w:jc w:val="both"/>
        <w:rPr/>
      </w:pPr>
      <w:hyperlink r:id="rId11">
        <w:r w:rsidDel="00000000" w:rsidR="00000000" w:rsidRPr="00000000">
          <w:rPr>
            <w:rFonts w:ascii="Times New Roman" w:cs="Times New Roman" w:eastAsia="Times New Roman" w:hAnsi="Times New Roman"/>
            <w:rtl w:val="0"/>
          </w:rPr>
          <w:t xml:space="preserve">https://sakh.online/news/18/2025-08-14/vylov-gorbushi-iz-za-slabogo-podhoda-ogranichili-na-sahaline-485328</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color w:val="000000"/>
        </w:rPr>
      </w:pPr>
      <w:hyperlink r:id="rId12">
        <w:r w:rsidDel="00000000" w:rsidR="00000000" w:rsidRPr="00000000">
          <w:rPr>
            <w:rFonts w:ascii="Times New Roman" w:cs="Times New Roman" w:eastAsia="Times New Roman" w:hAnsi="Times New Roman"/>
            <w:color w:val="000000"/>
            <w:rtl w:val="0"/>
          </w:rPr>
          <w:t xml:space="preserve">http://vniro.ru/ru/novosti/arkhiv-za-2025-god/lososevaya-putina-i-ee-nauchnoe-soprovozhdenie-na-dalnevostochnom-rybokhozyajstvennom-bassejne-202509291009</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color w:val="000000"/>
        </w:rPr>
      </w:pPr>
      <w:hyperlink r:id="rId13">
        <w:r w:rsidDel="00000000" w:rsidR="00000000" w:rsidRPr="00000000">
          <w:rPr>
            <w:rFonts w:ascii="Times New Roman" w:cs="Times New Roman" w:eastAsia="Times New Roman" w:hAnsi="Times New Roman"/>
            <w:color w:val="000000"/>
            <w:rtl w:val="0"/>
          </w:rPr>
          <w:t xml:space="preserve">https://fishnews.ru/news/53163</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rPr>
      </w:pPr>
      <w:hyperlink r:id="rId14">
        <w:r w:rsidDel="00000000" w:rsidR="00000000" w:rsidRPr="00000000">
          <w:rPr>
            <w:rFonts w:ascii="Times New Roman" w:cs="Times New Roman" w:eastAsia="Times New Roman" w:hAnsi="Times New Roman"/>
            <w:color w:val="000000"/>
            <w:rtl w:val="0"/>
          </w:rPr>
          <w:t xml:space="preserve">https://t.me/nomeatnofish</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color w:val="000000"/>
        </w:rPr>
      </w:pPr>
      <w:hyperlink r:id="rId15">
        <w:r w:rsidDel="00000000" w:rsidR="00000000" w:rsidRPr="00000000">
          <w:rPr>
            <w:rFonts w:ascii="Times New Roman" w:cs="Times New Roman" w:eastAsia="Times New Roman" w:hAnsi="Times New Roman"/>
            <w:color w:val="000000"/>
            <w:rtl w:val="0"/>
          </w:rPr>
          <w:t xml:space="preserve">https://t.me/arso65</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The process of making real-time decisions on salmon fishery management during the actual fishing season is based on information received from scientific researchers. Scientific support for salmon fisheries in the Far East fishing region, including the Sakhalin Region, is a crucial element in decision-making on salmon fisheries.</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Control of the decisions implementation and combating IUU fishing are essential elements of the salmon fisheries management system, ensuring its reliability. In 2025, in accordance with Russian Federation Government Resolution No. 625 of May 18, 2024, "On the Organization of the Activities of Persons Performing Duties Related to the Conservation of Aquatic Biological Resources in Accordance with the Legislation of the Russian Federation, When Implementing Production Control within the Boundaries of Fishing Parcels" [1], all coastal fishermen received "production inspector" certificates of the established format.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B">
      <w:pPr>
        <w:jc w:val="both"/>
        <w:rPr/>
      </w:pPr>
      <w:r w:rsidDel="00000000" w:rsidR="00000000" w:rsidRPr="00000000">
        <w:rPr>
          <w:rFonts w:ascii="Times New Roman" w:cs="Times New Roman" w:eastAsia="Times New Roman" w:hAnsi="Times New Roman"/>
          <w:color w:val="000000"/>
          <w:rtl w:val="0"/>
        </w:rPr>
        <w:t xml:space="preserve">         Production control in fishing parcels is the activity of legal entities or individual entrepreneurs, who have entered in a fishing parcel use agreement, to prevent and detect violations of fisheries legislation and to conserve aquatic biological resources. It is carried out within the boundaries of the fishing parcels for which the use agreements have been concluded.</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Production inspectors have a number of powers (to record violations, to draw up reports on administrative violations, etc.) and their main duty is to inform the relevant authorities about any violations discovered.</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YS Text" w:cs="YS Text" w:eastAsia="YS Text" w:hAnsi="YS Text"/>
          <w:color w:val="000000"/>
          <w:rtl w:val="0"/>
        </w:rPr>
        <w:t xml:space="preserve">         </w:t>
      </w:r>
      <w:r w:rsidDel="00000000" w:rsidR="00000000" w:rsidRPr="00000000">
        <w:rPr>
          <w:rFonts w:ascii="Times New Roman" w:cs="Times New Roman" w:eastAsia="Times New Roman" w:hAnsi="Times New Roman"/>
          <w:color w:val="000000"/>
          <w:rtl w:val="0"/>
        </w:rPr>
        <w:t xml:space="preserve">As Artyom Gurov [1] reported, the company has internal measures in place to prevent poaching and protect spawning grounds. A security team with technical equipment (drones, video surveillance, vehicles, and weapon permits) is on duty. Coastal fishermen </w:t>
      </w:r>
      <w:r w:rsidDel="00000000" w:rsidR="00000000" w:rsidRPr="00000000">
        <w:rPr>
          <w:rFonts w:ascii="Times New Roman" w:cs="Times New Roman" w:eastAsia="Times New Roman" w:hAnsi="Times New Roman"/>
          <w:rtl w:val="0"/>
        </w:rPr>
        <w:t xml:space="preserve">report violations to </w:t>
      </w:r>
      <w:hyperlink r:id="rId16">
        <w:r w:rsidDel="00000000" w:rsidR="00000000" w:rsidRPr="00000000">
          <w:rPr>
            <w:rFonts w:ascii="Times New Roman" w:cs="Times New Roman" w:eastAsia="Times New Roman" w:hAnsi="Times New Roman"/>
            <w:color w:val="000000"/>
            <w:u w:val="none"/>
            <w:rtl w:val="0"/>
          </w:rPr>
          <w:t xml:space="preserve">compliance monitoring authorities</w:t>
        </w:r>
      </w:hyperlink>
      <w:r w:rsidDel="00000000" w:rsidR="00000000" w:rsidRPr="00000000">
        <w:rPr>
          <w:rFonts w:ascii="Times New Roman" w:cs="Times New Roman" w:eastAsia="Times New Roman" w:hAnsi="Times New Roman"/>
          <w:rtl w:val="0"/>
        </w:rPr>
        <w:t xml:space="preserve"> but are not at risk; security is provided </w:t>
      </w:r>
      <w:r w:rsidDel="00000000" w:rsidR="00000000" w:rsidRPr="00000000">
        <w:rPr>
          <w:rFonts w:ascii="Times New Roman" w:cs="Times New Roman" w:eastAsia="Times New Roman" w:hAnsi="Times New Roman"/>
          <w:color w:val="000000"/>
          <w:rtl w:val="0"/>
        </w:rPr>
        <w:t xml:space="preserve">by specially trained personnel from a private security agency.</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effectiveness of decision-making processes in fisheries determines the sustainability of the entire management system. Modern approaches rely on a balance of three elements: ecosystem conservation, ensuring the socioeconomic stability of communities, and achieving long-term fisheries productivity.</w:t>
      </w:r>
    </w:p>
    <w:p w:rsidR="00000000" w:rsidDel="00000000" w:rsidP="00000000" w:rsidRDefault="00000000" w:rsidRPr="00000000" w14:paraId="00000050">
      <w:pPr>
        <w:jc w:val="both"/>
        <w:rPr/>
      </w:pPr>
      <w:r w:rsidDel="00000000" w:rsidR="00000000" w:rsidRPr="00000000">
        <w:rPr>
          <w:rFonts w:ascii="Times New Roman" w:cs="Times New Roman" w:eastAsia="Times New Roman" w:hAnsi="Times New Roman"/>
          <w:rtl w:val="0"/>
        </w:rPr>
        <w:t xml:space="preserve">      Russian and international authors emphasize that governance must be not only precautionary but also adaptive [2, 3, 8, 9]. This means that decisions must include mechanisms for flexible adjustment in response to unexpected changes — whether climate change, new economic challenges, or social factors.</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According to the researchers, "the portfolio of adaptive fisheries management tools offers a wide range of regulatory levers, including fishing rights (quotas, permits, licenses) and restrictions: on access to sea, fishing time, the use of certain gear and fishing methods." It is important that such solutions not only maintain the sustainability of stocks but also reduce socioeconomic risks for communities.</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Thus, several key characteristics of an effective decision-making process in the fisheries sector can be identified: </w:t>
      </w:r>
    </w:p>
    <w:p w:rsidR="00000000" w:rsidDel="00000000" w:rsidP="00000000" w:rsidRDefault="00000000" w:rsidRPr="00000000" w14:paraId="00000053">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a portfolio of flexible and adaptive tools;</w:t>
      </w:r>
    </w:p>
    <w:p w:rsidR="00000000" w:rsidDel="00000000" w:rsidP="00000000" w:rsidRDefault="00000000" w:rsidRPr="00000000" w14:paraId="00000054">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all sources of knowledge, including scientific data and traditional knowledge of fishermen;</w:t>
      </w:r>
    </w:p>
    <w:p w:rsidR="00000000" w:rsidDel="00000000" w:rsidP="00000000" w:rsidRDefault="00000000" w:rsidRPr="00000000" w14:paraId="00000055">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transparency and accountability of decisions, which allows to minimize conflicts and disputes;</w:t>
      </w:r>
    </w:p>
    <w:p w:rsidR="00000000" w:rsidDel="00000000" w:rsidP="00000000" w:rsidRDefault="00000000" w:rsidRPr="00000000" w14:paraId="0000005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 on the balance of environmental, social and economic goals.</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approach ensures not only the achievement of short-term fishery objectives, but also the long-term sustainability of the system, strengthening the confidence of all participants in the results of management decisions.</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       The Chum Salmon fishery continues. Monitoring of the fishing situation continues. It is possible that the Commission will make further decisions regarding Kunashir Island before the end of the fishing season.</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Full information on all salmon fisheries management system activities will be available in January 2026.               </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3"/>
          <w:szCs w:val="23"/>
          <w:rtl w:val="0"/>
        </w:rPr>
        <w:t xml:space="preserve">Reference and Internet resources list:</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Government Resolution No.625 of May 18, 2024.</w:t>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ENG_Golden et al. Bridging academic theory and management practice to enhance the adaptive capacity of fisheries to climate change. </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3. Translation: Bridging academic theory and management practice to enhance the adaptive capacity of fisheries to climate change (Golden et al., 2024, Marine Policy). RUS_Голден и др._Управление в условиях неопределённости.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Media_Fishing restrictions on Sakhalin from Aug 15, 2025.</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ENG_Protocol_Meeting_with_Kozlov_AFS_ARSO_FIP_Apr2025.</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ENG_Protocol_Meeting_with A. Zhivoglyadov_Apr2025.</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ENG_Protocol_Meeting_with D. Lajus_Apr2025.</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Titova G. On the path to economic stabilization.</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rPr>
      </w:pPr>
      <w:hyperlink r:id="rId17">
        <w:r w:rsidDel="00000000" w:rsidR="00000000" w:rsidRPr="00000000">
          <w:rPr>
            <w:color w:val="000080"/>
            <w:u w:val="single"/>
            <w:rtl w:val="0"/>
          </w:rPr>
          <w:t xml:space="preserve">http://www.npacific.ru/np/library/publikacii/titova3/63.htm</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9. Natalya N. Yarkina, Natalya A. Logunova. Fisheries in the context of a sustainable economy </w:t>
      </w:r>
      <w:r w:rsidDel="00000000" w:rsidR="00000000" w:rsidRPr="00000000">
        <w:rPr>
          <w:rFonts w:ascii="Times New Roman" w:cs="Times New Roman" w:eastAsia="Times New Roman" w:hAnsi="Times New Roman"/>
          <w:rtl w:val="0"/>
        </w:rPr>
        <w:t xml:space="preserve">(in Russian)</w:t>
      </w:r>
      <w:r w:rsidDel="00000000" w:rsidR="00000000" w:rsidRPr="00000000">
        <w:rPr>
          <w:rFonts w:ascii="Times New Roman" w:cs="Times New Roman" w:eastAsia="Times New Roman" w:hAnsi="Times New Roman"/>
          <w:color w:val="000000"/>
          <w:rtl w:val="0"/>
        </w:rPr>
        <w:t xml:space="preserve">. Яркина, Логунова_Устойчивость рыбного хозяйства. М. ТРУДЫ ВНИРО. 2024 г. Т. 197. С. 142-151.</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ENG_Protocol_Meeting_with A. Gurov_okt2025.</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11. VNIRO analytics as of Oct 6, 2025.</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Minutes of the Meeting of the Far Eastern Basin Scientific and Industrial Council. Apr 25, 2025. RUS_protokol_dvnps-april_2025.</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rtl w:val="0"/>
        </w:rPr>
        <w:t xml:space="preserve">13. </w:t>
      </w:r>
      <w:r w:rsidDel="00000000" w:rsidR="00000000" w:rsidRPr="00000000">
        <w:rPr>
          <w:color w:val="000000"/>
          <w:rtl w:val="0"/>
        </w:rPr>
        <w:t xml:space="preserve">Minutes of the meetings of </w:t>
      </w:r>
      <w:r w:rsidDel="00000000" w:rsidR="00000000" w:rsidRPr="00000000">
        <w:rPr>
          <w:rFonts w:ascii="Times New Roman" w:cs="Times New Roman" w:eastAsia="Times New Roman" w:hAnsi="Times New Roman"/>
          <w:color w:val="000000"/>
          <w:rtl w:val="0"/>
        </w:rPr>
        <w:t xml:space="preserve">the Anadromous Fish Commission in the Sakhalin Region</w:t>
      </w:r>
      <w:r w:rsidDel="00000000" w:rsidR="00000000" w:rsidRPr="00000000">
        <w:rPr>
          <w:color w:val="000000"/>
          <w:rtl w:val="0"/>
        </w:rPr>
        <w:t xml:space="preserve">: No.7 of May 25, 2025; No.9 of Jun 6, 2025; No.21 of Jul 25, 2025; No.25 of Aug 6, 2025;</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No.32 of Aug 22, 2025.</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color w:val="000000"/>
          <w:rtl w:val="0"/>
        </w:rPr>
        <w:t xml:space="preserve">Liudmila Konstantinovna Fedorova</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Expert Fisheries Consultant</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rtl w:val="0"/>
        </w:rPr>
        <w:t xml:space="preserve">Oct 08, 2025</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YS Tex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9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akh.online/news/18/2025-08-14/vylov-gorbushi-iz-za-slabogo-podhoda-ogranichili-na-sahaline-485328" TargetMode="External"/><Relationship Id="rId10" Type="http://schemas.openxmlformats.org/officeDocument/2006/relationships/hyperlink" Target="https://fish.gov.ru/news/2025/10/02/pomoshhnik-prezidenta-rossii-predsedatel-morskoj-kollegii-rf-nikolaj-patrushev-provel-soveshhanie-po-voprosam-sohraneniya-vosproizvodstva-i-effektivnogo-osvoeniya-vodnyh-biologicheskih-resursov-v-da/" TargetMode="External"/><Relationship Id="rId13" Type="http://schemas.openxmlformats.org/officeDocument/2006/relationships/hyperlink" Target="https://fishnews.ru/news/53163" TargetMode="External"/><Relationship Id="rId12" Type="http://schemas.openxmlformats.org/officeDocument/2006/relationships/hyperlink" Target="http://vniro.ru/ru/novosti/arkhiv-za-2025-god/lososevaya-putina-i-ee-nauchnoe-soprovozhdenie-na-dalnevostochnom-rybokhozyajstvennom-bassejne-20250929100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ultitran.com/m.exe?s=cherry+salmon&amp;l1=1&amp;l2=2" TargetMode="External"/><Relationship Id="rId15" Type="http://schemas.openxmlformats.org/officeDocument/2006/relationships/hyperlink" Target="https://t.me/arso65" TargetMode="External"/><Relationship Id="rId14" Type="http://schemas.openxmlformats.org/officeDocument/2006/relationships/hyperlink" Target="https://t.me/nomeatnofish" TargetMode="External"/><Relationship Id="rId17" Type="http://schemas.openxmlformats.org/officeDocument/2006/relationships/hyperlink" Target="http://www.npacific.ru/np/library/publikacii/titova3/63.htm" TargetMode="External"/><Relationship Id="rId16" Type="http://schemas.openxmlformats.org/officeDocument/2006/relationships/hyperlink" Target="https://www.multitran.com/m.exe?s=compliance+monitoring+authorities&amp;l1=1&amp;l2=2"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akhalin.fish.gov.ru/activities/komissiya_po_anadromnym/" TargetMode="External"/><Relationship Id="rId8" Type="http://schemas.openxmlformats.org/officeDocument/2006/relationships/hyperlink" Target="https://www.multitran.com/m.exe?s=cherry+salmon&amp;l1=1&amp;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