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5025" w14:textId="57CA5D5E" w:rsidR="00CA26C3" w:rsidRDefault="004811B9" w:rsidP="00A0607E">
      <w:pPr>
        <w:spacing w:before="600" w:after="120"/>
        <w:jc w:val="center"/>
        <w:rPr>
          <w:b/>
          <w:bCs/>
          <w:color w:val="1F4E79"/>
          <w:sz w:val="40"/>
          <w:szCs w:val="40"/>
        </w:rPr>
      </w:pPr>
      <w:r>
        <w:fldChar w:fldCharType="begin"/>
      </w:r>
      <w:r>
        <w:instrText xml:space="preserve"> INCLUDEPICTURE "http://pescaresponsable.com.mx/wp-content/uploads/2021/06/LOGOS-03-300x300.png" \* MERGEFORMATINET </w:instrText>
      </w:r>
      <w:r>
        <w:fldChar w:fldCharType="separate"/>
      </w:r>
      <w:r>
        <w:rPr>
          <w:noProof/>
        </w:rPr>
        <w:drawing>
          <wp:inline distT="0" distB="0" distL="0" distR="0" wp14:anchorId="096CC820" wp14:editId="2D463976">
            <wp:extent cx="3812540" cy="3812540"/>
            <wp:effectExtent l="0" t="0" r="0" b="0"/>
            <wp:docPr id="697273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2540" cy="3812540"/>
                    </a:xfrm>
                    <a:prstGeom prst="rect">
                      <a:avLst/>
                    </a:prstGeom>
                    <a:noFill/>
                    <a:ln>
                      <a:noFill/>
                    </a:ln>
                  </pic:spPr>
                </pic:pic>
              </a:graphicData>
            </a:graphic>
          </wp:inline>
        </w:drawing>
      </w:r>
      <w:r>
        <w:fldChar w:fldCharType="end"/>
      </w:r>
    </w:p>
    <w:p w14:paraId="52420B03" w14:textId="7C967ECC" w:rsidR="00695D3F" w:rsidRPr="00EC3E28" w:rsidRDefault="00000000" w:rsidP="00CA26C3">
      <w:pPr>
        <w:spacing w:before="600" w:after="120"/>
        <w:jc w:val="center"/>
        <w:rPr>
          <w:color w:val="auto"/>
          <w:sz w:val="48"/>
          <w:szCs w:val="48"/>
        </w:rPr>
      </w:pPr>
      <w:r w:rsidRPr="00EC3E28">
        <w:rPr>
          <w:b/>
          <w:bCs/>
          <w:color w:val="auto"/>
          <w:sz w:val="48"/>
          <w:szCs w:val="48"/>
        </w:rPr>
        <w:t>Mexico Gulf of California Swimming Crab</w:t>
      </w:r>
    </w:p>
    <w:p w14:paraId="4AAD51EC" w14:textId="01299C12" w:rsidR="00695D3F" w:rsidRPr="00EC3E28" w:rsidRDefault="00CA26C3" w:rsidP="00CA26C3">
      <w:pPr>
        <w:spacing w:before="60" w:after="60"/>
        <w:jc w:val="center"/>
        <w:rPr>
          <w:color w:val="auto"/>
          <w:sz w:val="32"/>
          <w:szCs w:val="32"/>
        </w:rPr>
      </w:pPr>
      <w:r w:rsidRPr="00EC3E28">
        <w:rPr>
          <w:color w:val="auto"/>
          <w:sz w:val="32"/>
          <w:szCs w:val="32"/>
        </w:rPr>
        <w:t>Pot/trap / ring net</w:t>
      </w:r>
    </w:p>
    <w:p w14:paraId="762CB0C9" w14:textId="19757608" w:rsidR="00695D3F" w:rsidRPr="00EC3E28" w:rsidRDefault="00000000" w:rsidP="00CA26C3">
      <w:pPr>
        <w:spacing w:before="300" w:after="60"/>
        <w:jc w:val="center"/>
        <w:rPr>
          <w:b/>
          <w:bCs/>
          <w:color w:val="auto"/>
          <w:sz w:val="36"/>
          <w:szCs w:val="36"/>
        </w:rPr>
      </w:pPr>
      <w:r w:rsidRPr="00EC3E28">
        <w:rPr>
          <w:b/>
          <w:bCs/>
          <w:color w:val="auto"/>
          <w:sz w:val="36"/>
          <w:szCs w:val="36"/>
        </w:rPr>
        <w:t xml:space="preserve">Three-Year Audit Report — 2026 </w:t>
      </w:r>
    </w:p>
    <w:p w14:paraId="73E4B78B" w14:textId="77777777" w:rsidR="00695D3F" w:rsidRDefault="00695D3F"/>
    <w:p w14:paraId="1A732656" w14:textId="77777777" w:rsidR="00CA26C3" w:rsidRDefault="00CA26C3"/>
    <w:p w14:paraId="61B2F291" w14:textId="77777777" w:rsidR="00CA26C3" w:rsidRDefault="00CA26C3"/>
    <w:p w14:paraId="0E2DEEF3" w14:textId="77777777" w:rsidR="00CA26C3" w:rsidRDefault="00CA26C3"/>
    <w:p w14:paraId="0088F0A5" w14:textId="20849C38" w:rsidR="00EC3E28" w:rsidRPr="00CA26C3" w:rsidRDefault="00000000">
      <w:pPr>
        <w:pBdr>
          <w:bottom w:val="single" w:sz="6" w:space="1" w:color="2E75B6"/>
        </w:pBdr>
        <w:spacing w:before="200" w:after="80"/>
        <w:rPr>
          <w:b/>
          <w:bCs/>
          <w:color w:val="auto"/>
          <w:sz w:val="24"/>
          <w:szCs w:val="24"/>
        </w:rPr>
      </w:pPr>
      <w:r w:rsidRPr="00CA26C3">
        <w:rPr>
          <w:b/>
          <w:bCs/>
          <w:color w:val="auto"/>
          <w:sz w:val="24"/>
          <w:szCs w:val="24"/>
        </w:rPr>
        <w:lastRenderedPageBreak/>
        <w:t>FIP Information</w:t>
      </w:r>
    </w:p>
    <w:tbl>
      <w:tblPr>
        <w:tblW w:w="13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9"/>
        <w:gridCol w:w="10980"/>
      </w:tblGrid>
      <w:tr w:rsidR="00CA26C3" w:rsidRPr="00CA26C3" w14:paraId="5F01A8C9"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D93B91F" w14:textId="23FFDB69" w:rsidR="00EC3E28" w:rsidRPr="00CA26C3" w:rsidRDefault="00000000" w:rsidP="00EC3E28">
            <w:pPr>
              <w:rPr>
                <w:color w:val="auto"/>
              </w:rPr>
            </w:pPr>
            <w:r w:rsidRPr="00CA26C3">
              <w:rPr>
                <w:b/>
                <w:bCs/>
                <w:color w:val="auto"/>
                <w:sz w:val="18"/>
                <w:szCs w:val="18"/>
              </w:rPr>
              <w:t>Target species</w:t>
            </w:r>
          </w:p>
          <w:p w14:paraId="3F35D6DE" w14:textId="31C5EC9F" w:rsidR="00695D3F" w:rsidRPr="00CA26C3" w:rsidRDefault="00695D3F">
            <w:pPr>
              <w:rPr>
                <w:color w:val="auto"/>
              </w:rPr>
            </w:pP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D2435A" w14:textId="77777777" w:rsidR="00CA26C3" w:rsidRDefault="00000000">
            <w:pPr>
              <w:rPr>
                <w:color w:val="auto"/>
                <w:sz w:val="18"/>
                <w:szCs w:val="18"/>
              </w:rPr>
            </w:pPr>
            <w:r w:rsidRPr="00CA26C3">
              <w:rPr>
                <w:color w:val="auto"/>
                <w:sz w:val="18"/>
                <w:szCs w:val="18"/>
              </w:rPr>
              <w:t>Cortez Swimming Crab (</w:t>
            </w:r>
            <w:r w:rsidRPr="00CA26C3">
              <w:rPr>
                <w:i/>
                <w:iCs/>
                <w:color w:val="auto"/>
                <w:sz w:val="18"/>
                <w:szCs w:val="18"/>
              </w:rPr>
              <w:t xml:space="preserve">Callinectes </w:t>
            </w:r>
            <w:proofErr w:type="spellStart"/>
            <w:r w:rsidRPr="00CA26C3">
              <w:rPr>
                <w:i/>
                <w:iCs/>
                <w:color w:val="auto"/>
                <w:sz w:val="18"/>
                <w:szCs w:val="18"/>
              </w:rPr>
              <w:t>bellicosus</w:t>
            </w:r>
            <w:proofErr w:type="spellEnd"/>
            <w:r w:rsidRPr="00CA26C3">
              <w:rPr>
                <w:color w:val="auto"/>
                <w:sz w:val="18"/>
                <w:szCs w:val="18"/>
              </w:rPr>
              <w:t xml:space="preserve">) </w:t>
            </w:r>
          </w:p>
          <w:p w14:paraId="0F80E5EF" w14:textId="52C5C98F" w:rsidR="00695D3F" w:rsidRPr="00CA26C3" w:rsidRDefault="00000000">
            <w:pPr>
              <w:rPr>
                <w:color w:val="auto"/>
              </w:rPr>
            </w:pPr>
            <w:r w:rsidRPr="00CA26C3">
              <w:rPr>
                <w:color w:val="auto"/>
                <w:sz w:val="18"/>
                <w:szCs w:val="18"/>
              </w:rPr>
              <w:t>Arched Swimming Crab (</w:t>
            </w:r>
            <w:r w:rsidRPr="00CA26C3">
              <w:rPr>
                <w:i/>
                <w:iCs/>
                <w:color w:val="auto"/>
                <w:sz w:val="18"/>
                <w:szCs w:val="18"/>
              </w:rPr>
              <w:t>C. arcuatus</w:t>
            </w:r>
            <w:r w:rsidRPr="00CA26C3">
              <w:rPr>
                <w:color w:val="auto"/>
                <w:sz w:val="18"/>
                <w:szCs w:val="18"/>
              </w:rPr>
              <w:t>)</w:t>
            </w:r>
          </w:p>
        </w:tc>
      </w:tr>
      <w:tr w:rsidR="00CA26C3" w:rsidRPr="00CA26C3" w14:paraId="6A889C3D"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DB5123E" w14:textId="77777777" w:rsidR="00695D3F" w:rsidRPr="00CA26C3" w:rsidRDefault="00000000">
            <w:pPr>
              <w:rPr>
                <w:color w:val="auto"/>
              </w:rPr>
            </w:pPr>
            <w:r w:rsidRPr="00CA26C3">
              <w:rPr>
                <w:b/>
                <w:bCs/>
                <w:color w:val="auto"/>
                <w:sz w:val="18"/>
                <w:szCs w:val="18"/>
              </w:rPr>
              <w:t>Fishery location</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89AB98" w14:textId="77777777" w:rsidR="00695D3F" w:rsidRPr="00CA26C3" w:rsidRDefault="00000000">
            <w:pPr>
              <w:rPr>
                <w:color w:val="auto"/>
              </w:rPr>
            </w:pPr>
            <w:r w:rsidRPr="00CA26C3">
              <w:rPr>
                <w:color w:val="auto"/>
                <w:sz w:val="18"/>
                <w:szCs w:val="18"/>
              </w:rPr>
              <w:t xml:space="preserve">Gulf of California — coastal waters and estuaries of Sinaloa and Sonora (Puerto </w:t>
            </w:r>
            <w:proofErr w:type="spellStart"/>
            <w:r w:rsidRPr="00CA26C3">
              <w:rPr>
                <w:color w:val="auto"/>
                <w:sz w:val="18"/>
                <w:szCs w:val="18"/>
              </w:rPr>
              <w:t>Peñasco</w:t>
            </w:r>
            <w:proofErr w:type="spellEnd"/>
            <w:r w:rsidRPr="00CA26C3">
              <w:rPr>
                <w:color w:val="auto"/>
                <w:sz w:val="18"/>
                <w:szCs w:val="18"/>
              </w:rPr>
              <w:t xml:space="preserve">, Sonora to Ensenada de </w:t>
            </w:r>
            <w:proofErr w:type="spellStart"/>
            <w:r w:rsidRPr="00CA26C3">
              <w:rPr>
                <w:color w:val="auto"/>
                <w:sz w:val="18"/>
                <w:szCs w:val="18"/>
              </w:rPr>
              <w:t>Pabellones</w:t>
            </w:r>
            <w:proofErr w:type="spellEnd"/>
            <w:r w:rsidRPr="00CA26C3">
              <w:rPr>
                <w:color w:val="auto"/>
                <w:sz w:val="18"/>
                <w:szCs w:val="18"/>
              </w:rPr>
              <w:t>, Sinaloa)</w:t>
            </w:r>
          </w:p>
        </w:tc>
      </w:tr>
      <w:tr w:rsidR="00CA26C3" w:rsidRPr="00CA26C3" w14:paraId="18C3F2F9"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5DECEF1" w14:textId="77777777" w:rsidR="00695D3F" w:rsidRPr="00CA26C3" w:rsidRDefault="00000000">
            <w:pPr>
              <w:rPr>
                <w:color w:val="auto"/>
              </w:rPr>
            </w:pPr>
            <w:r w:rsidRPr="00CA26C3">
              <w:rPr>
                <w:b/>
                <w:bCs/>
                <w:color w:val="auto"/>
                <w:sz w:val="18"/>
                <w:szCs w:val="18"/>
              </w:rPr>
              <w:t>Gear type(s)</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B5B3EB" w14:textId="77777777" w:rsidR="00695D3F" w:rsidRPr="00CA26C3" w:rsidRDefault="00000000">
            <w:pPr>
              <w:rPr>
                <w:color w:val="auto"/>
              </w:rPr>
            </w:pPr>
            <w:r w:rsidRPr="00CA26C3">
              <w:rPr>
                <w:color w:val="auto"/>
                <w:sz w:val="18"/>
                <w:szCs w:val="18"/>
              </w:rPr>
              <w:t>Pot / trap and ring net</w:t>
            </w:r>
          </w:p>
        </w:tc>
      </w:tr>
      <w:tr w:rsidR="00CA26C3" w:rsidRPr="00CA26C3" w14:paraId="1A462FE2"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04D0191" w14:textId="77777777" w:rsidR="00695D3F" w:rsidRPr="00CA26C3" w:rsidRDefault="00000000">
            <w:pPr>
              <w:rPr>
                <w:color w:val="auto"/>
              </w:rPr>
            </w:pPr>
            <w:r w:rsidRPr="00CA26C3">
              <w:rPr>
                <w:b/>
                <w:bCs/>
                <w:color w:val="auto"/>
                <w:sz w:val="18"/>
                <w:szCs w:val="18"/>
              </w:rPr>
              <w:t>Estimated FIP Landings</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41D99E" w14:textId="064F807A" w:rsidR="00695D3F" w:rsidRPr="00CA26C3" w:rsidRDefault="00CA26C3">
            <w:pPr>
              <w:rPr>
                <w:color w:val="auto"/>
              </w:rPr>
            </w:pPr>
            <w:r>
              <w:rPr>
                <w:color w:val="auto"/>
                <w:sz w:val="18"/>
                <w:szCs w:val="18"/>
              </w:rPr>
              <w:t>6,800</w:t>
            </w:r>
            <w:r w:rsidRPr="00CA26C3">
              <w:rPr>
                <w:color w:val="auto"/>
                <w:sz w:val="18"/>
                <w:szCs w:val="18"/>
              </w:rPr>
              <w:t xml:space="preserve"> metric tons (202</w:t>
            </w:r>
            <w:r>
              <w:rPr>
                <w:color w:val="auto"/>
                <w:sz w:val="18"/>
                <w:szCs w:val="18"/>
              </w:rPr>
              <w:t>5</w:t>
            </w:r>
            <w:r w:rsidRPr="00CA26C3">
              <w:rPr>
                <w:color w:val="auto"/>
                <w:sz w:val="18"/>
                <w:szCs w:val="18"/>
              </w:rPr>
              <w:t>, most recent year)</w:t>
            </w:r>
          </w:p>
        </w:tc>
      </w:tr>
      <w:tr w:rsidR="00CA26C3" w:rsidRPr="00CA26C3" w14:paraId="136A38C2"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1A7AE65" w14:textId="77777777" w:rsidR="00695D3F" w:rsidRPr="00CA26C3" w:rsidRDefault="00000000">
            <w:pPr>
              <w:rPr>
                <w:color w:val="auto"/>
              </w:rPr>
            </w:pPr>
            <w:r w:rsidRPr="00CA26C3">
              <w:rPr>
                <w:b/>
                <w:bCs/>
                <w:color w:val="auto"/>
                <w:sz w:val="18"/>
                <w:szCs w:val="18"/>
              </w:rPr>
              <w:t>Vessel type(s) and size(s)</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DA227E" w14:textId="7A3308DE" w:rsidR="00695D3F" w:rsidRPr="00CA26C3" w:rsidRDefault="00000000">
            <w:pPr>
              <w:rPr>
                <w:color w:val="auto"/>
              </w:rPr>
            </w:pPr>
            <w:r w:rsidRPr="00CA26C3">
              <w:rPr>
                <w:color w:val="auto"/>
                <w:sz w:val="18"/>
                <w:szCs w:val="18"/>
              </w:rPr>
              <w:t>Small-scale vessels (&lt; 10 m</w:t>
            </w:r>
            <w:r w:rsidR="00CA26C3">
              <w:rPr>
                <w:color w:val="auto"/>
                <w:sz w:val="18"/>
                <w:szCs w:val="18"/>
              </w:rPr>
              <w:t>)</w:t>
            </w:r>
          </w:p>
        </w:tc>
      </w:tr>
      <w:tr w:rsidR="00CA26C3" w:rsidRPr="00CA26C3" w14:paraId="4F583EC3"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D101D0D" w14:textId="77777777" w:rsidR="00695D3F" w:rsidRPr="00CA26C3" w:rsidRDefault="00000000">
            <w:pPr>
              <w:rPr>
                <w:color w:val="auto"/>
              </w:rPr>
            </w:pPr>
            <w:r w:rsidRPr="00CA26C3">
              <w:rPr>
                <w:b/>
                <w:bCs/>
                <w:color w:val="auto"/>
                <w:sz w:val="18"/>
                <w:szCs w:val="18"/>
              </w:rPr>
              <w:t>Number of vessels</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376CDE" w14:textId="77777777" w:rsidR="00695D3F" w:rsidRPr="00CA26C3" w:rsidRDefault="00000000">
            <w:pPr>
              <w:rPr>
                <w:color w:val="auto"/>
              </w:rPr>
            </w:pPr>
            <w:r w:rsidRPr="00CA26C3">
              <w:rPr>
                <w:color w:val="auto"/>
                <w:sz w:val="18"/>
                <w:szCs w:val="18"/>
              </w:rPr>
              <w:t>~2,000 small-scale vessels</w:t>
            </w:r>
          </w:p>
        </w:tc>
      </w:tr>
      <w:tr w:rsidR="00CA26C3" w:rsidRPr="00B15C41" w14:paraId="1653BD05"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76CAEF0" w14:textId="77777777" w:rsidR="00695D3F" w:rsidRPr="00CA26C3" w:rsidRDefault="00000000">
            <w:pPr>
              <w:rPr>
                <w:color w:val="auto"/>
              </w:rPr>
            </w:pPr>
            <w:r w:rsidRPr="00CA26C3">
              <w:rPr>
                <w:b/>
                <w:bCs/>
                <w:color w:val="auto"/>
                <w:sz w:val="18"/>
                <w:szCs w:val="18"/>
              </w:rPr>
              <w:t>Management authority</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7FD678" w14:textId="77777777" w:rsidR="00695D3F" w:rsidRPr="00CA26C3" w:rsidRDefault="00000000">
            <w:pPr>
              <w:rPr>
                <w:color w:val="auto"/>
                <w:lang w:val="es-ES"/>
              </w:rPr>
            </w:pPr>
            <w:r w:rsidRPr="00CA26C3">
              <w:rPr>
                <w:color w:val="auto"/>
                <w:sz w:val="18"/>
                <w:szCs w:val="18"/>
                <w:lang w:val="es-ES"/>
              </w:rPr>
              <w:t>CONAPESCA (Comisión Nacional de Acuacultura y Pesca) / IMIPAS</w:t>
            </w:r>
          </w:p>
        </w:tc>
      </w:tr>
      <w:tr w:rsidR="00EC3E28" w:rsidRPr="00CA26C3" w14:paraId="6FECB54D"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5873339" w14:textId="77777777" w:rsidR="00EC3E28" w:rsidRPr="00CA26C3" w:rsidRDefault="00EC3E28" w:rsidP="00EC3E28">
            <w:pPr>
              <w:rPr>
                <w:color w:val="auto"/>
              </w:rPr>
            </w:pPr>
            <w:r w:rsidRPr="00CA26C3">
              <w:rPr>
                <w:b/>
                <w:bCs/>
                <w:color w:val="auto"/>
                <w:sz w:val="18"/>
                <w:szCs w:val="18"/>
              </w:rPr>
              <w:t>Auditor name(s)</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C4D358" w14:textId="5CC76A32" w:rsidR="00EC3E28" w:rsidRPr="00CA26C3" w:rsidRDefault="00EC3E28" w:rsidP="00EC3E28">
            <w:pPr>
              <w:rPr>
                <w:color w:val="auto"/>
              </w:rPr>
            </w:pPr>
            <w:r w:rsidRPr="002E51F3">
              <w:t xml:space="preserve">Juan Manuel Garcia Caudillo, reviewed by Ivan Martinez-Tovar </w:t>
            </w:r>
          </w:p>
        </w:tc>
      </w:tr>
      <w:tr w:rsidR="00EC3E28" w:rsidRPr="00B15C41" w14:paraId="246E33D0"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6F43F1C" w14:textId="42B3241A" w:rsidR="00EC3E28" w:rsidRPr="00CA26C3" w:rsidRDefault="00EC3E28" w:rsidP="00EC3E28">
            <w:pPr>
              <w:rPr>
                <w:color w:val="auto"/>
              </w:rPr>
            </w:pPr>
            <w:r>
              <w:rPr>
                <w:b/>
                <w:bCs/>
                <w:color w:val="auto"/>
                <w:sz w:val="18"/>
                <w:szCs w:val="18"/>
              </w:rPr>
              <w:t>Auditor</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2603D7" w14:textId="6941F965" w:rsidR="00EC3E28" w:rsidRPr="00EC3E28" w:rsidRDefault="00EC3E28" w:rsidP="00EC3E28">
            <w:pPr>
              <w:rPr>
                <w:color w:val="auto"/>
                <w:lang w:val="es-ES"/>
              </w:rPr>
            </w:pPr>
            <w:r w:rsidRPr="00EC3E28">
              <w:rPr>
                <w:lang w:val="es-ES"/>
              </w:rPr>
              <w:t xml:space="preserve">Pesca Responsable y Comercio Justo   </w:t>
            </w:r>
          </w:p>
        </w:tc>
      </w:tr>
      <w:tr w:rsidR="00CA26C3" w:rsidRPr="00CA26C3" w14:paraId="120085BB" w14:textId="77777777" w:rsidTr="00EC3E28">
        <w:tc>
          <w:tcPr>
            <w:tcW w:w="2609"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2C66AD6" w14:textId="77777777" w:rsidR="00695D3F" w:rsidRPr="00CA26C3" w:rsidRDefault="00000000">
            <w:pPr>
              <w:rPr>
                <w:color w:val="auto"/>
              </w:rPr>
            </w:pPr>
            <w:r w:rsidRPr="00CA26C3">
              <w:rPr>
                <w:b/>
                <w:bCs/>
                <w:color w:val="auto"/>
                <w:sz w:val="18"/>
                <w:szCs w:val="18"/>
              </w:rPr>
              <w:t>Date of report completion</w:t>
            </w:r>
          </w:p>
        </w:tc>
        <w:tc>
          <w:tcPr>
            <w:tcW w:w="109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FD5708" w14:textId="7DDE4338" w:rsidR="00695D3F" w:rsidRPr="00CA26C3" w:rsidRDefault="00CA26C3">
            <w:pPr>
              <w:rPr>
                <w:color w:val="auto"/>
              </w:rPr>
            </w:pPr>
            <w:r>
              <w:rPr>
                <w:color w:val="auto"/>
                <w:sz w:val="18"/>
                <w:szCs w:val="18"/>
              </w:rPr>
              <w:t>May</w:t>
            </w:r>
            <w:r w:rsidRPr="00CA26C3">
              <w:rPr>
                <w:color w:val="auto"/>
                <w:sz w:val="18"/>
                <w:szCs w:val="18"/>
              </w:rPr>
              <w:t xml:space="preserve"> 2026</w:t>
            </w:r>
          </w:p>
        </w:tc>
      </w:tr>
    </w:tbl>
    <w:p w14:paraId="391716C6" w14:textId="77777777" w:rsidR="00695D3F" w:rsidRPr="00CA26C3" w:rsidRDefault="00695D3F">
      <w:pPr>
        <w:spacing w:before="100" w:after="100"/>
        <w:rPr>
          <w:color w:val="auto"/>
        </w:rPr>
      </w:pPr>
    </w:p>
    <w:p w14:paraId="45D185FB" w14:textId="77777777" w:rsidR="00695D3F" w:rsidRPr="00CA26C3" w:rsidRDefault="00000000">
      <w:pPr>
        <w:pBdr>
          <w:bottom w:val="single" w:sz="6" w:space="1" w:color="2E75B6"/>
        </w:pBdr>
        <w:spacing w:before="200" w:after="80"/>
        <w:rPr>
          <w:color w:val="auto"/>
        </w:rPr>
      </w:pPr>
      <w:r w:rsidRPr="00CA26C3">
        <w:rPr>
          <w:b/>
          <w:bCs/>
          <w:color w:val="auto"/>
          <w:sz w:val="24"/>
          <w:szCs w:val="24"/>
        </w:rPr>
        <w:t>FIP Background</w:t>
      </w:r>
    </w:p>
    <w:p w14:paraId="120DBA77" w14:textId="5A338169" w:rsidR="00695D3F" w:rsidRPr="00CA26C3" w:rsidRDefault="00000000">
      <w:pPr>
        <w:spacing w:before="100" w:after="100"/>
        <w:rPr>
          <w:color w:val="auto"/>
        </w:rPr>
      </w:pPr>
      <w:r w:rsidRPr="00CA26C3">
        <w:rPr>
          <w:color w:val="auto"/>
        </w:rPr>
        <w:t xml:space="preserve">Mexico is the largest </w:t>
      </w:r>
      <w:r w:rsidR="00CA26C3">
        <w:rPr>
          <w:color w:val="auto"/>
        </w:rPr>
        <w:t>producer</w:t>
      </w:r>
      <w:r w:rsidRPr="00CA26C3">
        <w:rPr>
          <w:color w:val="auto"/>
        </w:rPr>
        <w:t xml:space="preserve"> in Latin America. The Gulf of California swimming crab FIP was launched in 2009, initially coordin</w:t>
      </w:r>
      <w:r w:rsidR="00CA26C3">
        <w:rPr>
          <w:color w:val="auto"/>
        </w:rPr>
        <w:t xml:space="preserve">ated by </w:t>
      </w:r>
      <w:r w:rsidRPr="00CA26C3">
        <w:rPr>
          <w:color w:val="auto"/>
        </w:rPr>
        <w:t>the Sustainable Fisheries Partnership (SFP) and transitioned to industry leadership in January 2015. Since 2020, the FIP has operated as a Comprehensive FIP targeting an unconditional MSC pass across all Performance Indicators.</w:t>
      </w:r>
    </w:p>
    <w:p w14:paraId="33B71743" w14:textId="77777777" w:rsidR="00695D3F" w:rsidRPr="00CA26C3" w:rsidRDefault="00000000">
      <w:pPr>
        <w:spacing w:before="100" w:after="100"/>
        <w:rPr>
          <w:color w:val="auto"/>
        </w:rPr>
      </w:pPr>
      <w:r w:rsidRPr="00CA26C3">
        <w:rPr>
          <w:color w:val="auto"/>
        </w:rPr>
        <w:t>Annual landings have grown dramatically — from approximately 2,600 mt (2006–2013 average) to 37,976 mt in 2023, the highest on record. The fishery involves over 2,000 small-scale vessels and 4,400 fishers, with Sinaloa and Sonora as the primary producing states. Production is oriented toward the US export market.</w:t>
      </w:r>
    </w:p>
    <w:p w14:paraId="12042961" w14:textId="31E9EB0B" w:rsidR="00695D3F" w:rsidRPr="00CA26C3" w:rsidRDefault="00000000">
      <w:pPr>
        <w:spacing w:before="100" w:after="100"/>
        <w:rPr>
          <w:color w:val="auto"/>
        </w:rPr>
      </w:pPr>
      <w:r w:rsidRPr="00CA26C3">
        <w:rPr>
          <w:color w:val="auto"/>
        </w:rPr>
        <w:t xml:space="preserve">The Comprehensive Workplan (2020–2025) focused on three core actions: (1) completing a robust harvest strategy with updated reference points and harvest control rules; (2) implementing a systematic data collection program; and (3) evaluating and mitigating fishery impacts on associated species and the ecosystem. </w:t>
      </w:r>
      <w:r w:rsidR="000A1872">
        <w:rPr>
          <w:color w:val="auto"/>
        </w:rPr>
        <w:t xml:space="preserve">A 2025 </w:t>
      </w:r>
      <w:r w:rsidRPr="00CA26C3">
        <w:rPr>
          <w:color w:val="auto"/>
        </w:rPr>
        <w:t>pre-assessment</w:t>
      </w:r>
      <w:r w:rsidR="000A1872">
        <w:rPr>
          <w:color w:val="auto"/>
        </w:rPr>
        <w:t xml:space="preserve"> was</w:t>
      </w:r>
      <w:r w:rsidRPr="00CA26C3">
        <w:rPr>
          <w:color w:val="auto"/>
        </w:rPr>
        <w:t xml:space="preserve"> conducted in December 2025 </w:t>
      </w:r>
      <w:r w:rsidR="000A1872">
        <w:rPr>
          <w:color w:val="auto"/>
        </w:rPr>
        <w:t xml:space="preserve">and was also reviewed to </w:t>
      </w:r>
      <w:r w:rsidRPr="00CA26C3">
        <w:rPr>
          <w:color w:val="auto"/>
        </w:rPr>
        <w:t>provide the most recent and comprehensive independent evaluation of performance against the MSC Fisheries Standard v2.01.</w:t>
      </w:r>
    </w:p>
    <w:p w14:paraId="520C60F3" w14:textId="77777777" w:rsidR="00EC3E28" w:rsidRDefault="00EC3E28" w:rsidP="000A1872">
      <w:pPr>
        <w:pBdr>
          <w:bottom w:val="single" w:sz="6" w:space="1" w:color="2E75B6"/>
        </w:pBdr>
        <w:spacing w:before="200" w:after="80"/>
        <w:rPr>
          <w:b/>
          <w:bCs/>
          <w:color w:val="auto"/>
          <w:sz w:val="24"/>
          <w:szCs w:val="24"/>
        </w:rPr>
      </w:pPr>
    </w:p>
    <w:p w14:paraId="7C4A11AF" w14:textId="77777777" w:rsidR="00EC3E28" w:rsidRDefault="00EC3E28" w:rsidP="000A1872">
      <w:pPr>
        <w:pBdr>
          <w:bottom w:val="single" w:sz="6" w:space="1" w:color="2E75B6"/>
        </w:pBdr>
        <w:spacing w:before="200" w:after="80"/>
        <w:rPr>
          <w:b/>
          <w:bCs/>
          <w:color w:val="auto"/>
          <w:sz w:val="24"/>
          <w:szCs w:val="24"/>
        </w:rPr>
      </w:pPr>
    </w:p>
    <w:p w14:paraId="40551DDD" w14:textId="77777777" w:rsidR="00EC3E28" w:rsidRDefault="00EC3E28" w:rsidP="000A1872">
      <w:pPr>
        <w:pBdr>
          <w:bottom w:val="single" w:sz="6" w:space="1" w:color="2E75B6"/>
        </w:pBdr>
        <w:spacing w:before="200" w:after="80"/>
        <w:rPr>
          <w:b/>
          <w:bCs/>
          <w:color w:val="auto"/>
          <w:sz w:val="24"/>
          <w:szCs w:val="24"/>
        </w:rPr>
      </w:pPr>
    </w:p>
    <w:p w14:paraId="4C2FFF02" w14:textId="77777777" w:rsidR="00EC3E28" w:rsidRDefault="00EC3E28" w:rsidP="000A1872">
      <w:pPr>
        <w:pBdr>
          <w:bottom w:val="single" w:sz="6" w:space="1" w:color="2E75B6"/>
        </w:pBdr>
        <w:spacing w:before="200" w:after="80"/>
        <w:rPr>
          <w:b/>
          <w:bCs/>
          <w:color w:val="auto"/>
          <w:sz w:val="24"/>
          <w:szCs w:val="24"/>
        </w:rPr>
      </w:pPr>
    </w:p>
    <w:p w14:paraId="6A60E1AD" w14:textId="1C6790F0" w:rsidR="009D7157" w:rsidRPr="009D7157" w:rsidRDefault="00000000" w:rsidP="000A1872">
      <w:pPr>
        <w:pBdr>
          <w:bottom w:val="single" w:sz="6" w:space="1" w:color="2E75B6"/>
        </w:pBdr>
        <w:spacing w:before="200" w:after="80"/>
        <w:rPr>
          <w:b/>
          <w:bCs/>
          <w:color w:val="auto"/>
          <w:sz w:val="24"/>
          <w:szCs w:val="24"/>
        </w:rPr>
      </w:pPr>
      <w:r w:rsidRPr="00CA26C3">
        <w:rPr>
          <w:b/>
          <w:bCs/>
          <w:color w:val="auto"/>
          <w:sz w:val="24"/>
          <w:szCs w:val="24"/>
        </w:rPr>
        <w:lastRenderedPageBreak/>
        <w:t xml:space="preserve">Stakeholder Consultation </w:t>
      </w:r>
    </w:p>
    <w:tbl>
      <w:tblPr>
        <w:tblW w:w="13679" w:type="dxa"/>
        <w:tblBorders>
          <w:top w:val="single" w:sz="2" w:space="0" w:color="ADADAD" w:themeColor="background2" w:themeShade="BF"/>
          <w:left w:val="single" w:sz="2" w:space="0" w:color="ADADAD" w:themeColor="background2" w:themeShade="BF"/>
          <w:bottom w:val="single" w:sz="2" w:space="0" w:color="ADADAD" w:themeColor="background2" w:themeShade="BF"/>
          <w:right w:val="single" w:sz="2" w:space="0" w:color="ADADAD" w:themeColor="background2" w:themeShade="BF"/>
          <w:insideH w:val="single" w:sz="2" w:space="0" w:color="ADADAD" w:themeColor="background2" w:themeShade="BF"/>
          <w:insideV w:val="single" w:sz="2" w:space="0" w:color="ADADAD" w:themeColor="background2" w:themeShade="BF"/>
        </w:tblBorders>
        <w:tblCellMar>
          <w:left w:w="10" w:type="dxa"/>
          <w:right w:w="10" w:type="dxa"/>
        </w:tblCellMar>
        <w:tblLook w:val="0000" w:firstRow="0" w:lastRow="0" w:firstColumn="0" w:lastColumn="0" w:noHBand="0" w:noVBand="0"/>
      </w:tblPr>
      <w:tblGrid>
        <w:gridCol w:w="3419"/>
        <w:gridCol w:w="5490"/>
        <w:gridCol w:w="4770"/>
      </w:tblGrid>
      <w:tr w:rsidR="00CA26C3" w:rsidRPr="00CA26C3" w14:paraId="73E226CA" w14:textId="77777777" w:rsidTr="00CF68C0">
        <w:trPr>
          <w:tblHeader/>
        </w:trPr>
        <w:tc>
          <w:tcPr>
            <w:tcW w:w="3419" w:type="dxa"/>
            <w:shd w:val="clear" w:color="auto" w:fill="2E75B6"/>
            <w:tcMar>
              <w:top w:w="80" w:type="dxa"/>
              <w:left w:w="120" w:type="dxa"/>
              <w:bottom w:w="80" w:type="dxa"/>
              <w:right w:w="120" w:type="dxa"/>
            </w:tcMar>
          </w:tcPr>
          <w:p w14:paraId="7CC93C7D" w14:textId="77777777" w:rsidR="00695D3F" w:rsidRPr="00CA26C3" w:rsidRDefault="00000000" w:rsidP="00CA26C3">
            <w:pPr>
              <w:jc w:val="center"/>
              <w:rPr>
                <w:color w:val="FFFFFF" w:themeColor="background1"/>
              </w:rPr>
            </w:pPr>
            <w:r w:rsidRPr="00CA26C3">
              <w:rPr>
                <w:b/>
                <w:bCs/>
                <w:color w:val="FFFFFF" w:themeColor="background1"/>
                <w:sz w:val="18"/>
                <w:szCs w:val="18"/>
              </w:rPr>
              <w:t>Name</w:t>
            </w:r>
          </w:p>
        </w:tc>
        <w:tc>
          <w:tcPr>
            <w:tcW w:w="5490" w:type="dxa"/>
            <w:shd w:val="clear" w:color="auto" w:fill="2E75B6"/>
            <w:tcMar>
              <w:top w:w="80" w:type="dxa"/>
              <w:left w:w="120" w:type="dxa"/>
              <w:bottom w:w="80" w:type="dxa"/>
              <w:right w:w="120" w:type="dxa"/>
            </w:tcMar>
          </w:tcPr>
          <w:p w14:paraId="4F2294E0" w14:textId="77777777" w:rsidR="00695D3F" w:rsidRPr="00CA26C3" w:rsidRDefault="00000000" w:rsidP="00CA26C3">
            <w:pPr>
              <w:jc w:val="center"/>
              <w:rPr>
                <w:color w:val="FFFFFF" w:themeColor="background1"/>
              </w:rPr>
            </w:pPr>
            <w:r w:rsidRPr="00CA26C3">
              <w:rPr>
                <w:b/>
                <w:bCs/>
                <w:color w:val="FFFFFF" w:themeColor="background1"/>
                <w:sz w:val="18"/>
                <w:szCs w:val="18"/>
              </w:rPr>
              <w:t>Affiliation</w:t>
            </w:r>
          </w:p>
        </w:tc>
        <w:tc>
          <w:tcPr>
            <w:tcW w:w="4770" w:type="dxa"/>
            <w:shd w:val="clear" w:color="auto" w:fill="2E75B6"/>
            <w:tcMar>
              <w:top w:w="80" w:type="dxa"/>
              <w:left w:w="120" w:type="dxa"/>
              <w:bottom w:w="80" w:type="dxa"/>
              <w:right w:w="120" w:type="dxa"/>
            </w:tcMar>
          </w:tcPr>
          <w:p w14:paraId="7CB62CD0" w14:textId="77777777" w:rsidR="00695D3F" w:rsidRPr="00CA26C3" w:rsidRDefault="00000000" w:rsidP="00CA26C3">
            <w:pPr>
              <w:jc w:val="center"/>
              <w:rPr>
                <w:color w:val="FFFFFF" w:themeColor="background1"/>
              </w:rPr>
            </w:pPr>
            <w:r w:rsidRPr="00CA26C3">
              <w:rPr>
                <w:b/>
                <w:bCs/>
                <w:color w:val="FFFFFF" w:themeColor="background1"/>
                <w:sz w:val="18"/>
                <w:szCs w:val="18"/>
              </w:rPr>
              <w:t>Date and Subjects</w:t>
            </w:r>
          </w:p>
        </w:tc>
      </w:tr>
      <w:tr w:rsidR="00AA3363" w:rsidRPr="00CA26C3" w14:paraId="0C921BD0" w14:textId="77777777" w:rsidTr="00CF68C0">
        <w:tc>
          <w:tcPr>
            <w:tcW w:w="3419" w:type="dxa"/>
            <w:shd w:val="clear" w:color="auto" w:fill="FFFFFF"/>
            <w:tcMar>
              <w:top w:w="80" w:type="dxa"/>
              <w:left w:w="120" w:type="dxa"/>
              <w:bottom w:w="80" w:type="dxa"/>
              <w:right w:w="120" w:type="dxa"/>
            </w:tcMar>
            <w:vAlign w:val="center"/>
          </w:tcPr>
          <w:p w14:paraId="45F6FD8E" w14:textId="2EF71604" w:rsidR="00AA3363" w:rsidRPr="00A0607E" w:rsidRDefault="00AA3363" w:rsidP="00A0607E">
            <w:pPr>
              <w:jc w:val="center"/>
              <w:rPr>
                <w:color w:val="auto"/>
                <w:sz w:val="18"/>
                <w:szCs w:val="18"/>
              </w:rPr>
            </w:pPr>
            <w:r w:rsidRPr="00A0607E">
              <w:rPr>
                <w:b/>
                <w:bCs/>
                <w:sz w:val="18"/>
                <w:szCs w:val="18"/>
              </w:rPr>
              <w:t>Alejandro Balmori Ramirez</w:t>
            </w:r>
          </w:p>
        </w:tc>
        <w:tc>
          <w:tcPr>
            <w:tcW w:w="5490" w:type="dxa"/>
            <w:vMerge w:val="restart"/>
            <w:shd w:val="clear" w:color="auto" w:fill="FFFFFF"/>
            <w:tcMar>
              <w:top w:w="80" w:type="dxa"/>
              <w:left w:w="120" w:type="dxa"/>
              <w:bottom w:w="80" w:type="dxa"/>
              <w:right w:w="120" w:type="dxa"/>
            </w:tcMar>
            <w:vAlign w:val="center"/>
          </w:tcPr>
          <w:p w14:paraId="2F6A1943" w14:textId="2216A8C0" w:rsidR="00AA3363" w:rsidRPr="00A0607E" w:rsidRDefault="00CF68C0" w:rsidP="00A0607E">
            <w:pPr>
              <w:jc w:val="center"/>
              <w:rPr>
                <w:color w:val="auto"/>
                <w:sz w:val="18"/>
                <w:szCs w:val="18"/>
              </w:rPr>
            </w:pPr>
            <w:r>
              <w:rPr>
                <w:sz w:val="18"/>
                <w:szCs w:val="18"/>
              </w:rPr>
              <w:t xml:space="preserve">IMIPAS’ </w:t>
            </w:r>
            <w:r w:rsidR="00AA3363" w:rsidRPr="00A0607E">
              <w:rPr>
                <w:sz w:val="18"/>
                <w:szCs w:val="18"/>
              </w:rPr>
              <w:t>Regional Center of Fisheries and Aquaculture Research, Guaymas, Sonora</w:t>
            </w:r>
          </w:p>
        </w:tc>
        <w:tc>
          <w:tcPr>
            <w:tcW w:w="4770" w:type="dxa"/>
            <w:vMerge w:val="restart"/>
            <w:shd w:val="clear" w:color="auto" w:fill="FFFFFF"/>
            <w:tcMar>
              <w:top w:w="80" w:type="dxa"/>
              <w:left w:w="120" w:type="dxa"/>
              <w:bottom w:w="80" w:type="dxa"/>
              <w:right w:w="120" w:type="dxa"/>
            </w:tcMar>
            <w:vAlign w:val="center"/>
          </w:tcPr>
          <w:p w14:paraId="585D4FC7" w14:textId="572DB67B" w:rsidR="00AA3363" w:rsidRDefault="00AA3363" w:rsidP="00A0607E">
            <w:pPr>
              <w:pStyle w:val="NormalWeb"/>
              <w:numPr>
                <w:ilvl w:val="0"/>
                <w:numId w:val="6"/>
              </w:numPr>
              <w:ind w:left="349"/>
              <w:rPr>
                <w:rFonts w:ascii="Arial" w:hAnsi="Arial" w:cs="Arial"/>
                <w:sz w:val="18"/>
                <w:szCs w:val="18"/>
              </w:rPr>
            </w:pPr>
            <w:r>
              <w:rPr>
                <w:rFonts w:ascii="Arial" w:hAnsi="Arial" w:cs="Arial"/>
                <w:sz w:val="18"/>
                <w:szCs w:val="18"/>
              </w:rPr>
              <w:t>Stocks status/Assessment</w:t>
            </w:r>
          </w:p>
          <w:p w14:paraId="1D4D9B3E" w14:textId="77777777" w:rsidR="00AA3363" w:rsidRDefault="00AA3363" w:rsidP="00A0607E">
            <w:pPr>
              <w:pStyle w:val="NormalWeb"/>
              <w:numPr>
                <w:ilvl w:val="0"/>
                <w:numId w:val="6"/>
              </w:numPr>
              <w:ind w:left="349"/>
              <w:rPr>
                <w:rFonts w:ascii="Arial" w:hAnsi="Arial" w:cs="Arial"/>
                <w:sz w:val="18"/>
                <w:szCs w:val="18"/>
              </w:rPr>
            </w:pPr>
            <w:r w:rsidRPr="00A0607E">
              <w:rPr>
                <w:rFonts w:ascii="Arial" w:hAnsi="Arial" w:cs="Arial"/>
                <w:sz w:val="18"/>
                <w:szCs w:val="18"/>
              </w:rPr>
              <w:t>FIP Actions</w:t>
            </w:r>
          </w:p>
          <w:p w14:paraId="59502C06" w14:textId="77777777" w:rsidR="00AA3363" w:rsidRDefault="00AA3363" w:rsidP="00A0607E">
            <w:pPr>
              <w:pStyle w:val="Prrafodelista"/>
              <w:numPr>
                <w:ilvl w:val="0"/>
                <w:numId w:val="6"/>
              </w:numPr>
              <w:ind w:left="349"/>
              <w:rPr>
                <w:color w:val="auto"/>
                <w:sz w:val="18"/>
                <w:szCs w:val="18"/>
              </w:rPr>
            </w:pPr>
            <w:r>
              <w:rPr>
                <w:color w:val="auto"/>
                <w:sz w:val="18"/>
                <w:szCs w:val="18"/>
              </w:rPr>
              <w:t>Fishery impacts</w:t>
            </w:r>
          </w:p>
          <w:p w14:paraId="1457EFAA" w14:textId="638BDC9F" w:rsidR="00AA3363" w:rsidRPr="00A0607E" w:rsidRDefault="00AA3363" w:rsidP="00A0607E">
            <w:pPr>
              <w:pStyle w:val="Prrafodelista"/>
              <w:numPr>
                <w:ilvl w:val="0"/>
                <w:numId w:val="6"/>
              </w:numPr>
              <w:ind w:left="349"/>
              <w:rPr>
                <w:color w:val="auto"/>
                <w:sz w:val="18"/>
                <w:szCs w:val="18"/>
              </w:rPr>
            </w:pPr>
            <w:r>
              <w:rPr>
                <w:color w:val="auto"/>
                <w:sz w:val="18"/>
                <w:szCs w:val="18"/>
              </w:rPr>
              <w:t>Fishery monitoring</w:t>
            </w:r>
          </w:p>
        </w:tc>
      </w:tr>
      <w:tr w:rsidR="00AA3363" w:rsidRPr="00CA26C3" w14:paraId="4D4B6277" w14:textId="77777777" w:rsidTr="00CF68C0">
        <w:tc>
          <w:tcPr>
            <w:tcW w:w="3419" w:type="dxa"/>
            <w:shd w:val="clear" w:color="auto" w:fill="FFFFFF"/>
            <w:tcMar>
              <w:top w:w="80" w:type="dxa"/>
              <w:left w:w="120" w:type="dxa"/>
              <w:bottom w:w="80" w:type="dxa"/>
              <w:right w:w="120" w:type="dxa"/>
            </w:tcMar>
            <w:vAlign w:val="center"/>
          </w:tcPr>
          <w:p w14:paraId="570DF7CA" w14:textId="58146B12" w:rsidR="00AA3363" w:rsidRPr="00A0607E" w:rsidRDefault="00AA3363" w:rsidP="00A0607E">
            <w:pPr>
              <w:jc w:val="center"/>
              <w:rPr>
                <w:b/>
                <w:bCs/>
                <w:sz w:val="18"/>
                <w:szCs w:val="18"/>
              </w:rPr>
            </w:pPr>
            <w:r>
              <w:rPr>
                <w:b/>
                <w:bCs/>
                <w:sz w:val="18"/>
                <w:szCs w:val="18"/>
              </w:rPr>
              <w:t>Miguel Angel Cisneros</w:t>
            </w:r>
          </w:p>
        </w:tc>
        <w:tc>
          <w:tcPr>
            <w:tcW w:w="5490" w:type="dxa"/>
            <w:vMerge/>
            <w:shd w:val="clear" w:color="auto" w:fill="FFFFFF"/>
            <w:tcMar>
              <w:top w:w="80" w:type="dxa"/>
              <w:left w:w="120" w:type="dxa"/>
              <w:bottom w:w="80" w:type="dxa"/>
              <w:right w:w="120" w:type="dxa"/>
            </w:tcMar>
            <w:vAlign w:val="center"/>
          </w:tcPr>
          <w:p w14:paraId="4DE7EAC8" w14:textId="77777777" w:rsidR="00AA3363" w:rsidRPr="00A0607E" w:rsidRDefault="00AA3363" w:rsidP="00A0607E">
            <w:pPr>
              <w:jc w:val="center"/>
              <w:rPr>
                <w:sz w:val="18"/>
                <w:szCs w:val="18"/>
              </w:rPr>
            </w:pPr>
          </w:p>
        </w:tc>
        <w:tc>
          <w:tcPr>
            <w:tcW w:w="4770" w:type="dxa"/>
            <w:vMerge/>
            <w:shd w:val="clear" w:color="auto" w:fill="FFFFFF"/>
            <w:tcMar>
              <w:top w:w="80" w:type="dxa"/>
              <w:left w:w="120" w:type="dxa"/>
              <w:bottom w:w="80" w:type="dxa"/>
              <w:right w:w="120" w:type="dxa"/>
            </w:tcMar>
            <w:vAlign w:val="center"/>
          </w:tcPr>
          <w:p w14:paraId="5526D1CC" w14:textId="77777777" w:rsidR="00AA3363" w:rsidRDefault="00AA3363" w:rsidP="00A0607E">
            <w:pPr>
              <w:pStyle w:val="NormalWeb"/>
              <w:numPr>
                <w:ilvl w:val="0"/>
                <w:numId w:val="6"/>
              </w:numPr>
              <w:ind w:left="349"/>
              <w:rPr>
                <w:rFonts w:ascii="Arial" w:hAnsi="Arial" w:cs="Arial"/>
                <w:sz w:val="18"/>
                <w:szCs w:val="18"/>
              </w:rPr>
            </w:pPr>
          </w:p>
        </w:tc>
      </w:tr>
      <w:tr w:rsidR="00AA3363" w:rsidRPr="00CA26C3" w14:paraId="461FF815" w14:textId="77777777" w:rsidTr="00CF68C0">
        <w:tc>
          <w:tcPr>
            <w:tcW w:w="3419" w:type="dxa"/>
            <w:shd w:val="clear" w:color="auto" w:fill="FFFFFF"/>
            <w:tcMar>
              <w:top w:w="80" w:type="dxa"/>
              <w:left w:w="120" w:type="dxa"/>
              <w:bottom w:w="80" w:type="dxa"/>
              <w:right w:w="120" w:type="dxa"/>
            </w:tcMar>
            <w:vAlign w:val="center"/>
          </w:tcPr>
          <w:p w14:paraId="0D03C29A" w14:textId="225C86A7" w:rsidR="00AA3363" w:rsidRDefault="00AA3363" w:rsidP="00A0607E">
            <w:pPr>
              <w:jc w:val="center"/>
              <w:rPr>
                <w:b/>
                <w:bCs/>
                <w:sz w:val="18"/>
                <w:szCs w:val="18"/>
              </w:rPr>
            </w:pPr>
            <w:r>
              <w:rPr>
                <w:b/>
                <w:bCs/>
                <w:sz w:val="18"/>
                <w:szCs w:val="18"/>
              </w:rPr>
              <w:t>Ivan Rivera Parra</w:t>
            </w:r>
          </w:p>
        </w:tc>
        <w:tc>
          <w:tcPr>
            <w:tcW w:w="5490" w:type="dxa"/>
            <w:vMerge w:val="restart"/>
            <w:shd w:val="clear" w:color="auto" w:fill="FFFFFF"/>
            <w:tcMar>
              <w:top w:w="80" w:type="dxa"/>
              <w:left w:w="120" w:type="dxa"/>
              <w:bottom w:w="80" w:type="dxa"/>
              <w:right w:w="120" w:type="dxa"/>
            </w:tcMar>
            <w:vAlign w:val="center"/>
          </w:tcPr>
          <w:p w14:paraId="644D4E28" w14:textId="153F5865" w:rsidR="00AA3363" w:rsidRPr="00A0607E" w:rsidRDefault="00CF68C0" w:rsidP="00A0607E">
            <w:pPr>
              <w:jc w:val="center"/>
              <w:rPr>
                <w:sz w:val="18"/>
                <w:szCs w:val="18"/>
              </w:rPr>
            </w:pPr>
            <w:r>
              <w:rPr>
                <w:sz w:val="18"/>
                <w:szCs w:val="18"/>
              </w:rPr>
              <w:t xml:space="preserve">IMIPAS’ </w:t>
            </w:r>
            <w:r w:rsidR="00AA3363" w:rsidRPr="00A0607E">
              <w:rPr>
                <w:sz w:val="18"/>
                <w:szCs w:val="18"/>
              </w:rPr>
              <w:t>Regional Center of Fisheries and Aquaculture Research,</w:t>
            </w:r>
            <w:r w:rsidR="00AA3363">
              <w:rPr>
                <w:sz w:val="18"/>
                <w:szCs w:val="18"/>
              </w:rPr>
              <w:t xml:space="preserve"> </w:t>
            </w:r>
            <w:proofErr w:type="spellStart"/>
            <w:r w:rsidR="00AA3363">
              <w:rPr>
                <w:sz w:val="18"/>
                <w:szCs w:val="18"/>
              </w:rPr>
              <w:t>Mazatlan</w:t>
            </w:r>
            <w:proofErr w:type="spellEnd"/>
            <w:r w:rsidR="00AA3363">
              <w:rPr>
                <w:sz w:val="18"/>
                <w:szCs w:val="18"/>
              </w:rPr>
              <w:t xml:space="preserve"> Sinaloa</w:t>
            </w:r>
          </w:p>
        </w:tc>
        <w:tc>
          <w:tcPr>
            <w:tcW w:w="4770" w:type="dxa"/>
            <w:vMerge/>
            <w:shd w:val="clear" w:color="auto" w:fill="FFFFFF"/>
            <w:tcMar>
              <w:top w:w="80" w:type="dxa"/>
              <w:left w:w="120" w:type="dxa"/>
              <w:bottom w:w="80" w:type="dxa"/>
              <w:right w:w="120" w:type="dxa"/>
            </w:tcMar>
            <w:vAlign w:val="center"/>
          </w:tcPr>
          <w:p w14:paraId="04BC47ED" w14:textId="77777777" w:rsidR="00AA3363" w:rsidRDefault="00AA3363" w:rsidP="00A0607E">
            <w:pPr>
              <w:pStyle w:val="NormalWeb"/>
              <w:numPr>
                <w:ilvl w:val="0"/>
                <w:numId w:val="6"/>
              </w:numPr>
              <w:ind w:left="349"/>
              <w:rPr>
                <w:rFonts w:ascii="Arial" w:hAnsi="Arial" w:cs="Arial"/>
                <w:sz w:val="18"/>
                <w:szCs w:val="18"/>
              </w:rPr>
            </w:pPr>
          </w:p>
        </w:tc>
      </w:tr>
      <w:tr w:rsidR="00AA3363" w:rsidRPr="00CA26C3" w14:paraId="258EFFAF" w14:textId="77777777" w:rsidTr="00CF68C0">
        <w:tc>
          <w:tcPr>
            <w:tcW w:w="3419" w:type="dxa"/>
            <w:shd w:val="clear" w:color="auto" w:fill="FFFFFF"/>
            <w:tcMar>
              <w:top w:w="80" w:type="dxa"/>
              <w:left w:w="120" w:type="dxa"/>
              <w:bottom w:w="80" w:type="dxa"/>
              <w:right w:w="120" w:type="dxa"/>
            </w:tcMar>
            <w:vAlign w:val="center"/>
          </w:tcPr>
          <w:p w14:paraId="77AB6576" w14:textId="52A68AD6" w:rsidR="00AA3363" w:rsidRDefault="00AA3363" w:rsidP="00A0607E">
            <w:pPr>
              <w:jc w:val="center"/>
              <w:rPr>
                <w:b/>
                <w:bCs/>
                <w:sz w:val="18"/>
                <w:szCs w:val="18"/>
              </w:rPr>
            </w:pPr>
            <w:r w:rsidRPr="00AA3363">
              <w:rPr>
                <w:b/>
                <w:bCs/>
                <w:sz w:val="18"/>
                <w:szCs w:val="18"/>
              </w:rPr>
              <w:t>Gilberto Ortega</w:t>
            </w:r>
          </w:p>
        </w:tc>
        <w:tc>
          <w:tcPr>
            <w:tcW w:w="5490" w:type="dxa"/>
            <w:vMerge/>
            <w:shd w:val="clear" w:color="auto" w:fill="FFFFFF"/>
            <w:tcMar>
              <w:top w:w="80" w:type="dxa"/>
              <w:left w:w="120" w:type="dxa"/>
              <w:bottom w:w="80" w:type="dxa"/>
              <w:right w:w="120" w:type="dxa"/>
            </w:tcMar>
            <w:vAlign w:val="center"/>
          </w:tcPr>
          <w:p w14:paraId="05605330" w14:textId="77777777" w:rsidR="00AA3363" w:rsidRPr="00A0607E" w:rsidRDefault="00AA3363" w:rsidP="00A0607E">
            <w:pPr>
              <w:jc w:val="center"/>
              <w:rPr>
                <w:sz w:val="18"/>
                <w:szCs w:val="18"/>
              </w:rPr>
            </w:pPr>
          </w:p>
        </w:tc>
        <w:tc>
          <w:tcPr>
            <w:tcW w:w="4770" w:type="dxa"/>
            <w:vMerge/>
            <w:shd w:val="clear" w:color="auto" w:fill="FFFFFF"/>
            <w:tcMar>
              <w:top w:w="80" w:type="dxa"/>
              <w:left w:w="120" w:type="dxa"/>
              <w:bottom w:w="80" w:type="dxa"/>
              <w:right w:w="120" w:type="dxa"/>
            </w:tcMar>
            <w:vAlign w:val="center"/>
          </w:tcPr>
          <w:p w14:paraId="5B63FA87" w14:textId="77777777" w:rsidR="00AA3363" w:rsidRDefault="00AA3363" w:rsidP="00A0607E">
            <w:pPr>
              <w:pStyle w:val="NormalWeb"/>
              <w:numPr>
                <w:ilvl w:val="0"/>
                <w:numId w:val="6"/>
              </w:numPr>
              <w:ind w:left="349"/>
              <w:rPr>
                <w:rFonts w:ascii="Arial" w:hAnsi="Arial" w:cs="Arial"/>
                <w:sz w:val="18"/>
                <w:szCs w:val="18"/>
              </w:rPr>
            </w:pPr>
          </w:p>
        </w:tc>
      </w:tr>
      <w:tr w:rsidR="00CF68C0" w:rsidRPr="00CA26C3" w14:paraId="2DEC4AFD" w14:textId="77777777" w:rsidTr="00CF68C0">
        <w:tc>
          <w:tcPr>
            <w:tcW w:w="3419" w:type="dxa"/>
            <w:shd w:val="clear" w:color="auto" w:fill="FFFFFF"/>
            <w:tcMar>
              <w:top w:w="80" w:type="dxa"/>
              <w:left w:w="120" w:type="dxa"/>
              <w:bottom w:w="80" w:type="dxa"/>
              <w:right w:w="120" w:type="dxa"/>
            </w:tcMar>
          </w:tcPr>
          <w:p w14:paraId="4A2601FA" w14:textId="6B52E372" w:rsidR="00CF68C0" w:rsidRDefault="00CF68C0" w:rsidP="00AA2208">
            <w:pPr>
              <w:jc w:val="center"/>
              <w:rPr>
                <w:b/>
                <w:bCs/>
                <w:sz w:val="18"/>
                <w:szCs w:val="18"/>
              </w:rPr>
            </w:pPr>
            <w:r w:rsidRPr="00AA2208">
              <w:rPr>
                <w:b/>
                <w:bCs/>
                <w:sz w:val="18"/>
                <w:szCs w:val="18"/>
              </w:rPr>
              <w:t>Verónica Lango</w:t>
            </w:r>
          </w:p>
        </w:tc>
        <w:tc>
          <w:tcPr>
            <w:tcW w:w="5490" w:type="dxa"/>
            <w:vMerge w:val="restart"/>
            <w:shd w:val="clear" w:color="auto" w:fill="FFFFFF"/>
            <w:tcMar>
              <w:top w:w="80" w:type="dxa"/>
              <w:left w:w="120" w:type="dxa"/>
              <w:bottom w:w="80" w:type="dxa"/>
              <w:right w:w="120" w:type="dxa"/>
            </w:tcMar>
            <w:vAlign w:val="center"/>
          </w:tcPr>
          <w:p w14:paraId="2F26ACB0" w14:textId="7813EB71" w:rsidR="00CF68C0" w:rsidRPr="00A0607E" w:rsidRDefault="00CF68C0" w:rsidP="00AA2208">
            <w:pPr>
              <w:jc w:val="center"/>
              <w:rPr>
                <w:sz w:val="18"/>
                <w:szCs w:val="18"/>
              </w:rPr>
            </w:pPr>
            <w:r w:rsidRPr="00AA2208">
              <w:rPr>
                <w:sz w:val="18"/>
                <w:szCs w:val="18"/>
              </w:rPr>
              <w:t>National Commission of Aquaculture and Fisheries</w:t>
            </w:r>
            <w:r>
              <w:rPr>
                <w:sz w:val="18"/>
                <w:szCs w:val="18"/>
              </w:rPr>
              <w:t xml:space="preserve"> (CONAPESCA)</w:t>
            </w:r>
          </w:p>
        </w:tc>
        <w:tc>
          <w:tcPr>
            <w:tcW w:w="4770" w:type="dxa"/>
            <w:vMerge w:val="restart"/>
            <w:shd w:val="clear" w:color="auto" w:fill="FFFFFF"/>
            <w:tcMar>
              <w:top w:w="80" w:type="dxa"/>
              <w:left w:w="120" w:type="dxa"/>
              <w:bottom w:w="80" w:type="dxa"/>
              <w:right w:w="120" w:type="dxa"/>
            </w:tcMar>
            <w:vAlign w:val="center"/>
          </w:tcPr>
          <w:p w14:paraId="5C974146" w14:textId="77777777" w:rsidR="00CF68C0" w:rsidRDefault="00CF68C0" w:rsidP="00AA2208">
            <w:pPr>
              <w:pStyle w:val="NormalWeb"/>
              <w:numPr>
                <w:ilvl w:val="0"/>
                <w:numId w:val="6"/>
              </w:numPr>
              <w:ind w:left="349"/>
              <w:rPr>
                <w:rFonts w:ascii="Arial" w:hAnsi="Arial" w:cs="Arial"/>
                <w:sz w:val="18"/>
                <w:szCs w:val="18"/>
              </w:rPr>
            </w:pPr>
            <w:r>
              <w:rPr>
                <w:rFonts w:ascii="Arial" w:hAnsi="Arial" w:cs="Arial"/>
                <w:sz w:val="18"/>
                <w:szCs w:val="18"/>
              </w:rPr>
              <w:t>Fishery management</w:t>
            </w:r>
          </w:p>
          <w:p w14:paraId="286B87AB" w14:textId="4E0089CC" w:rsidR="00CF68C0" w:rsidRDefault="00CF68C0" w:rsidP="00AA2208">
            <w:pPr>
              <w:pStyle w:val="NormalWeb"/>
              <w:numPr>
                <w:ilvl w:val="0"/>
                <w:numId w:val="6"/>
              </w:numPr>
              <w:ind w:left="349"/>
              <w:rPr>
                <w:rFonts w:ascii="Arial" w:hAnsi="Arial" w:cs="Arial"/>
                <w:sz w:val="18"/>
                <w:szCs w:val="18"/>
              </w:rPr>
            </w:pPr>
            <w:r>
              <w:rPr>
                <w:rFonts w:ascii="Arial" w:hAnsi="Arial" w:cs="Arial"/>
                <w:sz w:val="18"/>
                <w:szCs w:val="18"/>
              </w:rPr>
              <w:t>National Fisheries regulations</w:t>
            </w:r>
          </w:p>
          <w:p w14:paraId="79BB9FBF" w14:textId="3B830122" w:rsidR="00CF68C0" w:rsidRDefault="00CF68C0" w:rsidP="00AA2208">
            <w:pPr>
              <w:pStyle w:val="NormalWeb"/>
              <w:numPr>
                <w:ilvl w:val="0"/>
                <w:numId w:val="6"/>
              </w:numPr>
              <w:ind w:left="349"/>
              <w:rPr>
                <w:rFonts w:ascii="Arial" w:hAnsi="Arial" w:cs="Arial"/>
                <w:sz w:val="18"/>
                <w:szCs w:val="18"/>
              </w:rPr>
            </w:pPr>
            <w:r>
              <w:rPr>
                <w:rFonts w:ascii="Arial" w:hAnsi="Arial" w:cs="Arial"/>
                <w:sz w:val="18"/>
                <w:szCs w:val="18"/>
              </w:rPr>
              <w:t>Enforcement and compliance</w:t>
            </w:r>
          </w:p>
        </w:tc>
      </w:tr>
      <w:tr w:rsidR="00CF68C0" w:rsidRPr="00CA26C3" w14:paraId="2E269CEF" w14:textId="77777777" w:rsidTr="00CF68C0">
        <w:tc>
          <w:tcPr>
            <w:tcW w:w="3419" w:type="dxa"/>
            <w:shd w:val="clear" w:color="auto" w:fill="FFFFFF"/>
            <w:tcMar>
              <w:top w:w="80" w:type="dxa"/>
              <w:left w:w="120" w:type="dxa"/>
              <w:bottom w:w="80" w:type="dxa"/>
              <w:right w:w="120" w:type="dxa"/>
            </w:tcMar>
          </w:tcPr>
          <w:p w14:paraId="1A1BBBD4" w14:textId="65EC7E27" w:rsidR="00CF68C0" w:rsidRDefault="00CF68C0" w:rsidP="00AA2208">
            <w:pPr>
              <w:jc w:val="center"/>
              <w:rPr>
                <w:b/>
                <w:bCs/>
                <w:sz w:val="18"/>
                <w:szCs w:val="18"/>
              </w:rPr>
            </w:pPr>
            <w:r w:rsidRPr="00AA2208">
              <w:rPr>
                <w:b/>
                <w:bCs/>
                <w:sz w:val="18"/>
                <w:szCs w:val="18"/>
              </w:rPr>
              <w:t>Alicia Poot</w:t>
            </w:r>
          </w:p>
        </w:tc>
        <w:tc>
          <w:tcPr>
            <w:tcW w:w="5490" w:type="dxa"/>
            <w:vMerge/>
            <w:shd w:val="clear" w:color="auto" w:fill="FFFFFF"/>
            <w:tcMar>
              <w:top w:w="80" w:type="dxa"/>
              <w:left w:w="120" w:type="dxa"/>
              <w:bottom w:w="80" w:type="dxa"/>
              <w:right w:w="120" w:type="dxa"/>
            </w:tcMar>
            <w:vAlign w:val="center"/>
          </w:tcPr>
          <w:p w14:paraId="35016CE3" w14:textId="77777777" w:rsidR="00CF68C0" w:rsidRPr="00A0607E" w:rsidRDefault="00CF68C0" w:rsidP="00AA2208">
            <w:pPr>
              <w:jc w:val="center"/>
              <w:rPr>
                <w:sz w:val="18"/>
                <w:szCs w:val="18"/>
              </w:rPr>
            </w:pPr>
          </w:p>
        </w:tc>
        <w:tc>
          <w:tcPr>
            <w:tcW w:w="4770" w:type="dxa"/>
            <w:vMerge/>
            <w:shd w:val="clear" w:color="auto" w:fill="FFFFFF"/>
            <w:tcMar>
              <w:top w:w="80" w:type="dxa"/>
              <w:left w:w="120" w:type="dxa"/>
              <w:bottom w:w="80" w:type="dxa"/>
              <w:right w:w="120" w:type="dxa"/>
            </w:tcMar>
            <w:vAlign w:val="center"/>
          </w:tcPr>
          <w:p w14:paraId="12BB1523" w14:textId="77777777" w:rsidR="00CF68C0" w:rsidRDefault="00CF68C0" w:rsidP="00AA2208">
            <w:pPr>
              <w:pStyle w:val="NormalWeb"/>
              <w:numPr>
                <w:ilvl w:val="0"/>
                <w:numId w:val="6"/>
              </w:numPr>
              <w:ind w:left="349"/>
              <w:rPr>
                <w:rFonts w:ascii="Arial" w:hAnsi="Arial" w:cs="Arial"/>
                <w:sz w:val="18"/>
                <w:szCs w:val="18"/>
              </w:rPr>
            </w:pPr>
          </w:p>
        </w:tc>
      </w:tr>
      <w:tr w:rsidR="00CF68C0" w:rsidRPr="00CA26C3" w14:paraId="7F43736D" w14:textId="77777777" w:rsidTr="00CF68C0">
        <w:tc>
          <w:tcPr>
            <w:tcW w:w="3419" w:type="dxa"/>
            <w:shd w:val="clear" w:color="auto" w:fill="FFFFFF"/>
            <w:tcMar>
              <w:top w:w="80" w:type="dxa"/>
              <w:left w:w="120" w:type="dxa"/>
              <w:bottom w:w="80" w:type="dxa"/>
              <w:right w:w="120" w:type="dxa"/>
            </w:tcMar>
          </w:tcPr>
          <w:p w14:paraId="6E0A7D29" w14:textId="3CB0942E" w:rsidR="00CF68C0" w:rsidRDefault="00CF68C0" w:rsidP="00AA2208">
            <w:pPr>
              <w:jc w:val="center"/>
              <w:rPr>
                <w:b/>
                <w:bCs/>
                <w:sz w:val="18"/>
                <w:szCs w:val="18"/>
              </w:rPr>
            </w:pPr>
            <w:r w:rsidRPr="00AA2208">
              <w:rPr>
                <w:b/>
                <w:bCs/>
                <w:sz w:val="18"/>
                <w:szCs w:val="18"/>
              </w:rPr>
              <w:t>Maria José Espinoza</w:t>
            </w:r>
          </w:p>
        </w:tc>
        <w:tc>
          <w:tcPr>
            <w:tcW w:w="5490" w:type="dxa"/>
            <w:vMerge/>
            <w:shd w:val="clear" w:color="auto" w:fill="FFFFFF"/>
            <w:tcMar>
              <w:top w:w="80" w:type="dxa"/>
              <w:left w:w="120" w:type="dxa"/>
              <w:bottom w:w="80" w:type="dxa"/>
              <w:right w:w="120" w:type="dxa"/>
            </w:tcMar>
            <w:vAlign w:val="center"/>
          </w:tcPr>
          <w:p w14:paraId="23707D9D" w14:textId="77777777" w:rsidR="00CF68C0" w:rsidRPr="00A0607E" w:rsidRDefault="00CF68C0" w:rsidP="00AA2208">
            <w:pPr>
              <w:jc w:val="center"/>
              <w:rPr>
                <w:sz w:val="18"/>
                <w:szCs w:val="18"/>
              </w:rPr>
            </w:pPr>
          </w:p>
        </w:tc>
        <w:tc>
          <w:tcPr>
            <w:tcW w:w="4770" w:type="dxa"/>
            <w:vMerge/>
            <w:shd w:val="clear" w:color="auto" w:fill="FFFFFF"/>
            <w:tcMar>
              <w:top w:w="80" w:type="dxa"/>
              <w:left w:w="120" w:type="dxa"/>
              <w:bottom w:w="80" w:type="dxa"/>
              <w:right w:w="120" w:type="dxa"/>
            </w:tcMar>
            <w:vAlign w:val="center"/>
          </w:tcPr>
          <w:p w14:paraId="2D8FC348" w14:textId="77777777" w:rsidR="00CF68C0" w:rsidRDefault="00CF68C0" w:rsidP="00AA2208">
            <w:pPr>
              <w:pStyle w:val="NormalWeb"/>
              <w:numPr>
                <w:ilvl w:val="0"/>
                <w:numId w:val="6"/>
              </w:numPr>
              <w:ind w:left="349"/>
              <w:rPr>
                <w:rFonts w:ascii="Arial" w:hAnsi="Arial" w:cs="Arial"/>
                <w:sz w:val="18"/>
                <w:szCs w:val="18"/>
              </w:rPr>
            </w:pPr>
          </w:p>
        </w:tc>
      </w:tr>
      <w:tr w:rsidR="00CF68C0" w:rsidRPr="00CA26C3" w14:paraId="28CC0D75" w14:textId="77777777" w:rsidTr="00CF68C0">
        <w:tc>
          <w:tcPr>
            <w:tcW w:w="3419" w:type="dxa"/>
            <w:shd w:val="clear" w:color="auto" w:fill="FFFFFF"/>
            <w:tcMar>
              <w:top w:w="80" w:type="dxa"/>
              <w:left w:w="120" w:type="dxa"/>
              <w:bottom w:w="80" w:type="dxa"/>
              <w:right w:w="120" w:type="dxa"/>
            </w:tcMar>
          </w:tcPr>
          <w:p w14:paraId="72E174A1" w14:textId="19AD5C0D" w:rsidR="00CF68C0" w:rsidRPr="00AA2208" w:rsidRDefault="00CF68C0" w:rsidP="00AA2208">
            <w:pPr>
              <w:jc w:val="center"/>
              <w:rPr>
                <w:b/>
                <w:bCs/>
                <w:sz w:val="18"/>
                <w:szCs w:val="18"/>
              </w:rPr>
            </w:pPr>
            <w:r>
              <w:rPr>
                <w:b/>
                <w:bCs/>
                <w:sz w:val="18"/>
                <w:szCs w:val="18"/>
              </w:rPr>
              <w:t xml:space="preserve">Jose de </w:t>
            </w:r>
            <w:proofErr w:type="spellStart"/>
            <w:r>
              <w:rPr>
                <w:b/>
                <w:bCs/>
                <w:sz w:val="18"/>
                <w:szCs w:val="18"/>
              </w:rPr>
              <w:t>jesus</w:t>
            </w:r>
            <w:proofErr w:type="spellEnd"/>
            <w:r>
              <w:rPr>
                <w:b/>
                <w:bCs/>
                <w:sz w:val="18"/>
                <w:szCs w:val="18"/>
              </w:rPr>
              <w:t xml:space="preserve"> Dosal</w:t>
            </w:r>
          </w:p>
        </w:tc>
        <w:tc>
          <w:tcPr>
            <w:tcW w:w="5490" w:type="dxa"/>
            <w:vMerge/>
            <w:shd w:val="clear" w:color="auto" w:fill="FFFFFF"/>
            <w:tcMar>
              <w:top w:w="80" w:type="dxa"/>
              <w:left w:w="120" w:type="dxa"/>
              <w:bottom w:w="80" w:type="dxa"/>
              <w:right w:w="120" w:type="dxa"/>
            </w:tcMar>
            <w:vAlign w:val="center"/>
          </w:tcPr>
          <w:p w14:paraId="4E442B84" w14:textId="77777777" w:rsidR="00CF68C0" w:rsidRPr="00A0607E" w:rsidRDefault="00CF68C0" w:rsidP="00AA2208">
            <w:pPr>
              <w:jc w:val="center"/>
              <w:rPr>
                <w:sz w:val="18"/>
                <w:szCs w:val="18"/>
              </w:rPr>
            </w:pPr>
          </w:p>
        </w:tc>
        <w:tc>
          <w:tcPr>
            <w:tcW w:w="4770" w:type="dxa"/>
            <w:vMerge/>
            <w:shd w:val="clear" w:color="auto" w:fill="FFFFFF"/>
            <w:tcMar>
              <w:top w:w="80" w:type="dxa"/>
              <w:left w:w="120" w:type="dxa"/>
              <w:bottom w:w="80" w:type="dxa"/>
              <w:right w:w="120" w:type="dxa"/>
            </w:tcMar>
            <w:vAlign w:val="center"/>
          </w:tcPr>
          <w:p w14:paraId="28463781" w14:textId="77777777" w:rsidR="00CF68C0" w:rsidRDefault="00CF68C0" w:rsidP="00AA2208">
            <w:pPr>
              <w:pStyle w:val="NormalWeb"/>
              <w:numPr>
                <w:ilvl w:val="0"/>
                <w:numId w:val="6"/>
              </w:numPr>
              <w:ind w:left="349"/>
              <w:rPr>
                <w:rFonts w:ascii="Arial" w:hAnsi="Arial" w:cs="Arial"/>
                <w:sz w:val="18"/>
                <w:szCs w:val="18"/>
              </w:rPr>
            </w:pPr>
          </w:p>
        </w:tc>
      </w:tr>
      <w:tr w:rsidR="00CF68C0" w:rsidRPr="00CA26C3" w14:paraId="583CBEEA" w14:textId="77777777" w:rsidTr="00CF68C0">
        <w:tc>
          <w:tcPr>
            <w:tcW w:w="3419" w:type="dxa"/>
            <w:shd w:val="clear" w:color="auto" w:fill="FFFFFF"/>
            <w:tcMar>
              <w:top w:w="80" w:type="dxa"/>
              <w:left w:w="120" w:type="dxa"/>
              <w:bottom w:w="80" w:type="dxa"/>
              <w:right w:w="120" w:type="dxa"/>
            </w:tcMar>
          </w:tcPr>
          <w:p w14:paraId="5F4ACE30" w14:textId="615B90B3" w:rsidR="00CF68C0" w:rsidRDefault="00CF68C0" w:rsidP="00AA2208">
            <w:pPr>
              <w:jc w:val="center"/>
              <w:rPr>
                <w:b/>
                <w:bCs/>
                <w:sz w:val="18"/>
                <w:szCs w:val="18"/>
              </w:rPr>
            </w:pPr>
            <w:r>
              <w:rPr>
                <w:b/>
                <w:bCs/>
                <w:sz w:val="18"/>
                <w:szCs w:val="18"/>
              </w:rPr>
              <w:t>Rogelio Sanchez</w:t>
            </w:r>
          </w:p>
        </w:tc>
        <w:tc>
          <w:tcPr>
            <w:tcW w:w="5490" w:type="dxa"/>
            <w:vMerge/>
            <w:shd w:val="clear" w:color="auto" w:fill="FFFFFF"/>
            <w:tcMar>
              <w:top w:w="80" w:type="dxa"/>
              <w:left w:w="120" w:type="dxa"/>
              <w:bottom w:w="80" w:type="dxa"/>
              <w:right w:w="120" w:type="dxa"/>
            </w:tcMar>
            <w:vAlign w:val="center"/>
          </w:tcPr>
          <w:p w14:paraId="53D50098" w14:textId="77777777" w:rsidR="00CF68C0" w:rsidRPr="00A0607E" w:rsidRDefault="00CF68C0" w:rsidP="00AA2208">
            <w:pPr>
              <w:jc w:val="center"/>
              <w:rPr>
                <w:sz w:val="18"/>
                <w:szCs w:val="18"/>
              </w:rPr>
            </w:pPr>
          </w:p>
        </w:tc>
        <w:tc>
          <w:tcPr>
            <w:tcW w:w="4770" w:type="dxa"/>
            <w:vMerge/>
            <w:shd w:val="clear" w:color="auto" w:fill="FFFFFF"/>
            <w:tcMar>
              <w:top w:w="80" w:type="dxa"/>
              <w:left w:w="120" w:type="dxa"/>
              <w:bottom w:w="80" w:type="dxa"/>
              <w:right w:w="120" w:type="dxa"/>
            </w:tcMar>
            <w:vAlign w:val="center"/>
          </w:tcPr>
          <w:p w14:paraId="2D84BC68" w14:textId="77777777" w:rsidR="00CF68C0" w:rsidRDefault="00CF68C0" w:rsidP="00AA2208">
            <w:pPr>
              <w:pStyle w:val="NormalWeb"/>
              <w:numPr>
                <w:ilvl w:val="0"/>
                <w:numId w:val="6"/>
              </w:numPr>
              <w:ind w:left="349"/>
              <w:rPr>
                <w:rFonts w:ascii="Arial" w:hAnsi="Arial" w:cs="Arial"/>
                <w:sz w:val="18"/>
                <w:szCs w:val="18"/>
              </w:rPr>
            </w:pPr>
          </w:p>
        </w:tc>
      </w:tr>
      <w:tr w:rsidR="00B15C41" w:rsidRPr="00CA26C3" w14:paraId="6E543B78" w14:textId="77777777" w:rsidTr="00CF68C0">
        <w:tc>
          <w:tcPr>
            <w:tcW w:w="3419" w:type="dxa"/>
            <w:tcMar>
              <w:top w:w="80" w:type="dxa"/>
              <w:left w:w="120" w:type="dxa"/>
              <w:bottom w:w="80" w:type="dxa"/>
              <w:right w:w="120" w:type="dxa"/>
            </w:tcMar>
            <w:vAlign w:val="center"/>
          </w:tcPr>
          <w:p w14:paraId="5C419FE0" w14:textId="0E94AE73" w:rsidR="00B15C41" w:rsidRPr="00A0607E" w:rsidRDefault="00B15C41" w:rsidP="00A0607E">
            <w:pPr>
              <w:jc w:val="center"/>
              <w:rPr>
                <w:color w:val="auto"/>
                <w:sz w:val="18"/>
                <w:szCs w:val="18"/>
              </w:rPr>
            </w:pPr>
            <w:r w:rsidRPr="00A0607E">
              <w:rPr>
                <w:b/>
                <w:bCs/>
                <w:sz w:val="18"/>
                <w:szCs w:val="18"/>
              </w:rPr>
              <w:t>Marco Antonio Reyes</w:t>
            </w:r>
          </w:p>
        </w:tc>
        <w:tc>
          <w:tcPr>
            <w:tcW w:w="5490" w:type="dxa"/>
            <w:tcMar>
              <w:top w:w="80" w:type="dxa"/>
              <w:left w:w="120" w:type="dxa"/>
              <w:bottom w:w="80" w:type="dxa"/>
              <w:right w:w="120" w:type="dxa"/>
            </w:tcMar>
            <w:vAlign w:val="center"/>
          </w:tcPr>
          <w:p w14:paraId="7733BD29" w14:textId="78F52EEA" w:rsidR="00B15C41" w:rsidRPr="00A0607E" w:rsidRDefault="00B15C41" w:rsidP="00A0607E">
            <w:pPr>
              <w:pStyle w:val="NormalWeb"/>
              <w:jc w:val="center"/>
              <w:rPr>
                <w:rFonts w:ascii="Arial" w:hAnsi="Arial" w:cs="Arial"/>
                <w:sz w:val="18"/>
                <w:szCs w:val="18"/>
                <w:lang w:val="es-ES"/>
              </w:rPr>
            </w:pPr>
            <w:r w:rsidRPr="00A0607E">
              <w:rPr>
                <w:rFonts w:ascii="Arial" w:hAnsi="Arial" w:cs="Arial"/>
                <w:sz w:val="18"/>
                <w:szCs w:val="18"/>
                <w:lang w:val="es-ES"/>
              </w:rPr>
              <w:t>IEMARSON S.A. de C.V.</w:t>
            </w:r>
          </w:p>
          <w:p w14:paraId="5C9F3FBF" w14:textId="7115CF99" w:rsidR="00B15C41" w:rsidRPr="00A0607E" w:rsidRDefault="00B15C41" w:rsidP="00A0607E">
            <w:pPr>
              <w:jc w:val="center"/>
              <w:rPr>
                <w:color w:val="auto"/>
                <w:sz w:val="18"/>
                <w:szCs w:val="18"/>
              </w:rPr>
            </w:pPr>
            <w:r w:rsidRPr="00A0607E">
              <w:rPr>
                <w:sz w:val="18"/>
                <w:szCs w:val="18"/>
              </w:rPr>
              <w:t>Crab processor and exporter from Sonora and Sinaloa</w:t>
            </w:r>
          </w:p>
        </w:tc>
        <w:tc>
          <w:tcPr>
            <w:tcW w:w="4770" w:type="dxa"/>
            <w:vMerge w:val="restart"/>
            <w:tcMar>
              <w:top w:w="80" w:type="dxa"/>
              <w:left w:w="120" w:type="dxa"/>
              <w:bottom w:w="80" w:type="dxa"/>
              <w:right w:w="120" w:type="dxa"/>
            </w:tcMar>
            <w:vAlign w:val="center"/>
          </w:tcPr>
          <w:p w14:paraId="3A93107F" w14:textId="3C90EF93" w:rsidR="00B15C41" w:rsidRPr="00A0607E" w:rsidRDefault="00B15C41" w:rsidP="00A0607E">
            <w:pPr>
              <w:pStyle w:val="NormalWeb"/>
              <w:numPr>
                <w:ilvl w:val="0"/>
                <w:numId w:val="7"/>
              </w:numPr>
              <w:ind w:left="349"/>
              <w:rPr>
                <w:rFonts w:ascii="Arial" w:hAnsi="Arial" w:cs="Arial"/>
                <w:sz w:val="18"/>
                <w:szCs w:val="18"/>
              </w:rPr>
            </w:pPr>
            <w:r w:rsidRPr="00A0607E">
              <w:rPr>
                <w:rFonts w:ascii="Arial" w:hAnsi="Arial" w:cs="Arial"/>
                <w:sz w:val="18"/>
                <w:szCs w:val="18"/>
              </w:rPr>
              <w:t>Collaboration, the scope of project</w:t>
            </w:r>
          </w:p>
          <w:p w14:paraId="36EC9BA6" w14:textId="5F9EE12A" w:rsidR="00B15C41" w:rsidRPr="00A0607E" w:rsidRDefault="00B15C41" w:rsidP="00A0607E">
            <w:pPr>
              <w:pStyle w:val="NormalWeb"/>
              <w:numPr>
                <w:ilvl w:val="0"/>
                <w:numId w:val="7"/>
              </w:numPr>
              <w:ind w:left="349"/>
              <w:rPr>
                <w:rFonts w:ascii="Arial" w:hAnsi="Arial" w:cs="Arial"/>
                <w:sz w:val="18"/>
                <w:szCs w:val="18"/>
              </w:rPr>
            </w:pPr>
            <w:r>
              <w:rPr>
                <w:rFonts w:ascii="Arial" w:hAnsi="Arial" w:cs="Arial"/>
                <w:sz w:val="18"/>
                <w:szCs w:val="18"/>
              </w:rPr>
              <w:t>Fishery management</w:t>
            </w:r>
          </w:p>
          <w:p w14:paraId="682C3D1C" w14:textId="77777777" w:rsidR="00B15C41" w:rsidRPr="00B15C41" w:rsidRDefault="00B15C41" w:rsidP="00A0607E">
            <w:pPr>
              <w:pStyle w:val="Prrafodelista"/>
              <w:numPr>
                <w:ilvl w:val="0"/>
                <w:numId w:val="7"/>
              </w:numPr>
              <w:ind w:left="349"/>
              <w:rPr>
                <w:color w:val="auto"/>
                <w:sz w:val="18"/>
                <w:szCs w:val="18"/>
              </w:rPr>
            </w:pPr>
            <w:r w:rsidRPr="00A0607E">
              <w:rPr>
                <w:sz w:val="18"/>
                <w:szCs w:val="18"/>
              </w:rPr>
              <w:t>FIP needs</w:t>
            </w:r>
          </w:p>
          <w:p w14:paraId="645D6763" w14:textId="5EDCF12B" w:rsidR="00B15C41" w:rsidRPr="00A0607E" w:rsidRDefault="00B15C41" w:rsidP="00A0607E">
            <w:pPr>
              <w:pStyle w:val="Prrafodelista"/>
              <w:numPr>
                <w:ilvl w:val="0"/>
                <w:numId w:val="7"/>
              </w:numPr>
              <w:ind w:left="349"/>
              <w:rPr>
                <w:color w:val="auto"/>
                <w:sz w:val="18"/>
                <w:szCs w:val="18"/>
              </w:rPr>
            </w:pPr>
            <w:r>
              <w:rPr>
                <w:color w:val="auto"/>
                <w:sz w:val="18"/>
                <w:szCs w:val="18"/>
              </w:rPr>
              <w:t>Enforcement/compliance</w:t>
            </w:r>
          </w:p>
        </w:tc>
      </w:tr>
      <w:tr w:rsidR="00B15C41" w:rsidRPr="00CA26C3" w14:paraId="6475DFC2" w14:textId="77777777" w:rsidTr="00CF68C0">
        <w:tc>
          <w:tcPr>
            <w:tcW w:w="3419" w:type="dxa"/>
            <w:shd w:val="clear" w:color="auto" w:fill="FFFFFF"/>
            <w:tcMar>
              <w:top w:w="80" w:type="dxa"/>
              <w:left w:w="120" w:type="dxa"/>
              <w:bottom w:w="80" w:type="dxa"/>
              <w:right w:w="120" w:type="dxa"/>
            </w:tcMar>
            <w:vAlign w:val="center"/>
          </w:tcPr>
          <w:p w14:paraId="307A6A1F" w14:textId="4E75E0FB" w:rsidR="00B15C41" w:rsidRPr="00A0607E" w:rsidRDefault="00B15C41" w:rsidP="00A0607E">
            <w:pPr>
              <w:jc w:val="center"/>
              <w:rPr>
                <w:color w:val="auto"/>
                <w:sz w:val="18"/>
                <w:szCs w:val="18"/>
              </w:rPr>
            </w:pPr>
            <w:r w:rsidRPr="00A0607E">
              <w:rPr>
                <w:b/>
                <w:bCs/>
                <w:sz w:val="18"/>
                <w:szCs w:val="18"/>
              </w:rPr>
              <w:t>Mr. Rene Campos</w:t>
            </w:r>
          </w:p>
        </w:tc>
        <w:tc>
          <w:tcPr>
            <w:tcW w:w="5490" w:type="dxa"/>
            <w:shd w:val="clear" w:color="auto" w:fill="FFFFFF"/>
            <w:tcMar>
              <w:top w:w="80" w:type="dxa"/>
              <w:left w:w="120" w:type="dxa"/>
              <w:bottom w:w="80" w:type="dxa"/>
              <w:right w:w="120" w:type="dxa"/>
            </w:tcMar>
            <w:vAlign w:val="center"/>
          </w:tcPr>
          <w:p w14:paraId="6610A90E" w14:textId="1B44D84D" w:rsidR="00B15C41" w:rsidRPr="00A0607E" w:rsidRDefault="00B15C41" w:rsidP="00A0607E">
            <w:pPr>
              <w:pStyle w:val="NormalWeb"/>
              <w:jc w:val="center"/>
              <w:rPr>
                <w:rFonts w:ascii="Arial" w:hAnsi="Arial" w:cs="Arial"/>
                <w:sz w:val="18"/>
                <w:szCs w:val="18"/>
              </w:rPr>
            </w:pPr>
            <w:r w:rsidRPr="00A0607E">
              <w:rPr>
                <w:rFonts w:ascii="Arial" w:hAnsi="Arial" w:cs="Arial"/>
                <w:sz w:val="18"/>
                <w:szCs w:val="18"/>
              </w:rPr>
              <w:t>Pro-commerce Inc.</w:t>
            </w:r>
          </w:p>
          <w:p w14:paraId="634606F1" w14:textId="3B2AB0A7" w:rsidR="00B15C41" w:rsidRPr="00A0607E" w:rsidRDefault="00B15C41" w:rsidP="00A0607E">
            <w:pPr>
              <w:jc w:val="center"/>
              <w:rPr>
                <w:color w:val="auto"/>
                <w:sz w:val="18"/>
                <w:szCs w:val="18"/>
              </w:rPr>
            </w:pPr>
            <w:r w:rsidRPr="00A0607E">
              <w:rPr>
                <w:sz w:val="18"/>
                <w:szCs w:val="18"/>
              </w:rPr>
              <w:t>Crab processor and exporter from Sonora and Sinaloa</w:t>
            </w:r>
          </w:p>
        </w:tc>
        <w:tc>
          <w:tcPr>
            <w:tcW w:w="4770" w:type="dxa"/>
            <w:vMerge/>
            <w:shd w:val="clear" w:color="auto" w:fill="FFFFFF"/>
            <w:tcMar>
              <w:top w:w="80" w:type="dxa"/>
              <w:left w:w="120" w:type="dxa"/>
              <w:bottom w:w="80" w:type="dxa"/>
              <w:right w:w="120" w:type="dxa"/>
            </w:tcMar>
            <w:vAlign w:val="center"/>
          </w:tcPr>
          <w:p w14:paraId="10854A08" w14:textId="6D30F5E0" w:rsidR="00B15C41" w:rsidRPr="00B15C41" w:rsidRDefault="00B15C41" w:rsidP="00B15C41">
            <w:pPr>
              <w:rPr>
                <w:color w:val="auto"/>
                <w:sz w:val="18"/>
                <w:szCs w:val="18"/>
              </w:rPr>
            </w:pPr>
          </w:p>
        </w:tc>
      </w:tr>
      <w:tr w:rsidR="00B15C41" w:rsidRPr="00CA26C3" w14:paraId="17504530" w14:textId="77777777" w:rsidTr="00CF68C0">
        <w:tc>
          <w:tcPr>
            <w:tcW w:w="3419" w:type="dxa"/>
            <w:shd w:val="clear" w:color="auto" w:fill="FFFFFF"/>
            <w:tcMar>
              <w:top w:w="80" w:type="dxa"/>
              <w:left w:w="120" w:type="dxa"/>
              <w:bottom w:w="80" w:type="dxa"/>
              <w:right w:w="120" w:type="dxa"/>
            </w:tcMar>
            <w:vAlign w:val="center"/>
          </w:tcPr>
          <w:p w14:paraId="1FF71C4B" w14:textId="5D061459" w:rsidR="00B15C41" w:rsidRPr="00A0607E" w:rsidRDefault="00B15C41" w:rsidP="00A0607E">
            <w:pPr>
              <w:jc w:val="center"/>
              <w:rPr>
                <w:color w:val="auto"/>
                <w:sz w:val="18"/>
                <w:szCs w:val="18"/>
              </w:rPr>
            </w:pPr>
            <w:r w:rsidRPr="00A0607E">
              <w:rPr>
                <w:b/>
                <w:bCs/>
                <w:sz w:val="18"/>
                <w:szCs w:val="18"/>
              </w:rPr>
              <w:t>Yesica Hernandez</w:t>
            </w:r>
          </w:p>
        </w:tc>
        <w:tc>
          <w:tcPr>
            <w:tcW w:w="5490" w:type="dxa"/>
            <w:shd w:val="clear" w:color="auto" w:fill="FFFFFF"/>
            <w:tcMar>
              <w:top w:w="80" w:type="dxa"/>
              <w:left w:w="120" w:type="dxa"/>
              <w:bottom w:w="80" w:type="dxa"/>
              <w:right w:w="120" w:type="dxa"/>
            </w:tcMar>
            <w:vAlign w:val="center"/>
          </w:tcPr>
          <w:p w14:paraId="23F538E6" w14:textId="4D4776CB" w:rsidR="00B15C41" w:rsidRPr="00A0607E" w:rsidRDefault="00B15C41" w:rsidP="00A0607E">
            <w:pPr>
              <w:pStyle w:val="NormalWeb"/>
              <w:jc w:val="center"/>
              <w:rPr>
                <w:rFonts w:ascii="Arial" w:hAnsi="Arial" w:cs="Arial"/>
                <w:sz w:val="18"/>
                <w:szCs w:val="18"/>
              </w:rPr>
            </w:pPr>
            <w:r w:rsidRPr="00A0607E">
              <w:rPr>
                <w:rFonts w:ascii="Arial" w:hAnsi="Arial" w:cs="Arial"/>
                <w:sz w:val="18"/>
                <w:szCs w:val="18"/>
              </w:rPr>
              <w:t>Alimentos del Mar</w:t>
            </w:r>
          </w:p>
          <w:p w14:paraId="66052D21" w14:textId="49A52921" w:rsidR="00B15C41" w:rsidRPr="00A0607E" w:rsidRDefault="00B15C41" w:rsidP="00A0607E">
            <w:pPr>
              <w:jc w:val="center"/>
              <w:rPr>
                <w:color w:val="auto"/>
                <w:sz w:val="18"/>
                <w:szCs w:val="18"/>
              </w:rPr>
            </w:pPr>
            <w:r w:rsidRPr="00A0607E">
              <w:rPr>
                <w:sz w:val="18"/>
                <w:szCs w:val="18"/>
              </w:rPr>
              <w:t>Crab meat processor and exporter from Sonora and Sinaloa</w:t>
            </w:r>
          </w:p>
        </w:tc>
        <w:tc>
          <w:tcPr>
            <w:tcW w:w="4770" w:type="dxa"/>
            <w:vMerge/>
            <w:shd w:val="clear" w:color="auto" w:fill="FFFFFF"/>
            <w:tcMar>
              <w:top w:w="80" w:type="dxa"/>
              <w:left w:w="120" w:type="dxa"/>
              <w:bottom w:w="80" w:type="dxa"/>
              <w:right w:w="120" w:type="dxa"/>
            </w:tcMar>
            <w:vAlign w:val="center"/>
          </w:tcPr>
          <w:p w14:paraId="6FA13A8E" w14:textId="007EA434" w:rsidR="00B15C41" w:rsidRPr="00B15C41" w:rsidRDefault="00B15C41" w:rsidP="00B15C41">
            <w:pPr>
              <w:rPr>
                <w:color w:val="auto"/>
                <w:sz w:val="18"/>
                <w:szCs w:val="18"/>
              </w:rPr>
            </w:pPr>
          </w:p>
        </w:tc>
      </w:tr>
    </w:tbl>
    <w:p w14:paraId="2BC7BEF8" w14:textId="77777777" w:rsidR="00CA26C3" w:rsidRPr="00CA26C3" w:rsidRDefault="00CA26C3">
      <w:pPr>
        <w:spacing w:before="100" w:after="100"/>
        <w:rPr>
          <w:color w:val="auto"/>
        </w:rPr>
      </w:pPr>
    </w:p>
    <w:p w14:paraId="0D94A8E3" w14:textId="77777777" w:rsidR="00CF68C0" w:rsidRDefault="00CF68C0">
      <w:pPr>
        <w:pBdr>
          <w:bottom w:val="single" w:sz="6" w:space="1" w:color="2E75B6"/>
        </w:pBdr>
        <w:spacing w:before="200" w:after="80"/>
        <w:rPr>
          <w:b/>
          <w:bCs/>
          <w:color w:val="000000" w:themeColor="text1"/>
          <w:sz w:val="24"/>
          <w:szCs w:val="24"/>
        </w:rPr>
      </w:pPr>
      <w:r>
        <w:rPr>
          <w:b/>
          <w:bCs/>
          <w:color w:val="000000" w:themeColor="text1"/>
          <w:sz w:val="24"/>
          <w:szCs w:val="24"/>
        </w:rPr>
        <w:br w:type="page"/>
      </w:r>
    </w:p>
    <w:p w14:paraId="7C2E49B4" w14:textId="45E8C32E" w:rsidR="00695D3F" w:rsidRPr="00D820A1" w:rsidRDefault="00000000">
      <w:pPr>
        <w:pBdr>
          <w:bottom w:val="single" w:sz="6" w:space="1" w:color="2E75B6"/>
        </w:pBdr>
        <w:spacing w:before="200" w:after="80"/>
        <w:rPr>
          <w:color w:val="000000" w:themeColor="text1"/>
        </w:rPr>
      </w:pPr>
      <w:r w:rsidRPr="00D820A1">
        <w:rPr>
          <w:b/>
          <w:bCs/>
          <w:color w:val="000000" w:themeColor="text1"/>
          <w:sz w:val="24"/>
          <w:szCs w:val="24"/>
        </w:rPr>
        <w:lastRenderedPageBreak/>
        <w:t>Summary of Findings</w:t>
      </w:r>
    </w:p>
    <w:p w14:paraId="0962CFD6" w14:textId="42360F45" w:rsidR="00695D3F" w:rsidRPr="00D820A1" w:rsidRDefault="00000000">
      <w:pPr>
        <w:pStyle w:val="Ttulo2"/>
        <w:rPr>
          <w:color w:val="000000" w:themeColor="text1"/>
        </w:rPr>
      </w:pPr>
      <w:r w:rsidRPr="00D820A1">
        <w:rPr>
          <w:color w:val="000000" w:themeColor="text1"/>
        </w:rPr>
        <w:t xml:space="preserve">Principle 1 </w:t>
      </w:r>
    </w:p>
    <w:p w14:paraId="2ECBFA8B" w14:textId="4FE74DFA" w:rsidR="00695D3F" w:rsidRPr="00D820A1" w:rsidRDefault="00000000">
      <w:pPr>
        <w:spacing w:before="100" w:after="100"/>
        <w:rPr>
          <w:color w:val="000000" w:themeColor="text1"/>
        </w:rPr>
      </w:pPr>
      <w:r w:rsidRPr="00D820A1">
        <w:rPr>
          <w:color w:val="000000" w:themeColor="text1"/>
        </w:rPr>
        <w:t>The most recent assessments (Balmori-Ramirez et al., 2024; IMIPAS, 2024a, 2024b) us</w:t>
      </w:r>
      <w:r w:rsidR="00882C85" w:rsidRPr="00D820A1">
        <w:rPr>
          <w:color w:val="000000" w:themeColor="text1"/>
        </w:rPr>
        <w:t>ed the</w:t>
      </w:r>
      <w:r w:rsidRPr="00D820A1">
        <w:rPr>
          <w:color w:val="000000" w:themeColor="text1"/>
        </w:rPr>
        <w:t xml:space="preserve"> Catch-MSY, CMSY/BSM, and dynamic biomass (C-MSY) models for </w:t>
      </w:r>
      <w:r w:rsidRPr="00D820A1">
        <w:rPr>
          <w:i/>
          <w:iCs/>
          <w:color w:val="000000" w:themeColor="text1"/>
        </w:rPr>
        <w:t>C. bellicosus and C. arcuatus</w:t>
      </w:r>
      <w:r w:rsidRPr="00D820A1">
        <w:rPr>
          <w:color w:val="000000" w:themeColor="text1"/>
        </w:rPr>
        <w:t xml:space="preserve"> estimate B/BMSY ≈ 1.0 and F/FMSY ≤ 1.0 for the most recent years (2021–2022), indicating both stocks are fluctuating around MSY and not currently overfished. Total UoA landings reached 37,976 mt in 2023 (up from 31,148 mt in 2022), the highest on record. FIP Action 1 (harvest strategy and stock assessment) achieved its core scientific deliverable with the 2024 updated reference point report.</w:t>
      </w:r>
    </w:p>
    <w:p w14:paraId="62576A01" w14:textId="77EDDF3F" w:rsidR="00695D3F" w:rsidRPr="00D820A1" w:rsidRDefault="00000000">
      <w:pPr>
        <w:spacing w:before="100" w:after="100"/>
        <w:rPr>
          <w:color w:val="000000" w:themeColor="text1"/>
        </w:rPr>
      </w:pPr>
      <w:r w:rsidRPr="00D820A1">
        <w:rPr>
          <w:color w:val="000000" w:themeColor="text1"/>
        </w:rPr>
        <w:t>Weaknesses identified include</w:t>
      </w:r>
      <w:r w:rsidR="00882C85" w:rsidRPr="00D820A1">
        <w:rPr>
          <w:color w:val="000000" w:themeColor="text1"/>
        </w:rPr>
        <w:t xml:space="preserve"> </w:t>
      </w:r>
      <w:r w:rsidR="00AA6C79">
        <w:rPr>
          <w:color w:val="000000" w:themeColor="text1"/>
        </w:rPr>
        <w:t>the lack of formal adoption of reference points into regulatory management; the absence of fishery-independent abundance indices; unresolved metapopulation/spatial uncertainties; and the lack of independent external peer review in the 2024 assessments.</w:t>
      </w:r>
      <w:r w:rsidRPr="00D820A1">
        <w:rPr>
          <w:color w:val="000000" w:themeColor="text1"/>
        </w:rPr>
        <w:t xml:space="preserve"> Harvest Control Rules (HCRs) remain conceptual and generic — not expressed as pre-agreed if-then decision rules with explicit triggers. These gaps keep PI 1.2.1 (Harvest Strategy) and PI 1.2.2 (HCRs) in the 60–79 range.</w:t>
      </w:r>
    </w:p>
    <w:p w14:paraId="4E8A9B74" w14:textId="2EF4A2EF" w:rsidR="00695D3F" w:rsidRPr="00D820A1" w:rsidRDefault="00000000">
      <w:pPr>
        <w:pStyle w:val="Ttulo2"/>
        <w:rPr>
          <w:color w:val="000000" w:themeColor="text1"/>
        </w:rPr>
      </w:pPr>
      <w:r w:rsidRPr="00D820A1">
        <w:rPr>
          <w:color w:val="000000" w:themeColor="text1"/>
        </w:rPr>
        <w:t xml:space="preserve">Principle 2 </w:t>
      </w:r>
    </w:p>
    <w:p w14:paraId="367A8AFB" w14:textId="311DF8A1" w:rsidR="00695D3F" w:rsidRPr="00D820A1" w:rsidRDefault="00000000">
      <w:pPr>
        <w:spacing w:before="100" w:after="100"/>
        <w:rPr>
          <w:color w:val="000000" w:themeColor="text1"/>
        </w:rPr>
      </w:pPr>
      <w:r w:rsidRPr="00D820A1">
        <w:rPr>
          <w:color w:val="000000" w:themeColor="text1"/>
        </w:rPr>
        <w:t>The gears (traps and rings) remain inherently low-impact. Chinese pink snail (</w:t>
      </w:r>
      <w:r w:rsidRPr="00D820A1">
        <w:rPr>
          <w:i/>
          <w:iCs/>
          <w:color w:val="000000" w:themeColor="text1"/>
        </w:rPr>
        <w:t>Phyllonotus erythrostomus</w:t>
      </w:r>
      <w:r w:rsidRPr="00D820A1">
        <w:rPr>
          <w:color w:val="000000" w:themeColor="text1"/>
        </w:rPr>
        <w:t xml:space="preserve">) is confirmed as the main primary species, </w:t>
      </w:r>
      <w:r w:rsidR="00882C85" w:rsidRPr="00D820A1">
        <w:rPr>
          <w:color w:val="000000" w:themeColor="text1"/>
        </w:rPr>
        <w:t>and</w:t>
      </w:r>
      <w:r w:rsidRPr="00D820A1">
        <w:rPr>
          <w:color w:val="000000" w:themeColor="text1"/>
        </w:rPr>
        <w:t xml:space="preserve"> a 2025 FIP stock analysis </w:t>
      </w:r>
      <w:r w:rsidR="00882C85" w:rsidRPr="00D820A1">
        <w:rPr>
          <w:color w:val="000000" w:themeColor="text1"/>
        </w:rPr>
        <w:t xml:space="preserve">developed by </w:t>
      </w:r>
      <w:r w:rsidRPr="00D820A1">
        <w:rPr>
          <w:color w:val="000000" w:themeColor="text1"/>
        </w:rPr>
        <w:t>Morales-Azpeitia</w:t>
      </w:r>
      <w:r w:rsidR="00882C85" w:rsidRPr="00D820A1">
        <w:rPr>
          <w:color w:val="000000" w:themeColor="text1"/>
        </w:rPr>
        <w:t xml:space="preserve"> (</w:t>
      </w:r>
      <w:r w:rsidRPr="00D820A1">
        <w:rPr>
          <w:color w:val="000000" w:themeColor="text1"/>
        </w:rPr>
        <w:t>2025) f</w:t>
      </w:r>
      <w:r w:rsidR="00882C85" w:rsidRPr="00D820A1">
        <w:rPr>
          <w:color w:val="000000" w:themeColor="text1"/>
        </w:rPr>
        <w:t>ound</w:t>
      </w:r>
      <w:r w:rsidRPr="00D820A1">
        <w:rPr>
          <w:color w:val="000000" w:themeColor="text1"/>
        </w:rPr>
        <w:t xml:space="preserve"> biomass above MSY and F below FMSY, supporting an SG80 score for PI 2.1.1. </w:t>
      </w:r>
    </w:p>
    <w:p w14:paraId="163290DC" w14:textId="6E494363" w:rsidR="00695D3F" w:rsidRPr="00D820A1" w:rsidRDefault="00882C85">
      <w:pPr>
        <w:spacing w:before="100" w:after="100"/>
        <w:rPr>
          <w:color w:val="000000" w:themeColor="text1"/>
        </w:rPr>
      </w:pPr>
      <w:r w:rsidRPr="00D820A1">
        <w:rPr>
          <w:color w:val="000000" w:themeColor="text1"/>
        </w:rPr>
        <w:t xml:space="preserve">Overall, systematic bycatch monitoring across the full UoA has not been restored; monitoring and information </w:t>
      </w:r>
      <w:r w:rsidR="002424F3">
        <w:rPr>
          <w:color w:val="000000" w:themeColor="text1"/>
        </w:rPr>
        <w:t xml:space="preserve">on ghost-fishing </w:t>
      </w:r>
      <w:r w:rsidRPr="00D820A1">
        <w:rPr>
          <w:color w:val="000000" w:themeColor="text1"/>
        </w:rPr>
        <w:t>remain unclear. Finally, habitat-impact information is insufficient to demonstrate compliance with habitat management, and ecosystem information (e.g., trophic models, species’ ecosystem roles) remains lacking. These gaps drive scores of 60–79 for PIs 2.3.2, 2.3.3, 2.4.2, 2.4.3, and 2.5.3.</w:t>
      </w:r>
    </w:p>
    <w:p w14:paraId="2CEBFAF3" w14:textId="7A1B6EA2" w:rsidR="00695D3F" w:rsidRPr="00D820A1" w:rsidRDefault="00000000">
      <w:pPr>
        <w:pStyle w:val="Ttulo2"/>
        <w:rPr>
          <w:color w:val="000000" w:themeColor="text1"/>
        </w:rPr>
      </w:pPr>
      <w:r w:rsidRPr="00D820A1">
        <w:rPr>
          <w:color w:val="000000" w:themeColor="text1"/>
        </w:rPr>
        <w:t xml:space="preserve">Principle 3 </w:t>
      </w:r>
    </w:p>
    <w:p w14:paraId="74070A80" w14:textId="6DB5A0B8" w:rsidR="00695D3F" w:rsidRPr="00D820A1" w:rsidRDefault="00000000">
      <w:pPr>
        <w:spacing w:before="100" w:after="100"/>
        <w:rPr>
          <w:color w:val="000000" w:themeColor="text1"/>
        </w:rPr>
      </w:pPr>
      <w:r w:rsidRPr="00D820A1">
        <w:rPr>
          <w:color w:val="000000" w:themeColor="text1"/>
        </w:rPr>
        <w:t xml:space="preserve">The legal and institutional framework (LGPAS, NOM-039-PESC-2003, CNP, FMP) remains robust and scores ≥80 across PIs 3.1.1–3.1.3 and 3.2.1–3.2.2, 3.2.4. The establishment of </w:t>
      </w:r>
      <w:r w:rsidR="00882C85" w:rsidRPr="00D820A1">
        <w:rPr>
          <w:color w:val="000000" w:themeColor="text1"/>
        </w:rPr>
        <w:t>Management Consultive Committees (</w:t>
      </w:r>
      <w:proofErr w:type="spellStart"/>
      <w:r w:rsidRPr="00D820A1">
        <w:rPr>
          <w:color w:val="000000" w:themeColor="text1"/>
        </w:rPr>
        <w:t>Comités</w:t>
      </w:r>
      <w:proofErr w:type="spellEnd"/>
      <w:r w:rsidRPr="00D820A1">
        <w:rPr>
          <w:color w:val="000000" w:themeColor="text1"/>
        </w:rPr>
        <w:t xml:space="preserve"> </w:t>
      </w:r>
      <w:proofErr w:type="spellStart"/>
      <w:r w:rsidRPr="00D820A1">
        <w:rPr>
          <w:color w:val="000000" w:themeColor="text1"/>
        </w:rPr>
        <w:t>Consultivos</w:t>
      </w:r>
      <w:proofErr w:type="spellEnd"/>
      <w:r w:rsidRPr="00D820A1">
        <w:rPr>
          <w:color w:val="000000" w:themeColor="text1"/>
        </w:rPr>
        <w:t xml:space="preserve"> de </w:t>
      </w:r>
      <w:proofErr w:type="spellStart"/>
      <w:r w:rsidRPr="00D820A1">
        <w:rPr>
          <w:color w:val="000000" w:themeColor="text1"/>
        </w:rPr>
        <w:t>Manejo</w:t>
      </w:r>
      <w:proofErr w:type="spellEnd"/>
      <w:r w:rsidR="00882C85" w:rsidRPr="00D820A1">
        <w:rPr>
          <w:color w:val="000000" w:themeColor="text1"/>
        </w:rPr>
        <w:t>)</w:t>
      </w:r>
      <w:r w:rsidRPr="00D820A1">
        <w:rPr>
          <w:color w:val="000000" w:themeColor="text1"/>
        </w:rPr>
        <w:t xml:space="preserve"> significantly strengthens consultation, roles, and responsibilities (PI 3.1.2).</w:t>
      </w:r>
    </w:p>
    <w:p w14:paraId="1BC7D560" w14:textId="7E87B89A" w:rsidR="009D7157" w:rsidRPr="00D820A1" w:rsidRDefault="00000000" w:rsidP="00EC3E28">
      <w:pPr>
        <w:spacing w:before="100" w:after="100"/>
        <w:rPr>
          <w:color w:val="000000" w:themeColor="text1"/>
        </w:rPr>
      </w:pPr>
      <w:r w:rsidRPr="00D820A1">
        <w:rPr>
          <w:color w:val="000000" w:themeColor="text1"/>
        </w:rPr>
        <w:t xml:space="preserve">The critical weakness </w:t>
      </w:r>
      <w:r w:rsidR="002424F3">
        <w:rPr>
          <w:color w:val="000000" w:themeColor="text1"/>
        </w:rPr>
        <w:t>refers</w:t>
      </w:r>
      <w:r w:rsidR="00882C85" w:rsidRPr="00D820A1">
        <w:rPr>
          <w:color w:val="000000" w:themeColor="text1"/>
        </w:rPr>
        <w:t xml:space="preserve"> to</w:t>
      </w:r>
      <w:r w:rsidRPr="00D820A1">
        <w:rPr>
          <w:color w:val="000000" w:themeColor="text1"/>
        </w:rPr>
        <w:t xml:space="preserve"> compliance and enforcement (PI 3.2.3, scored &lt;60). </w:t>
      </w:r>
      <w:r w:rsidR="00882C85" w:rsidRPr="00D820A1">
        <w:rPr>
          <w:color w:val="000000" w:themeColor="text1"/>
        </w:rPr>
        <w:t>During the most recent evaluation (SCS 2025)</w:t>
      </w:r>
      <w:r w:rsidR="002424F3">
        <w:rPr>
          <w:color w:val="000000" w:themeColor="text1"/>
        </w:rPr>
        <w:t>,</w:t>
      </w:r>
      <w:r w:rsidRPr="00D820A1">
        <w:rPr>
          <w:color w:val="000000" w:themeColor="text1"/>
        </w:rPr>
        <w:t xml:space="preserve"> </w:t>
      </w:r>
      <w:r w:rsidR="002424F3">
        <w:rPr>
          <w:color w:val="000000" w:themeColor="text1"/>
        </w:rPr>
        <w:t xml:space="preserve">the authors reported </w:t>
      </w:r>
      <w:r w:rsidRPr="00D820A1">
        <w:rPr>
          <w:color w:val="000000" w:themeColor="text1"/>
        </w:rPr>
        <w:t>strong evidence of systematic non-compliance</w:t>
      </w:r>
      <w:r w:rsidR="00882C85" w:rsidRPr="00D820A1">
        <w:rPr>
          <w:color w:val="000000" w:themeColor="text1"/>
        </w:rPr>
        <w:t>. W</w:t>
      </w:r>
      <w:r w:rsidR="00722ED3" w:rsidRPr="00D820A1">
        <w:rPr>
          <w:color w:val="000000" w:themeColor="text1"/>
        </w:rPr>
        <w:t>ith reports of</w:t>
      </w:r>
      <w:r w:rsidRPr="00D820A1">
        <w:rPr>
          <w:color w:val="000000" w:themeColor="text1"/>
        </w:rPr>
        <w:t xml:space="preserve"> fishing during closures, landing of undersized crabs, and exceeding authorized trap limits</w:t>
      </w:r>
      <w:r w:rsidR="00722ED3" w:rsidRPr="00D820A1">
        <w:rPr>
          <w:color w:val="000000" w:themeColor="text1"/>
        </w:rPr>
        <w:t xml:space="preserve"> (ibid)</w:t>
      </w:r>
      <w:r w:rsidRPr="00D820A1">
        <w:rPr>
          <w:color w:val="000000" w:themeColor="text1"/>
        </w:rPr>
        <w:t xml:space="preserve">. Government officials reported </w:t>
      </w:r>
      <w:r w:rsidR="00722ED3" w:rsidRPr="00D820A1">
        <w:rPr>
          <w:color w:val="000000" w:themeColor="text1"/>
        </w:rPr>
        <w:t xml:space="preserve">that </w:t>
      </w:r>
      <w:r w:rsidRPr="00D820A1">
        <w:rPr>
          <w:color w:val="000000" w:themeColor="text1"/>
        </w:rPr>
        <w:t xml:space="preserve">current production </w:t>
      </w:r>
      <w:r w:rsidR="00722ED3" w:rsidRPr="00D820A1">
        <w:rPr>
          <w:color w:val="000000" w:themeColor="text1"/>
        </w:rPr>
        <w:t>is</w:t>
      </w:r>
      <w:r w:rsidRPr="00D820A1">
        <w:rPr>
          <w:color w:val="000000" w:themeColor="text1"/>
        </w:rPr>
        <w:t xml:space="preserve"> approximately 60% of historical levels</w:t>
      </w:r>
      <w:r w:rsidR="00722ED3" w:rsidRPr="00D820A1">
        <w:rPr>
          <w:color w:val="000000" w:themeColor="text1"/>
        </w:rPr>
        <w:t>,</w:t>
      </w:r>
      <w:r w:rsidRPr="00D820A1">
        <w:rPr>
          <w:color w:val="000000" w:themeColor="text1"/>
        </w:rPr>
        <w:t xml:space="preserve"> due in part to widespread IUU fishing</w:t>
      </w:r>
      <w:r w:rsidR="00722ED3" w:rsidRPr="00D820A1">
        <w:rPr>
          <w:color w:val="000000" w:themeColor="text1"/>
        </w:rPr>
        <w:t xml:space="preserve"> (SCS 2025)</w:t>
      </w:r>
      <w:r w:rsidRPr="00D820A1">
        <w:rPr>
          <w:color w:val="000000" w:themeColor="text1"/>
        </w:rPr>
        <w:t>. CONAPESCA enforcement data for Sinaloa (January 2024–September 2025) show</w:t>
      </w:r>
      <w:r w:rsidR="00722ED3" w:rsidRPr="00D820A1">
        <w:rPr>
          <w:color w:val="000000" w:themeColor="text1"/>
        </w:rPr>
        <w:t>&gt;</w:t>
      </w:r>
      <w:r w:rsidRPr="00D820A1">
        <w:rPr>
          <w:color w:val="000000" w:themeColor="text1"/>
        </w:rPr>
        <w:t>8</w:t>
      </w:r>
      <w:r w:rsidR="00722ED3" w:rsidRPr="00D820A1">
        <w:rPr>
          <w:color w:val="000000" w:themeColor="text1"/>
        </w:rPr>
        <w:t>00</w:t>
      </w:r>
      <w:r w:rsidRPr="00D820A1">
        <w:rPr>
          <w:color w:val="000000" w:themeColor="text1"/>
        </w:rPr>
        <w:t xml:space="preserve"> aquatic patrols and 705 inspection reports</w:t>
      </w:r>
      <w:r w:rsidR="002424F3">
        <w:rPr>
          <w:color w:val="000000" w:themeColor="text1"/>
        </w:rPr>
        <w:t xml:space="preserve">, </w:t>
      </w:r>
      <w:r w:rsidR="00722ED3" w:rsidRPr="00D820A1">
        <w:rPr>
          <w:color w:val="000000" w:themeColor="text1"/>
        </w:rPr>
        <w:t>crab</w:t>
      </w:r>
      <w:r w:rsidRPr="00D820A1">
        <w:rPr>
          <w:color w:val="000000" w:themeColor="text1"/>
        </w:rPr>
        <w:t>-specific compliance data are absent</w:t>
      </w:r>
      <w:r w:rsidR="00722ED3" w:rsidRPr="00D820A1">
        <w:rPr>
          <w:color w:val="000000" w:themeColor="text1"/>
        </w:rPr>
        <w:t>,</w:t>
      </w:r>
      <w:r w:rsidRPr="00D820A1">
        <w:rPr>
          <w:color w:val="000000" w:themeColor="text1"/>
        </w:rPr>
        <w:t xml:space="preserve"> and discrepancies between fishers' and officials' accounts prevent an SG80 determination</w:t>
      </w:r>
      <w:r w:rsidR="002424F3">
        <w:rPr>
          <w:color w:val="000000" w:themeColor="text1"/>
        </w:rPr>
        <w:t>, but a score of 60-79 was granted.</w:t>
      </w:r>
    </w:p>
    <w:p w14:paraId="7C78F373" w14:textId="46413F4E" w:rsidR="00695D3F" w:rsidRPr="00D820A1" w:rsidRDefault="00000000">
      <w:pPr>
        <w:pStyle w:val="Ttulo2"/>
        <w:rPr>
          <w:color w:val="000000" w:themeColor="text1"/>
        </w:rPr>
      </w:pPr>
      <w:r w:rsidRPr="00D820A1">
        <w:rPr>
          <w:color w:val="000000" w:themeColor="text1"/>
        </w:rPr>
        <w:t xml:space="preserve">Workplan </w:t>
      </w:r>
      <w:r w:rsidR="00CA26C3" w:rsidRPr="00D820A1">
        <w:rPr>
          <w:color w:val="000000" w:themeColor="text1"/>
        </w:rPr>
        <w:t>p</w:t>
      </w:r>
      <w:r w:rsidRPr="00D820A1">
        <w:rPr>
          <w:color w:val="000000" w:themeColor="text1"/>
        </w:rPr>
        <w:t xml:space="preserve">rogress </w:t>
      </w:r>
    </w:p>
    <w:p w14:paraId="1B6F48BD" w14:textId="14F1A746" w:rsidR="00722ED3" w:rsidRPr="00D820A1" w:rsidRDefault="00000000">
      <w:pPr>
        <w:spacing w:before="100" w:after="100"/>
        <w:rPr>
          <w:b/>
          <w:bCs/>
          <w:color w:val="000000" w:themeColor="text1"/>
        </w:rPr>
      </w:pPr>
      <w:r w:rsidRPr="00D820A1">
        <w:rPr>
          <w:b/>
          <w:bCs/>
          <w:color w:val="000000" w:themeColor="text1"/>
        </w:rPr>
        <w:t>Action 1</w:t>
      </w:r>
      <w:r w:rsidR="00722ED3" w:rsidRPr="00D820A1">
        <w:rPr>
          <w:b/>
          <w:bCs/>
          <w:color w:val="000000" w:themeColor="text1"/>
        </w:rPr>
        <w:t xml:space="preserve">: </w:t>
      </w:r>
      <w:r w:rsidRPr="00D820A1">
        <w:rPr>
          <w:b/>
          <w:bCs/>
          <w:color w:val="000000" w:themeColor="text1"/>
        </w:rPr>
        <w:t xml:space="preserve">Harvest </w:t>
      </w:r>
      <w:r w:rsidR="00722ED3" w:rsidRPr="00D820A1">
        <w:rPr>
          <w:b/>
          <w:bCs/>
          <w:color w:val="000000" w:themeColor="text1"/>
        </w:rPr>
        <w:t>s</w:t>
      </w:r>
      <w:r w:rsidRPr="00D820A1">
        <w:rPr>
          <w:b/>
          <w:bCs/>
          <w:color w:val="000000" w:themeColor="text1"/>
        </w:rPr>
        <w:t>trategy</w:t>
      </w:r>
    </w:p>
    <w:p w14:paraId="47206AA1" w14:textId="14AFF5EC" w:rsidR="00695D3F" w:rsidRPr="00D820A1" w:rsidRDefault="00000000">
      <w:pPr>
        <w:spacing w:before="100" w:after="100"/>
        <w:rPr>
          <w:color w:val="000000" w:themeColor="text1"/>
        </w:rPr>
      </w:pPr>
      <w:r w:rsidRPr="00D820A1">
        <w:rPr>
          <w:color w:val="000000" w:themeColor="text1"/>
        </w:rPr>
        <w:t>The core stock assessment deliverable was completed (Rivera-Parra et al., 2022</w:t>
      </w:r>
      <w:r w:rsidR="00722ED3" w:rsidRPr="00D820A1">
        <w:rPr>
          <w:color w:val="000000" w:themeColor="text1"/>
        </w:rPr>
        <w:t>,</w:t>
      </w:r>
      <w:r w:rsidRPr="00D820A1">
        <w:rPr>
          <w:color w:val="000000" w:themeColor="text1"/>
        </w:rPr>
        <w:t xml:space="preserve"> peer-reviewed publication; Balmori-Ramirez et al., 2024 update). Tasks 1.1–1.4 are substantially complete. Tasks 1.5–1.7 (formal HCR definition, integration into management, stakeholder promotion) remain pending and require continued effort beyond the 2025 workplan timeline.</w:t>
      </w:r>
    </w:p>
    <w:p w14:paraId="2A10C960" w14:textId="77777777" w:rsidR="00CF68C0" w:rsidRDefault="00CF68C0">
      <w:pPr>
        <w:spacing w:before="100" w:after="100"/>
        <w:rPr>
          <w:b/>
          <w:bCs/>
          <w:color w:val="000000" w:themeColor="text1"/>
        </w:rPr>
      </w:pPr>
    </w:p>
    <w:p w14:paraId="5D072F03" w14:textId="77777777" w:rsidR="00CF68C0" w:rsidRDefault="00CF68C0">
      <w:pPr>
        <w:spacing w:before="100" w:after="100"/>
        <w:rPr>
          <w:b/>
          <w:bCs/>
          <w:color w:val="000000" w:themeColor="text1"/>
        </w:rPr>
      </w:pPr>
    </w:p>
    <w:p w14:paraId="5202DADD" w14:textId="77777777" w:rsidR="00CF68C0" w:rsidRDefault="00CF68C0">
      <w:pPr>
        <w:spacing w:before="100" w:after="100"/>
        <w:rPr>
          <w:b/>
          <w:bCs/>
          <w:color w:val="000000" w:themeColor="text1"/>
        </w:rPr>
      </w:pPr>
    </w:p>
    <w:p w14:paraId="1F8AD302" w14:textId="77A36266" w:rsidR="00722ED3" w:rsidRPr="00D820A1" w:rsidRDefault="00000000">
      <w:pPr>
        <w:spacing w:before="100" w:after="100"/>
        <w:rPr>
          <w:b/>
          <w:bCs/>
          <w:color w:val="000000" w:themeColor="text1"/>
        </w:rPr>
      </w:pPr>
      <w:r w:rsidRPr="00D820A1">
        <w:rPr>
          <w:b/>
          <w:bCs/>
          <w:color w:val="000000" w:themeColor="text1"/>
        </w:rPr>
        <w:lastRenderedPageBreak/>
        <w:t>Action 2</w:t>
      </w:r>
      <w:r w:rsidR="00722ED3" w:rsidRPr="00D820A1">
        <w:rPr>
          <w:b/>
          <w:bCs/>
          <w:color w:val="000000" w:themeColor="text1"/>
        </w:rPr>
        <w:t xml:space="preserve">: </w:t>
      </w:r>
      <w:r w:rsidRPr="00D820A1">
        <w:rPr>
          <w:b/>
          <w:bCs/>
          <w:color w:val="000000" w:themeColor="text1"/>
        </w:rPr>
        <w:t xml:space="preserve">Data </w:t>
      </w:r>
      <w:r w:rsidR="00722ED3" w:rsidRPr="00D820A1">
        <w:rPr>
          <w:b/>
          <w:bCs/>
          <w:color w:val="000000" w:themeColor="text1"/>
        </w:rPr>
        <w:t>c</w:t>
      </w:r>
      <w:r w:rsidRPr="00D820A1">
        <w:rPr>
          <w:b/>
          <w:bCs/>
          <w:color w:val="000000" w:themeColor="text1"/>
        </w:rPr>
        <w:t>ollection</w:t>
      </w:r>
    </w:p>
    <w:p w14:paraId="41A772E3" w14:textId="6B0BB2E2" w:rsidR="00695D3F" w:rsidRPr="00D820A1" w:rsidRDefault="00000000">
      <w:pPr>
        <w:spacing w:before="100" w:after="100"/>
        <w:rPr>
          <w:color w:val="000000" w:themeColor="text1"/>
        </w:rPr>
      </w:pPr>
      <w:r w:rsidRPr="00D820A1">
        <w:rPr>
          <w:color w:val="000000" w:themeColor="text1"/>
        </w:rPr>
        <w:t xml:space="preserve">The </w:t>
      </w:r>
      <w:r w:rsidR="00722ED3" w:rsidRPr="00D820A1">
        <w:rPr>
          <w:color w:val="000000" w:themeColor="text1"/>
        </w:rPr>
        <w:t>data collection protocol was updated and agreed on at the August 2020 FIP meeting</w:t>
      </w:r>
      <w:r w:rsidRPr="00D820A1">
        <w:rPr>
          <w:color w:val="000000" w:themeColor="text1"/>
        </w:rPr>
        <w:t xml:space="preserve">. However, a systematic, </w:t>
      </w:r>
      <w:proofErr w:type="spellStart"/>
      <w:r w:rsidRPr="00D820A1">
        <w:rPr>
          <w:color w:val="000000" w:themeColor="text1"/>
        </w:rPr>
        <w:t>UoA</w:t>
      </w:r>
      <w:proofErr w:type="spellEnd"/>
      <w:r w:rsidRPr="00D820A1">
        <w:rPr>
          <w:color w:val="000000" w:themeColor="text1"/>
        </w:rPr>
        <w:t xml:space="preserve">-wide </w:t>
      </w:r>
      <w:r w:rsidR="002424F3">
        <w:rPr>
          <w:color w:val="000000" w:themeColor="text1"/>
        </w:rPr>
        <w:t xml:space="preserve">program for collecting </w:t>
      </w:r>
      <w:r w:rsidRPr="00D820A1">
        <w:rPr>
          <w:color w:val="000000" w:themeColor="text1"/>
        </w:rPr>
        <w:t xml:space="preserve">fishery-dependent and independent data has not been fully operationalized. Scattered monitoring </w:t>
      </w:r>
      <w:r w:rsidR="00722ED3" w:rsidRPr="00D820A1">
        <w:rPr>
          <w:color w:val="000000" w:themeColor="text1"/>
        </w:rPr>
        <w:t>is available</w:t>
      </w:r>
      <w:r w:rsidRPr="00D820A1">
        <w:rPr>
          <w:color w:val="000000" w:themeColor="text1"/>
        </w:rPr>
        <w:t xml:space="preserve"> in some locations (e.g., Puerto Peñasco), but continuous</w:t>
      </w:r>
      <w:r w:rsidR="00722ED3" w:rsidRPr="00D820A1">
        <w:rPr>
          <w:color w:val="000000" w:themeColor="text1"/>
        </w:rPr>
        <w:t>,</w:t>
      </w:r>
      <w:r w:rsidRPr="00D820A1">
        <w:rPr>
          <w:color w:val="000000" w:themeColor="text1"/>
        </w:rPr>
        <w:t xml:space="preserve"> representative data across the whole UoA </w:t>
      </w:r>
      <w:r w:rsidR="006210C9" w:rsidRPr="00D820A1">
        <w:rPr>
          <w:color w:val="000000" w:themeColor="text1"/>
        </w:rPr>
        <w:t>needs to improve</w:t>
      </w:r>
      <w:r w:rsidRPr="00D820A1">
        <w:rPr>
          <w:color w:val="000000" w:themeColor="text1"/>
        </w:rPr>
        <w:t>.</w:t>
      </w:r>
    </w:p>
    <w:p w14:paraId="4CD8F095" w14:textId="5A45CDB1" w:rsidR="00722ED3" w:rsidRPr="00D820A1" w:rsidRDefault="00000000">
      <w:pPr>
        <w:spacing w:before="100" w:after="100"/>
        <w:rPr>
          <w:b/>
          <w:bCs/>
          <w:color w:val="000000" w:themeColor="text1"/>
        </w:rPr>
      </w:pPr>
      <w:r w:rsidRPr="00D820A1">
        <w:rPr>
          <w:b/>
          <w:bCs/>
          <w:color w:val="000000" w:themeColor="text1"/>
        </w:rPr>
        <w:t>Action 3</w:t>
      </w:r>
      <w:r w:rsidR="00722ED3" w:rsidRPr="00D820A1">
        <w:rPr>
          <w:b/>
          <w:bCs/>
          <w:color w:val="000000" w:themeColor="text1"/>
        </w:rPr>
        <w:t xml:space="preserve">: </w:t>
      </w:r>
      <w:r w:rsidRPr="00D820A1">
        <w:rPr>
          <w:b/>
          <w:bCs/>
          <w:color w:val="000000" w:themeColor="text1"/>
        </w:rPr>
        <w:t xml:space="preserve">Ecosystem </w:t>
      </w:r>
      <w:r w:rsidR="00722ED3" w:rsidRPr="00D820A1">
        <w:rPr>
          <w:b/>
          <w:bCs/>
          <w:color w:val="000000" w:themeColor="text1"/>
        </w:rPr>
        <w:t>i</w:t>
      </w:r>
      <w:r w:rsidRPr="00D820A1">
        <w:rPr>
          <w:b/>
          <w:bCs/>
          <w:color w:val="000000" w:themeColor="text1"/>
        </w:rPr>
        <w:t>mpacts</w:t>
      </w:r>
    </w:p>
    <w:p w14:paraId="4FEF447B" w14:textId="06700505" w:rsidR="00695D3F" w:rsidRPr="00D820A1" w:rsidRDefault="00722ED3">
      <w:pPr>
        <w:spacing w:before="100" w:after="100"/>
        <w:rPr>
          <w:color w:val="000000" w:themeColor="text1"/>
        </w:rPr>
      </w:pPr>
      <w:r w:rsidRPr="00D820A1">
        <w:rPr>
          <w:color w:val="000000" w:themeColor="text1"/>
        </w:rPr>
        <w:t xml:space="preserve">The primary species (pink snail) was confirmed, and its status was analyzed. </w:t>
      </w:r>
      <w:r w:rsidR="006210C9" w:rsidRPr="00D820A1">
        <w:rPr>
          <w:color w:val="000000" w:themeColor="text1"/>
        </w:rPr>
        <w:t>In addition, work regarding b</w:t>
      </w:r>
      <w:r w:rsidRPr="00D820A1">
        <w:rPr>
          <w:color w:val="000000" w:themeColor="text1"/>
        </w:rPr>
        <w:t xml:space="preserve">iodegradable/collapsible trap designs </w:t>
      </w:r>
      <w:r w:rsidR="006210C9" w:rsidRPr="00D820A1">
        <w:rPr>
          <w:color w:val="000000" w:themeColor="text1"/>
        </w:rPr>
        <w:t xml:space="preserve">was </w:t>
      </w:r>
      <w:r w:rsidRPr="00D820A1">
        <w:rPr>
          <w:color w:val="000000" w:themeColor="text1"/>
        </w:rPr>
        <w:t xml:space="preserve">promoted. Ghost fishing monitoring and formal ETP/habitat impact assessments have not been completed. Tasks 3.2–3.4 remain </w:t>
      </w:r>
      <w:r w:rsidR="006210C9" w:rsidRPr="00D820A1">
        <w:rPr>
          <w:color w:val="000000" w:themeColor="text1"/>
        </w:rPr>
        <w:t>unfinished</w:t>
      </w:r>
      <w:r w:rsidRPr="00D820A1">
        <w:rPr>
          <w:color w:val="000000" w:themeColor="text1"/>
        </w:rPr>
        <w:t>.</w:t>
      </w:r>
    </w:p>
    <w:p w14:paraId="6241EB10" w14:textId="77777777" w:rsidR="002424F3" w:rsidRDefault="002424F3">
      <w:pPr>
        <w:pBdr>
          <w:bottom w:val="single" w:sz="6" w:space="1" w:color="2E75B6"/>
        </w:pBdr>
        <w:spacing w:before="200" w:after="80"/>
        <w:rPr>
          <w:b/>
          <w:bCs/>
          <w:color w:val="auto"/>
          <w:sz w:val="24"/>
          <w:szCs w:val="24"/>
        </w:rPr>
      </w:pPr>
    </w:p>
    <w:p w14:paraId="16108F13" w14:textId="77777777" w:rsidR="00CF68C0" w:rsidRDefault="00CF68C0">
      <w:pPr>
        <w:pBdr>
          <w:bottom w:val="single" w:sz="6" w:space="1" w:color="2E75B6"/>
        </w:pBdr>
        <w:spacing w:before="200" w:after="80"/>
        <w:rPr>
          <w:b/>
          <w:bCs/>
          <w:color w:val="auto"/>
          <w:sz w:val="24"/>
          <w:szCs w:val="24"/>
        </w:rPr>
      </w:pPr>
      <w:r>
        <w:rPr>
          <w:b/>
          <w:bCs/>
          <w:color w:val="auto"/>
          <w:sz w:val="24"/>
          <w:szCs w:val="24"/>
        </w:rPr>
        <w:br w:type="page"/>
      </w:r>
    </w:p>
    <w:p w14:paraId="2923109B" w14:textId="755341CF" w:rsidR="00695D3F" w:rsidRPr="00EC3E28" w:rsidRDefault="00000000">
      <w:pPr>
        <w:pBdr>
          <w:bottom w:val="single" w:sz="6" w:space="1" w:color="2E75B6"/>
        </w:pBdr>
        <w:spacing w:before="200" w:after="80"/>
        <w:rPr>
          <w:color w:val="auto"/>
        </w:rPr>
      </w:pPr>
      <w:r w:rsidRPr="00EC3E28">
        <w:rPr>
          <w:b/>
          <w:bCs/>
          <w:color w:val="auto"/>
          <w:sz w:val="24"/>
          <w:szCs w:val="24"/>
        </w:rPr>
        <w:lastRenderedPageBreak/>
        <w:t>Summary of MSC Performance Indicator Scores</w:t>
      </w: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1"/>
        <w:gridCol w:w="1298"/>
        <w:gridCol w:w="1385"/>
        <w:gridCol w:w="1001"/>
        <w:gridCol w:w="980"/>
        <w:gridCol w:w="8010"/>
      </w:tblGrid>
      <w:tr w:rsidR="0087346B" w14:paraId="532545CA" w14:textId="77777777" w:rsidTr="00EC3E28">
        <w:trPr>
          <w:tblHeader/>
        </w:trPr>
        <w:tc>
          <w:tcPr>
            <w:tcW w:w="1001" w:type="dxa"/>
            <w:shd w:val="clear" w:color="auto" w:fill="2E75B6"/>
            <w:tcMar>
              <w:top w:w="80" w:type="dxa"/>
              <w:left w:w="120" w:type="dxa"/>
              <w:bottom w:w="80" w:type="dxa"/>
              <w:right w:w="120" w:type="dxa"/>
            </w:tcMar>
          </w:tcPr>
          <w:p w14:paraId="4140CFB1" w14:textId="29F0B872" w:rsidR="00695D3F" w:rsidRDefault="00000000">
            <w:r>
              <w:rPr>
                <w:b/>
                <w:bCs/>
                <w:color w:val="FFFFFF"/>
                <w:sz w:val="18"/>
                <w:szCs w:val="18"/>
              </w:rPr>
              <w:t>P</w:t>
            </w:r>
            <w:r w:rsidR="006210C9">
              <w:rPr>
                <w:b/>
                <w:bCs/>
                <w:color w:val="FFFFFF"/>
                <w:sz w:val="18"/>
                <w:szCs w:val="18"/>
              </w:rPr>
              <w:t>rinciple</w:t>
            </w:r>
          </w:p>
        </w:tc>
        <w:tc>
          <w:tcPr>
            <w:tcW w:w="1298" w:type="dxa"/>
            <w:shd w:val="clear" w:color="auto" w:fill="2E75B6"/>
            <w:tcMar>
              <w:top w:w="80" w:type="dxa"/>
              <w:left w:w="120" w:type="dxa"/>
              <w:bottom w:w="80" w:type="dxa"/>
              <w:right w:w="120" w:type="dxa"/>
            </w:tcMar>
          </w:tcPr>
          <w:p w14:paraId="6E6C9AC8" w14:textId="77777777" w:rsidR="00695D3F" w:rsidRDefault="00000000">
            <w:r>
              <w:rPr>
                <w:b/>
                <w:bCs/>
                <w:color w:val="FFFFFF"/>
                <w:sz w:val="18"/>
                <w:szCs w:val="18"/>
              </w:rPr>
              <w:t>Component</w:t>
            </w:r>
          </w:p>
        </w:tc>
        <w:tc>
          <w:tcPr>
            <w:tcW w:w="1385" w:type="dxa"/>
            <w:shd w:val="clear" w:color="auto" w:fill="2E75B6"/>
            <w:tcMar>
              <w:top w:w="80" w:type="dxa"/>
              <w:left w:w="120" w:type="dxa"/>
              <w:bottom w:w="80" w:type="dxa"/>
              <w:right w:w="120" w:type="dxa"/>
            </w:tcMar>
          </w:tcPr>
          <w:p w14:paraId="577AD08F" w14:textId="77777777" w:rsidR="00695D3F" w:rsidRDefault="00000000">
            <w:r>
              <w:rPr>
                <w:b/>
                <w:bCs/>
                <w:color w:val="FFFFFF"/>
                <w:sz w:val="18"/>
                <w:szCs w:val="18"/>
              </w:rPr>
              <w:t>Performance Indicator</w:t>
            </w:r>
          </w:p>
        </w:tc>
        <w:tc>
          <w:tcPr>
            <w:tcW w:w="1001" w:type="dxa"/>
            <w:shd w:val="clear" w:color="auto" w:fill="2E75B6"/>
            <w:tcMar>
              <w:top w:w="80" w:type="dxa"/>
              <w:left w:w="120" w:type="dxa"/>
              <w:bottom w:w="80" w:type="dxa"/>
              <w:right w:w="120" w:type="dxa"/>
            </w:tcMar>
          </w:tcPr>
          <w:p w14:paraId="1D9FD8FD" w14:textId="77777777" w:rsidR="00695D3F" w:rsidRDefault="00000000">
            <w:r>
              <w:rPr>
                <w:b/>
                <w:bCs/>
                <w:color w:val="FFFFFF"/>
                <w:sz w:val="18"/>
                <w:szCs w:val="18"/>
              </w:rPr>
              <w:t>Previous Score</w:t>
            </w:r>
          </w:p>
        </w:tc>
        <w:tc>
          <w:tcPr>
            <w:tcW w:w="980" w:type="dxa"/>
            <w:shd w:val="clear" w:color="auto" w:fill="2E75B6"/>
            <w:tcMar>
              <w:top w:w="80" w:type="dxa"/>
              <w:left w:w="120" w:type="dxa"/>
              <w:bottom w:w="80" w:type="dxa"/>
              <w:right w:w="120" w:type="dxa"/>
            </w:tcMar>
          </w:tcPr>
          <w:p w14:paraId="18542FFD" w14:textId="01FC64F1" w:rsidR="00695D3F" w:rsidRDefault="00000000">
            <w:r>
              <w:rPr>
                <w:b/>
                <w:bCs/>
                <w:color w:val="FFFFFF"/>
                <w:sz w:val="18"/>
                <w:szCs w:val="18"/>
              </w:rPr>
              <w:t>Current Score</w:t>
            </w:r>
          </w:p>
        </w:tc>
        <w:tc>
          <w:tcPr>
            <w:tcW w:w="8010" w:type="dxa"/>
            <w:shd w:val="clear" w:color="auto" w:fill="2E75B6"/>
            <w:tcMar>
              <w:top w:w="80" w:type="dxa"/>
              <w:left w:w="120" w:type="dxa"/>
              <w:bottom w:w="80" w:type="dxa"/>
              <w:right w:w="120" w:type="dxa"/>
            </w:tcMar>
          </w:tcPr>
          <w:p w14:paraId="70C1BAB9" w14:textId="77777777" w:rsidR="00695D3F" w:rsidRDefault="00000000">
            <w:r>
              <w:rPr>
                <w:b/>
                <w:bCs/>
                <w:color w:val="FFFFFF"/>
                <w:sz w:val="18"/>
                <w:szCs w:val="18"/>
              </w:rPr>
              <w:t>Key Rationale</w:t>
            </w:r>
          </w:p>
        </w:tc>
      </w:tr>
      <w:tr w:rsidR="0087346B" w14:paraId="362D1ACA" w14:textId="77777777" w:rsidTr="00EC3E28">
        <w:tc>
          <w:tcPr>
            <w:tcW w:w="1001" w:type="dxa"/>
            <w:vMerge w:val="restart"/>
            <w:tcMar>
              <w:top w:w="80" w:type="dxa"/>
              <w:left w:w="120" w:type="dxa"/>
              <w:bottom w:w="80" w:type="dxa"/>
              <w:right w:w="120" w:type="dxa"/>
            </w:tcMar>
            <w:vAlign w:val="center"/>
          </w:tcPr>
          <w:p w14:paraId="57F33684" w14:textId="5A33276F" w:rsidR="006210C9" w:rsidRDefault="006210C9" w:rsidP="006210C9">
            <w:pPr>
              <w:jc w:val="center"/>
            </w:pPr>
            <w:r>
              <w:rPr>
                <w:sz w:val="18"/>
                <w:szCs w:val="18"/>
              </w:rPr>
              <w:t>1</w:t>
            </w:r>
          </w:p>
        </w:tc>
        <w:tc>
          <w:tcPr>
            <w:tcW w:w="1298" w:type="dxa"/>
            <w:vMerge w:val="restart"/>
            <w:tcMar>
              <w:top w:w="80" w:type="dxa"/>
              <w:left w:w="120" w:type="dxa"/>
              <w:bottom w:w="80" w:type="dxa"/>
              <w:right w:w="120" w:type="dxa"/>
            </w:tcMar>
            <w:vAlign w:val="center"/>
          </w:tcPr>
          <w:p w14:paraId="287F4184" w14:textId="458CC973" w:rsidR="006210C9" w:rsidRDefault="006210C9" w:rsidP="006210C9">
            <w:pPr>
              <w:jc w:val="center"/>
            </w:pPr>
            <w:r>
              <w:rPr>
                <w:sz w:val="18"/>
                <w:szCs w:val="18"/>
              </w:rPr>
              <w:t>Outcome</w:t>
            </w:r>
          </w:p>
        </w:tc>
        <w:tc>
          <w:tcPr>
            <w:tcW w:w="1385" w:type="dxa"/>
            <w:tcMar>
              <w:top w:w="80" w:type="dxa"/>
              <w:left w:w="120" w:type="dxa"/>
              <w:bottom w:w="80" w:type="dxa"/>
              <w:right w:w="120" w:type="dxa"/>
            </w:tcMar>
            <w:vAlign w:val="center"/>
          </w:tcPr>
          <w:p w14:paraId="35013D72" w14:textId="77777777" w:rsidR="006210C9" w:rsidRDefault="006210C9" w:rsidP="006210C9">
            <w:pPr>
              <w:jc w:val="center"/>
            </w:pPr>
            <w:r>
              <w:rPr>
                <w:sz w:val="18"/>
                <w:szCs w:val="18"/>
              </w:rPr>
              <w:t>1.1.1 Stock Status</w:t>
            </w:r>
          </w:p>
        </w:tc>
        <w:tc>
          <w:tcPr>
            <w:tcW w:w="1001" w:type="dxa"/>
            <w:shd w:val="clear" w:color="auto" w:fill="B4DE8B"/>
            <w:tcMar>
              <w:top w:w="80" w:type="dxa"/>
              <w:left w:w="120" w:type="dxa"/>
              <w:bottom w:w="80" w:type="dxa"/>
              <w:right w:w="120" w:type="dxa"/>
            </w:tcMar>
            <w:vAlign w:val="center"/>
          </w:tcPr>
          <w:p w14:paraId="0B9F05C0" w14:textId="0A2055C6" w:rsidR="006210C9" w:rsidRDefault="006210C9" w:rsidP="00A0607E">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6EAC473A" w14:textId="77777777" w:rsidR="006210C9" w:rsidRDefault="006210C9" w:rsidP="00A0607E">
            <w:pPr>
              <w:jc w:val="center"/>
            </w:pPr>
            <w:r>
              <w:rPr>
                <w:sz w:val="18"/>
                <w:szCs w:val="18"/>
              </w:rPr>
              <w:t>≥80</w:t>
            </w:r>
          </w:p>
        </w:tc>
        <w:tc>
          <w:tcPr>
            <w:tcW w:w="8010" w:type="dxa"/>
            <w:tcMar>
              <w:top w:w="80" w:type="dxa"/>
              <w:left w:w="120" w:type="dxa"/>
              <w:bottom w:w="80" w:type="dxa"/>
              <w:right w:w="120" w:type="dxa"/>
            </w:tcMar>
          </w:tcPr>
          <w:p w14:paraId="1665E25A" w14:textId="579F80FC" w:rsidR="00FB2D3A" w:rsidRPr="00F2676C" w:rsidRDefault="00FB2D3A" w:rsidP="00FB2D3A">
            <w:pPr>
              <w:rPr>
                <w:color w:val="000000" w:themeColor="text1"/>
                <w:sz w:val="18"/>
                <w:szCs w:val="18"/>
              </w:rPr>
            </w:pPr>
            <w:r w:rsidRPr="00F2676C">
              <w:rPr>
                <w:color w:val="000000" w:themeColor="text1"/>
                <w:sz w:val="18"/>
                <w:szCs w:val="18"/>
              </w:rPr>
              <w:t xml:space="preserve">Stock assessments for both species were conducted using C-MSY and Schaefer surplus production models based on 2022 fisheries landing data (Balmori-Ramirez et al., 2024). For </w:t>
            </w:r>
            <w:r w:rsidRPr="00F2676C">
              <w:rPr>
                <w:i/>
                <w:iCs/>
                <w:color w:val="000000" w:themeColor="text1"/>
                <w:sz w:val="18"/>
                <w:szCs w:val="18"/>
              </w:rPr>
              <w:t xml:space="preserve">C. </w:t>
            </w:r>
            <w:proofErr w:type="spellStart"/>
            <w:r w:rsidRPr="00F2676C">
              <w:rPr>
                <w:i/>
                <w:iCs/>
                <w:color w:val="000000" w:themeColor="text1"/>
                <w:sz w:val="18"/>
                <w:szCs w:val="18"/>
              </w:rPr>
              <w:t>bellicosus</w:t>
            </w:r>
            <w:proofErr w:type="spellEnd"/>
            <w:r w:rsidRPr="00F2676C">
              <w:rPr>
                <w:color w:val="000000" w:themeColor="text1"/>
                <w:sz w:val="18"/>
                <w:szCs w:val="18"/>
              </w:rPr>
              <w:t xml:space="preserve">, stock biomass consistently exceeded 0.5 B/k and catches remained below the MSY of 26,494 t, though the stock fell below the default reference indicator of ½ BMSY between 2016 and 2020 before recovering in 2021–2022. While </w:t>
            </w:r>
            <w:r w:rsidRPr="00F2676C">
              <w:rPr>
                <w:i/>
                <w:iCs/>
                <w:color w:val="000000" w:themeColor="text1"/>
                <w:sz w:val="18"/>
                <w:szCs w:val="18"/>
              </w:rPr>
              <w:t>C. arcuatus</w:t>
            </w:r>
            <w:r w:rsidRPr="00F2676C">
              <w:rPr>
                <w:color w:val="000000" w:themeColor="text1"/>
                <w:sz w:val="18"/>
                <w:szCs w:val="18"/>
              </w:rPr>
              <w:t xml:space="preserve"> showed a rising catch trend toward its MSY of 5,745 t until 2015 when catches briefly exceeded it, similarly, dipping below the PRI from 2014–2020 and recovering in 2021–2022. Both fisheries are highly likely to be above the recruitment risk threshold. </w:t>
            </w:r>
          </w:p>
          <w:p w14:paraId="1F6C8502" w14:textId="77777777" w:rsidR="00B25669" w:rsidRPr="00F2676C" w:rsidRDefault="00B25669" w:rsidP="00FB2D3A">
            <w:pPr>
              <w:rPr>
                <w:color w:val="000000" w:themeColor="text1"/>
                <w:sz w:val="18"/>
                <w:szCs w:val="18"/>
              </w:rPr>
            </w:pPr>
          </w:p>
          <w:p w14:paraId="62C2C318" w14:textId="47919805" w:rsidR="00B25669" w:rsidRPr="00F2676C" w:rsidRDefault="00B25669" w:rsidP="00EC3E28">
            <w:pPr>
              <w:jc w:val="center"/>
              <w:rPr>
                <w:color w:val="000000" w:themeColor="text1"/>
                <w:sz w:val="18"/>
                <w:szCs w:val="18"/>
              </w:rPr>
            </w:pPr>
            <w:r w:rsidRPr="00F2676C">
              <w:rPr>
                <w:noProof/>
                <w:color w:val="000000" w:themeColor="text1"/>
                <w:sz w:val="18"/>
                <w:szCs w:val="18"/>
              </w:rPr>
              <w:drawing>
                <wp:inline distT="0" distB="0" distL="0" distR="0" wp14:anchorId="3781CAD6" wp14:editId="4D7F627F">
                  <wp:extent cx="3024607" cy="2857015"/>
                  <wp:effectExtent l="0" t="0" r="0" b="635"/>
                  <wp:docPr id="358194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94522" name=""/>
                          <pic:cNvPicPr/>
                        </pic:nvPicPr>
                        <pic:blipFill>
                          <a:blip r:embed="rId8"/>
                          <a:stretch>
                            <a:fillRect/>
                          </a:stretch>
                        </pic:blipFill>
                        <pic:spPr>
                          <a:xfrm>
                            <a:off x="0" y="0"/>
                            <a:ext cx="3128604" cy="2955249"/>
                          </a:xfrm>
                          <a:prstGeom prst="rect">
                            <a:avLst/>
                          </a:prstGeom>
                        </pic:spPr>
                      </pic:pic>
                    </a:graphicData>
                  </a:graphic>
                </wp:inline>
              </w:drawing>
            </w:r>
          </w:p>
          <w:p w14:paraId="25367F3F" w14:textId="1C5A0BBC" w:rsidR="00B25669" w:rsidRPr="00F2676C" w:rsidRDefault="00A64FB9" w:rsidP="00A64FB9">
            <w:pPr>
              <w:jc w:val="center"/>
              <w:rPr>
                <w:i/>
                <w:iCs/>
                <w:color w:val="000000" w:themeColor="text1"/>
                <w:sz w:val="16"/>
                <w:szCs w:val="16"/>
              </w:rPr>
            </w:pPr>
            <w:r w:rsidRPr="00F2676C">
              <w:rPr>
                <w:i/>
                <w:iCs/>
                <w:color w:val="000000" w:themeColor="text1"/>
                <w:sz w:val="16"/>
                <w:szCs w:val="16"/>
              </w:rPr>
              <w:t xml:space="preserve">Figure 1. </w:t>
            </w:r>
            <w:r w:rsidR="00B25669" w:rsidRPr="00F2676C">
              <w:rPr>
                <w:i/>
                <w:iCs/>
                <w:color w:val="000000" w:themeColor="text1"/>
                <w:sz w:val="16"/>
                <w:szCs w:val="16"/>
              </w:rPr>
              <w:t xml:space="preserve">Kobe plot for the C. </w:t>
            </w:r>
            <w:proofErr w:type="spellStart"/>
            <w:r w:rsidR="00B25669" w:rsidRPr="00F2676C">
              <w:rPr>
                <w:i/>
                <w:iCs/>
                <w:color w:val="000000" w:themeColor="text1"/>
                <w:sz w:val="16"/>
                <w:szCs w:val="16"/>
              </w:rPr>
              <w:t>bellicosus</w:t>
            </w:r>
            <w:proofErr w:type="spellEnd"/>
            <w:r w:rsidR="00B25669" w:rsidRPr="00F2676C">
              <w:rPr>
                <w:i/>
                <w:iCs/>
                <w:color w:val="000000" w:themeColor="text1"/>
                <w:sz w:val="16"/>
                <w:szCs w:val="16"/>
              </w:rPr>
              <w:t xml:space="preserve"> fishery (WC_GC) in the Gulf of California, Mexico. Gray areas indicate </w:t>
            </w:r>
            <w:proofErr w:type="spellStart"/>
            <w:r w:rsidR="00B25669" w:rsidRPr="00F2676C">
              <w:rPr>
                <w:i/>
                <w:iCs/>
                <w:color w:val="000000" w:themeColor="text1"/>
                <w:sz w:val="16"/>
                <w:szCs w:val="16"/>
              </w:rPr>
              <w:t>isoprobabilities</w:t>
            </w:r>
            <w:proofErr w:type="spellEnd"/>
            <w:r w:rsidR="00B25669" w:rsidRPr="00F2676C">
              <w:rPr>
                <w:i/>
                <w:iCs/>
                <w:color w:val="000000" w:themeColor="text1"/>
                <w:sz w:val="16"/>
                <w:szCs w:val="16"/>
              </w:rPr>
              <w:t xml:space="preserve"> (Balmori-Ramirez et al., 2024).</w:t>
            </w:r>
          </w:p>
          <w:p w14:paraId="0CC3C2DF" w14:textId="77777777" w:rsidR="00FB2D3A" w:rsidRPr="00F2676C" w:rsidRDefault="00FB2D3A" w:rsidP="00FB2D3A">
            <w:pPr>
              <w:rPr>
                <w:color w:val="000000" w:themeColor="text1"/>
                <w:sz w:val="18"/>
                <w:szCs w:val="18"/>
              </w:rPr>
            </w:pPr>
          </w:p>
          <w:p w14:paraId="70972394" w14:textId="77777777" w:rsidR="006210C9" w:rsidRPr="00F2676C" w:rsidRDefault="00FB2D3A" w:rsidP="00B25669">
            <w:pPr>
              <w:rPr>
                <w:color w:val="000000" w:themeColor="text1"/>
                <w:sz w:val="18"/>
                <w:szCs w:val="18"/>
              </w:rPr>
            </w:pPr>
            <w:r w:rsidRPr="00F2676C">
              <w:rPr>
                <w:color w:val="000000" w:themeColor="text1"/>
                <w:sz w:val="18"/>
                <w:szCs w:val="18"/>
              </w:rPr>
              <w:t xml:space="preserve">For both species, catch trends generally rose toward MSY levels over time, with occasional exceedances in 2019 for </w:t>
            </w:r>
            <w:r w:rsidRPr="00F2676C">
              <w:rPr>
                <w:i/>
                <w:iCs/>
                <w:color w:val="000000" w:themeColor="text1"/>
                <w:sz w:val="18"/>
                <w:szCs w:val="18"/>
              </w:rPr>
              <w:t xml:space="preserve">C. </w:t>
            </w:r>
            <w:proofErr w:type="spellStart"/>
            <w:r w:rsidRPr="00F2676C">
              <w:rPr>
                <w:i/>
                <w:iCs/>
                <w:color w:val="000000" w:themeColor="text1"/>
                <w:sz w:val="18"/>
                <w:szCs w:val="18"/>
              </w:rPr>
              <w:t>bellicosus</w:t>
            </w:r>
            <w:proofErr w:type="spellEnd"/>
            <w:r w:rsidRPr="00F2676C">
              <w:rPr>
                <w:color w:val="000000" w:themeColor="text1"/>
                <w:sz w:val="18"/>
                <w:szCs w:val="18"/>
              </w:rPr>
              <w:t xml:space="preserve"> and 2015 for </w:t>
            </w:r>
            <w:r w:rsidRPr="00F2676C">
              <w:rPr>
                <w:i/>
                <w:iCs/>
                <w:color w:val="000000" w:themeColor="text1"/>
                <w:sz w:val="18"/>
                <w:szCs w:val="18"/>
              </w:rPr>
              <w:t>C. arcuatus</w:t>
            </w:r>
            <w:r w:rsidRPr="00F2676C">
              <w:rPr>
                <w:color w:val="000000" w:themeColor="text1"/>
                <w:sz w:val="18"/>
                <w:szCs w:val="18"/>
              </w:rPr>
              <w:t xml:space="preserve">, before returning below MSY between 2019–2022, indicating that both stocks are fluctuating around levels consistent with MSY. This was further supported by an IMIPAS assessment (2024), which used dynamic biomass modeling (C-MSY and CMSY/BSM frameworks) to estimate B/BMSY ≈ 1.0 and F/FMSY ≤ 1.0 for </w:t>
            </w:r>
            <w:r w:rsidRPr="00F2676C">
              <w:rPr>
                <w:i/>
                <w:iCs/>
                <w:color w:val="000000" w:themeColor="text1"/>
                <w:sz w:val="18"/>
                <w:szCs w:val="18"/>
              </w:rPr>
              <w:t xml:space="preserve">C. </w:t>
            </w:r>
            <w:proofErr w:type="spellStart"/>
            <w:r w:rsidRPr="00F2676C">
              <w:rPr>
                <w:i/>
                <w:iCs/>
                <w:color w:val="000000" w:themeColor="text1"/>
                <w:sz w:val="18"/>
                <w:szCs w:val="18"/>
              </w:rPr>
              <w:t>bellicosus</w:t>
            </w:r>
            <w:proofErr w:type="spellEnd"/>
            <w:r w:rsidRPr="00F2676C">
              <w:rPr>
                <w:color w:val="000000" w:themeColor="text1"/>
                <w:sz w:val="18"/>
                <w:szCs w:val="18"/>
              </w:rPr>
              <w:t xml:space="preserve"> in Sonora and </w:t>
            </w:r>
            <w:r w:rsidRPr="00F2676C">
              <w:rPr>
                <w:i/>
                <w:iCs/>
                <w:color w:val="000000" w:themeColor="text1"/>
                <w:sz w:val="18"/>
                <w:szCs w:val="18"/>
              </w:rPr>
              <w:t>C. arcuatus</w:t>
            </w:r>
            <w:r w:rsidRPr="00F2676C">
              <w:rPr>
                <w:color w:val="000000" w:themeColor="text1"/>
                <w:sz w:val="18"/>
                <w:szCs w:val="18"/>
              </w:rPr>
              <w:t xml:space="preserve"> in Nayarit, confirming sustainable harvest at MSY target levels. </w:t>
            </w:r>
          </w:p>
          <w:p w14:paraId="47E0F300" w14:textId="77777777" w:rsidR="00B25669" w:rsidRPr="00F2676C" w:rsidRDefault="00B25669" w:rsidP="00B25669">
            <w:pPr>
              <w:rPr>
                <w:color w:val="000000" w:themeColor="text1"/>
              </w:rPr>
            </w:pPr>
          </w:p>
          <w:p w14:paraId="0A300404" w14:textId="77777777" w:rsidR="00B25669" w:rsidRPr="00F2676C" w:rsidRDefault="00B25669" w:rsidP="00EC3E28">
            <w:pPr>
              <w:jc w:val="center"/>
              <w:rPr>
                <w:color w:val="000000" w:themeColor="text1"/>
              </w:rPr>
            </w:pPr>
            <w:r w:rsidRPr="00F2676C">
              <w:rPr>
                <w:noProof/>
                <w:color w:val="000000" w:themeColor="text1"/>
              </w:rPr>
              <w:lastRenderedPageBreak/>
              <w:drawing>
                <wp:inline distT="0" distB="0" distL="0" distR="0" wp14:anchorId="70C4AD52" wp14:editId="268E0E5E">
                  <wp:extent cx="3124200" cy="2921001"/>
                  <wp:effectExtent l="0" t="0" r="0" b="0"/>
                  <wp:docPr id="830093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93005" name=""/>
                          <pic:cNvPicPr/>
                        </pic:nvPicPr>
                        <pic:blipFill>
                          <a:blip r:embed="rId9"/>
                          <a:stretch>
                            <a:fillRect/>
                          </a:stretch>
                        </pic:blipFill>
                        <pic:spPr>
                          <a:xfrm>
                            <a:off x="0" y="0"/>
                            <a:ext cx="3193650" cy="2985934"/>
                          </a:xfrm>
                          <a:prstGeom prst="rect">
                            <a:avLst/>
                          </a:prstGeom>
                        </pic:spPr>
                      </pic:pic>
                    </a:graphicData>
                  </a:graphic>
                </wp:inline>
              </w:drawing>
            </w:r>
          </w:p>
          <w:p w14:paraId="7F06EA79" w14:textId="77777777" w:rsidR="00B25669" w:rsidRDefault="00A64FB9" w:rsidP="00A64FB9">
            <w:pPr>
              <w:jc w:val="center"/>
              <w:rPr>
                <w:i/>
                <w:iCs/>
                <w:color w:val="000000" w:themeColor="text1"/>
                <w:sz w:val="16"/>
                <w:szCs w:val="16"/>
              </w:rPr>
            </w:pPr>
            <w:r w:rsidRPr="00F2676C">
              <w:rPr>
                <w:i/>
                <w:iCs/>
                <w:color w:val="000000" w:themeColor="text1"/>
                <w:sz w:val="16"/>
                <w:szCs w:val="16"/>
              </w:rPr>
              <w:t xml:space="preserve">Figure 2. </w:t>
            </w:r>
            <w:r w:rsidR="00B25669" w:rsidRPr="00F2676C">
              <w:rPr>
                <w:i/>
                <w:iCs/>
                <w:color w:val="000000" w:themeColor="text1"/>
                <w:sz w:val="16"/>
                <w:szCs w:val="16"/>
              </w:rPr>
              <w:t xml:space="preserve">Kobe plot for the C. arcuatus fishery (WC_GC) in the Gulf of California, Mexico. Gray areas indicate </w:t>
            </w:r>
            <w:proofErr w:type="spellStart"/>
            <w:r w:rsidR="00B25669" w:rsidRPr="00F2676C">
              <w:rPr>
                <w:i/>
                <w:iCs/>
                <w:color w:val="000000" w:themeColor="text1"/>
                <w:sz w:val="16"/>
                <w:szCs w:val="16"/>
              </w:rPr>
              <w:t>isoprobabilities</w:t>
            </w:r>
            <w:proofErr w:type="spellEnd"/>
            <w:r w:rsidR="00B25669" w:rsidRPr="00F2676C">
              <w:rPr>
                <w:i/>
                <w:iCs/>
                <w:color w:val="000000" w:themeColor="text1"/>
                <w:sz w:val="16"/>
                <w:szCs w:val="16"/>
              </w:rPr>
              <w:t xml:space="preserve"> (Balmori-Ramirez et al., 2024)</w:t>
            </w:r>
          </w:p>
          <w:p w14:paraId="00229BB7" w14:textId="77777777" w:rsidR="002B4FAD" w:rsidRDefault="002B4FAD" w:rsidP="00A64FB9">
            <w:pPr>
              <w:jc w:val="center"/>
              <w:rPr>
                <w:i/>
                <w:iCs/>
                <w:color w:val="000000" w:themeColor="text1"/>
                <w:sz w:val="16"/>
                <w:szCs w:val="16"/>
              </w:rPr>
            </w:pPr>
          </w:p>
          <w:p w14:paraId="06AB7D1F" w14:textId="77777777" w:rsidR="002B4FAD" w:rsidRDefault="002B4FAD" w:rsidP="002B4FAD">
            <w:pPr>
              <w:rPr>
                <w:color w:val="000000" w:themeColor="text1"/>
                <w:sz w:val="18"/>
                <w:szCs w:val="18"/>
              </w:rPr>
            </w:pPr>
            <w:r w:rsidRPr="002B4FAD">
              <w:rPr>
                <w:color w:val="000000" w:themeColor="text1"/>
                <w:sz w:val="18"/>
                <w:szCs w:val="18"/>
              </w:rPr>
              <w:t>These res</w:t>
            </w:r>
            <w:r>
              <w:rPr>
                <w:color w:val="000000" w:themeColor="text1"/>
                <w:sz w:val="18"/>
                <w:szCs w:val="18"/>
              </w:rPr>
              <w:t xml:space="preserve">ults published by (Balmori-Ramirez et al. 2024) are aligned with what managers reported for the state of Sonora in 2023. </w:t>
            </w:r>
          </w:p>
          <w:p w14:paraId="3252E062" w14:textId="77777777" w:rsidR="002B4FAD" w:rsidRDefault="002B4FAD" w:rsidP="002B4FAD">
            <w:pPr>
              <w:rPr>
                <w:color w:val="000000" w:themeColor="text1"/>
                <w:sz w:val="18"/>
                <w:szCs w:val="18"/>
              </w:rPr>
            </w:pPr>
          </w:p>
          <w:p w14:paraId="58A216DE" w14:textId="77777777" w:rsidR="002B4FAD" w:rsidRDefault="002B4FAD" w:rsidP="002B4FAD">
            <w:pPr>
              <w:jc w:val="center"/>
              <w:rPr>
                <w:color w:val="000000" w:themeColor="text1"/>
                <w:sz w:val="18"/>
                <w:szCs w:val="18"/>
              </w:rPr>
            </w:pPr>
            <w:r w:rsidRPr="002B4FAD">
              <w:rPr>
                <w:noProof/>
                <w:color w:val="000000" w:themeColor="text1"/>
                <w:sz w:val="18"/>
                <w:szCs w:val="18"/>
              </w:rPr>
              <w:drawing>
                <wp:inline distT="0" distB="0" distL="0" distR="0" wp14:anchorId="6A47544F" wp14:editId="4665FB87">
                  <wp:extent cx="2988276" cy="1842770"/>
                  <wp:effectExtent l="0" t="0" r="0" b="0"/>
                  <wp:docPr id="843262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62140" name=""/>
                          <pic:cNvPicPr/>
                        </pic:nvPicPr>
                        <pic:blipFill>
                          <a:blip r:embed="rId10"/>
                          <a:stretch>
                            <a:fillRect/>
                          </a:stretch>
                        </pic:blipFill>
                        <pic:spPr>
                          <a:xfrm>
                            <a:off x="0" y="0"/>
                            <a:ext cx="3045676" cy="1878166"/>
                          </a:xfrm>
                          <a:prstGeom prst="rect">
                            <a:avLst/>
                          </a:prstGeom>
                        </pic:spPr>
                      </pic:pic>
                    </a:graphicData>
                  </a:graphic>
                </wp:inline>
              </w:drawing>
            </w:r>
          </w:p>
          <w:p w14:paraId="7DBC05C1" w14:textId="77777777" w:rsidR="002B4FAD" w:rsidRDefault="002B4FAD" w:rsidP="002B4FAD">
            <w:pPr>
              <w:jc w:val="center"/>
              <w:rPr>
                <w:color w:val="000000" w:themeColor="text1"/>
                <w:sz w:val="18"/>
                <w:szCs w:val="18"/>
              </w:rPr>
            </w:pPr>
          </w:p>
          <w:p w14:paraId="1E751574" w14:textId="77777777" w:rsidR="002B4FAD" w:rsidRDefault="002B4FAD" w:rsidP="002B4FAD">
            <w:pPr>
              <w:jc w:val="center"/>
              <w:rPr>
                <w:i/>
                <w:iCs/>
                <w:color w:val="000000" w:themeColor="text1"/>
                <w:sz w:val="16"/>
                <w:szCs w:val="16"/>
              </w:rPr>
            </w:pPr>
            <w:r w:rsidRPr="00F2676C">
              <w:rPr>
                <w:i/>
                <w:iCs/>
                <w:color w:val="000000" w:themeColor="text1"/>
                <w:sz w:val="16"/>
                <w:szCs w:val="16"/>
              </w:rPr>
              <w:t xml:space="preserve">Figure </w:t>
            </w:r>
            <w:r>
              <w:rPr>
                <w:i/>
                <w:iCs/>
                <w:color w:val="000000" w:themeColor="text1"/>
                <w:sz w:val="16"/>
                <w:szCs w:val="16"/>
              </w:rPr>
              <w:t>3</w:t>
            </w:r>
            <w:r w:rsidRPr="00F2676C">
              <w:rPr>
                <w:i/>
                <w:iCs/>
                <w:color w:val="000000" w:themeColor="text1"/>
                <w:sz w:val="16"/>
                <w:szCs w:val="16"/>
              </w:rPr>
              <w:t xml:space="preserve">. Kobe plot for </w:t>
            </w:r>
            <w:r>
              <w:rPr>
                <w:i/>
                <w:iCs/>
                <w:color w:val="000000" w:themeColor="text1"/>
                <w:sz w:val="16"/>
                <w:szCs w:val="16"/>
              </w:rPr>
              <w:t xml:space="preserve">the C. </w:t>
            </w:r>
            <w:proofErr w:type="spellStart"/>
            <w:r>
              <w:rPr>
                <w:i/>
                <w:iCs/>
                <w:color w:val="000000" w:themeColor="text1"/>
                <w:sz w:val="16"/>
                <w:szCs w:val="16"/>
              </w:rPr>
              <w:t>bellicosus</w:t>
            </w:r>
            <w:proofErr w:type="spellEnd"/>
            <w:r w:rsidRPr="00F2676C">
              <w:rPr>
                <w:i/>
                <w:iCs/>
                <w:color w:val="000000" w:themeColor="text1"/>
                <w:sz w:val="16"/>
                <w:szCs w:val="16"/>
              </w:rPr>
              <w:t xml:space="preserve"> fishery </w:t>
            </w:r>
            <w:r>
              <w:rPr>
                <w:i/>
                <w:iCs/>
                <w:color w:val="000000" w:themeColor="text1"/>
                <w:sz w:val="16"/>
                <w:szCs w:val="16"/>
              </w:rPr>
              <w:t>in Sonora Cisneros-Mata et al. (2024)</w:t>
            </w:r>
          </w:p>
          <w:p w14:paraId="623569EA" w14:textId="027ED155" w:rsidR="002B4FAD" w:rsidRPr="002B4FAD" w:rsidRDefault="002B4FAD" w:rsidP="002B4FAD">
            <w:pPr>
              <w:rPr>
                <w:color w:val="000000" w:themeColor="text1"/>
                <w:sz w:val="18"/>
                <w:szCs w:val="18"/>
              </w:rPr>
            </w:pPr>
          </w:p>
        </w:tc>
      </w:tr>
      <w:tr w:rsidR="0087346B" w14:paraId="3697E759" w14:textId="77777777" w:rsidTr="00EC3E28">
        <w:tc>
          <w:tcPr>
            <w:tcW w:w="1001" w:type="dxa"/>
            <w:vMerge/>
            <w:tcMar>
              <w:top w:w="80" w:type="dxa"/>
              <w:left w:w="120" w:type="dxa"/>
              <w:bottom w:w="80" w:type="dxa"/>
              <w:right w:w="120" w:type="dxa"/>
            </w:tcMar>
            <w:vAlign w:val="center"/>
          </w:tcPr>
          <w:p w14:paraId="7B69769E" w14:textId="2CA24069" w:rsidR="006210C9" w:rsidRDefault="006210C9" w:rsidP="006210C9">
            <w:pPr>
              <w:jc w:val="center"/>
            </w:pPr>
          </w:p>
        </w:tc>
        <w:tc>
          <w:tcPr>
            <w:tcW w:w="1298" w:type="dxa"/>
            <w:vMerge/>
            <w:tcMar>
              <w:top w:w="80" w:type="dxa"/>
              <w:left w:w="120" w:type="dxa"/>
              <w:bottom w:w="80" w:type="dxa"/>
              <w:right w:w="120" w:type="dxa"/>
            </w:tcMar>
            <w:vAlign w:val="center"/>
          </w:tcPr>
          <w:p w14:paraId="17F8974B" w14:textId="68CC3848" w:rsidR="006210C9" w:rsidRDefault="006210C9" w:rsidP="006210C9">
            <w:pPr>
              <w:jc w:val="center"/>
            </w:pPr>
          </w:p>
        </w:tc>
        <w:tc>
          <w:tcPr>
            <w:tcW w:w="1385" w:type="dxa"/>
            <w:tcMar>
              <w:top w:w="80" w:type="dxa"/>
              <w:left w:w="120" w:type="dxa"/>
              <w:bottom w:w="80" w:type="dxa"/>
              <w:right w:w="120" w:type="dxa"/>
            </w:tcMar>
            <w:vAlign w:val="center"/>
          </w:tcPr>
          <w:p w14:paraId="36D0D085" w14:textId="77777777" w:rsidR="006210C9" w:rsidRDefault="006210C9" w:rsidP="006210C9">
            <w:pPr>
              <w:jc w:val="center"/>
            </w:pPr>
            <w:r>
              <w:rPr>
                <w:sz w:val="18"/>
                <w:szCs w:val="18"/>
              </w:rPr>
              <w:t>1.1.2 Stock Rebuilding</w:t>
            </w:r>
          </w:p>
        </w:tc>
        <w:tc>
          <w:tcPr>
            <w:tcW w:w="1001" w:type="dxa"/>
            <w:tcMar>
              <w:top w:w="80" w:type="dxa"/>
              <w:left w:w="120" w:type="dxa"/>
              <w:bottom w:w="80" w:type="dxa"/>
              <w:right w:w="120" w:type="dxa"/>
            </w:tcMar>
            <w:vAlign w:val="center"/>
          </w:tcPr>
          <w:p w14:paraId="03DC419B" w14:textId="77777777" w:rsidR="006210C9" w:rsidRDefault="006210C9" w:rsidP="00A0607E">
            <w:pPr>
              <w:jc w:val="center"/>
            </w:pPr>
            <w:r>
              <w:rPr>
                <w:sz w:val="18"/>
                <w:szCs w:val="18"/>
              </w:rPr>
              <w:t>N/A</w:t>
            </w:r>
          </w:p>
        </w:tc>
        <w:tc>
          <w:tcPr>
            <w:tcW w:w="980" w:type="dxa"/>
            <w:tcMar>
              <w:top w:w="80" w:type="dxa"/>
              <w:left w:w="120" w:type="dxa"/>
              <w:bottom w:w="80" w:type="dxa"/>
              <w:right w:w="120" w:type="dxa"/>
            </w:tcMar>
            <w:vAlign w:val="center"/>
          </w:tcPr>
          <w:p w14:paraId="33CD8F22" w14:textId="77777777" w:rsidR="006210C9" w:rsidRDefault="006210C9" w:rsidP="00A0607E">
            <w:pPr>
              <w:jc w:val="center"/>
            </w:pPr>
            <w:r>
              <w:rPr>
                <w:sz w:val="18"/>
                <w:szCs w:val="18"/>
              </w:rPr>
              <w:t>N/A</w:t>
            </w:r>
          </w:p>
        </w:tc>
        <w:tc>
          <w:tcPr>
            <w:tcW w:w="8010" w:type="dxa"/>
            <w:tcMar>
              <w:top w:w="80" w:type="dxa"/>
              <w:left w:w="120" w:type="dxa"/>
              <w:bottom w:w="80" w:type="dxa"/>
              <w:right w:w="120" w:type="dxa"/>
            </w:tcMar>
          </w:tcPr>
          <w:p w14:paraId="6FF8CB30" w14:textId="4D6A541F" w:rsidR="006210C9" w:rsidRDefault="006210C9">
            <w:r>
              <w:rPr>
                <w:sz w:val="18"/>
                <w:szCs w:val="18"/>
              </w:rPr>
              <w:t xml:space="preserve">Not applicable; </w:t>
            </w:r>
            <w:r w:rsidR="00F8184B">
              <w:rPr>
                <w:sz w:val="18"/>
                <w:szCs w:val="18"/>
              </w:rPr>
              <w:t>PI 1.1.1 scored &gt;80</w:t>
            </w:r>
            <w:r>
              <w:rPr>
                <w:sz w:val="18"/>
                <w:szCs w:val="18"/>
              </w:rPr>
              <w:t>.</w:t>
            </w:r>
          </w:p>
        </w:tc>
      </w:tr>
      <w:tr w:rsidR="0087346B" w14:paraId="6D26848C" w14:textId="77777777" w:rsidTr="00EC3E28">
        <w:tc>
          <w:tcPr>
            <w:tcW w:w="1001" w:type="dxa"/>
            <w:vMerge/>
            <w:tcMar>
              <w:top w:w="80" w:type="dxa"/>
              <w:left w:w="120" w:type="dxa"/>
              <w:bottom w:w="80" w:type="dxa"/>
              <w:right w:w="120" w:type="dxa"/>
            </w:tcMar>
            <w:vAlign w:val="center"/>
          </w:tcPr>
          <w:p w14:paraId="7C93255C" w14:textId="3ACA6611" w:rsidR="006210C9" w:rsidRDefault="006210C9" w:rsidP="006210C9">
            <w:pPr>
              <w:jc w:val="center"/>
            </w:pPr>
          </w:p>
        </w:tc>
        <w:tc>
          <w:tcPr>
            <w:tcW w:w="1298" w:type="dxa"/>
            <w:vMerge w:val="restart"/>
            <w:tcMar>
              <w:top w:w="80" w:type="dxa"/>
              <w:left w:w="120" w:type="dxa"/>
              <w:bottom w:w="80" w:type="dxa"/>
              <w:right w:w="120" w:type="dxa"/>
            </w:tcMar>
            <w:vAlign w:val="center"/>
          </w:tcPr>
          <w:p w14:paraId="340D2712" w14:textId="5347323E" w:rsidR="006210C9" w:rsidRDefault="006210C9" w:rsidP="006210C9">
            <w:pPr>
              <w:jc w:val="center"/>
            </w:pPr>
            <w:r>
              <w:rPr>
                <w:sz w:val="18"/>
                <w:szCs w:val="18"/>
              </w:rPr>
              <w:t>Management</w:t>
            </w:r>
          </w:p>
        </w:tc>
        <w:tc>
          <w:tcPr>
            <w:tcW w:w="1385" w:type="dxa"/>
            <w:tcMar>
              <w:top w:w="80" w:type="dxa"/>
              <w:left w:w="120" w:type="dxa"/>
              <w:bottom w:w="80" w:type="dxa"/>
              <w:right w:w="120" w:type="dxa"/>
            </w:tcMar>
            <w:vAlign w:val="center"/>
          </w:tcPr>
          <w:p w14:paraId="77A09F8C" w14:textId="77777777" w:rsidR="006210C9" w:rsidRDefault="006210C9" w:rsidP="006210C9">
            <w:pPr>
              <w:jc w:val="center"/>
            </w:pPr>
            <w:r>
              <w:rPr>
                <w:sz w:val="18"/>
                <w:szCs w:val="18"/>
              </w:rPr>
              <w:t>1.2.1 Harvest Strategy</w:t>
            </w:r>
          </w:p>
        </w:tc>
        <w:tc>
          <w:tcPr>
            <w:tcW w:w="1001" w:type="dxa"/>
            <w:shd w:val="clear" w:color="auto" w:fill="FFEE64"/>
            <w:tcMar>
              <w:top w:w="80" w:type="dxa"/>
              <w:left w:w="120" w:type="dxa"/>
              <w:bottom w:w="80" w:type="dxa"/>
              <w:right w:w="120" w:type="dxa"/>
            </w:tcMar>
            <w:vAlign w:val="center"/>
          </w:tcPr>
          <w:p w14:paraId="6815BF09" w14:textId="77777777" w:rsidR="006210C9" w:rsidRDefault="006210C9" w:rsidP="00A0607E">
            <w:pPr>
              <w:jc w:val="center"/>
            </w:pPr>
            <w:r>
              <w:rPr>
                <w:sz w:val="18"/>
                <w:szCs w:val="18"/>
              </w:rPr>
              <w:t>60–79</w:t>
            </w:r>
          </w:p>
        </w:tc>
        <w:tc>
          <w:tcPr>
            <w:tcW w:w="980" w:type="dxa"/>
            <w:shd w:val="clear" w:color="auto" w:fill="FFEE64"/>
            <w:tcMar>
              <w:top w:w="80" w:type="dxa"/>
              <w:left w:w="120" w:type="dxa"/>
              <w:bottom w:w="80" w:type="dxa"/>
              <w:right w:w="120" w:type="dxa"/>
            </w:tcMar>
            <w:vAlign w:val="center"/>
          </w:tcPr>
          <w:p w14:paraId="254E9BCE" w14:textId="77777777" w:rsidR="006210C9" w:rsidRDefault="006210C9" w:rsidP="00A0607E">
            <w:pPr>
              <w:jc w:val="center"/>
            </w:pPr>
            <w:r>
              <w:rPr>
                <w:sz w:val="18"/>
                <w:szCs w:val="18"/>
              </w:rPr>
              <w:t>60–79</w:t>
            </w:r>
          </w:p>
        </w:tc>
        <w:tc>
          <w:tcPr>
            <w:tcW w:w="8010" w:type="dxa"/>
            <w:tcMar>
              <w:top w:w="80" w:type="dxa"/>
              <w:left w:w="120" w:type="dxa"/>
              <w:bottom w:w="80" w:type="dxa"/>
              <w:right w:w="120" w:type="dxa"/>
            </w:tcMar>
          </w:tcPr>
          <w:p w14:paraId="26B4D433" w14:textId="3BE5AFA4" w:rsidR="00C74AD0" w:rsidRPr="00F2676C" w:rsidRDefault="00B25669" w:rsidP="00C74AD0">
            <w:pPr>
              <w:rPr>
                <w:color w:val="000000" w:themeColor="text1"/>
                <w:sz w:val="18"/>
                <w:szCs w:val="18"/>
              </w:rPr>
            </w:pPr>
            <w:r w:rsidRPr="00F2676C">
              <w:rPr>
                <w:color w:val="000000" w:themeColor="text1"/>
                <w:sz w:val="18"/>
                <w:szCs w:val="18"/>
              </w:rPr>
              <w:t xml:space="preserve">The swimming crab fishery has been managed through a formal permit system since 2006 and a Fishery Management Plan since 2015 (DOF 2014). It includes measures such as size limits, seasonal closures, mesh size restrictions, effort caps (totaling 122,100 traps across Sinaloa, Sonora, and Baja California Sur), CPUE monitoring, and stock assessments, with periodic reviews conducted through the </w:t>
            </w:r>
            <w:r w:rsidR="00C74AD0" w:rsidRPr="00F2676C">
              <w:rPr>
                <w:color w:val="000000" w:themeColor="text1"/>
                <w:sz w:val="18"/>
                <w:szCs w:val="18"/>
              </w:rPr>
              <w:t>Fisheries Order plan (</w:t>
            </w:r>
            <w:r w:rsidRPr="00F2676C">
              <w:rPr>
                <w:color w:val="000000" w:themeColor="text1"/>
                <w:sz w:val="18"/>
                <w:szCs w:val="18"/>
              </w:rPr>
              <w:t xml:space="preserve">Plan de </w:t>
            </w:r>
            <w:proofErr w:type="spellStart"/>
            <w:r w:rsidRPr="00F2676C">
              <w:rPr>
                <w:color w:val="000000" w:themeColor="text1"/>
                <w:sz w:val="18"/>
                <w:szCs w:val="18"/>
              </w:rPr>
              <w:t>Ordenamiento</w:t>
            </w:r>
            <w:proofErr w:type="spellEnd"/>
            <w:r w:rsidRPr="00F2676C">
              <w:rPr>
                <w:color w:val="000000" w:themeColor="text1"/>
                <w:sz w:val="18"/>
                <w:szCs w:val="18"/>
              </w:rPr>
              <w:t xml:space="preserve"> </w:t>
            </w:r>
            <w:proofErr w:type="spellStart"/>
            <w:r w:rsidRPr="00F2676C">
              <w:rPr>
                <w:color w:val="000000" w:themeColor="text1"/>
                <w:sz w:val="18"/>
                <w:szCs w:val="18"/>
              </w:rPr>
              <w:t>Pesquero</w:t>
            </w:r>
            <w:proofErr w:type="spellEnd"/>
            <w:r w:rsidR="00C74AD0" w:rsidRPr="00F2676C">
              <w:rPr>
                <w:color w:val="000000" w:themeColor="text1"/>
                <w:sz w:val="18"/>
                <w:szCs w:val="18"/>
              </w:rPr>
              <w:t>)</w:t>
            </w:r>
            <w:r w:rsidRPr="00F2676C">
              <w:rPr>
                <w:color w:val="000000" w:themeColor="text1"/>
                <w:sz w:val="18"/>
                <w:szCs w:val="18"/>
              </w:rPr>
              <w:t xml:space="preserve"> (CONAPESCA, 2014) and the National Fisheries Chart (Carta Nacional Pesquera) (DOF, 2013) (DOF, 2023). Reference points were recently updated by Balmori-Ramirez et al. (2024) using a C-MSY approach on landings data from 1980–2018, representing a methodological improvement over prior assessments and a risk-averse, precautionary orientation consistent with MSC guidance for data-limited stocks. </w:t>
            </w:r>
          </w:p>
          <w:p w14:paraId="53BBF804" w14:textId="17DBDD8F" w:rsidR="006210C9" w:rsidRPr="00C74AD0" w:rsidRDefault="00C74AD0" w:rsidP="00C74AD0">
            <w:pPr>
              <w:rPr>
                <w:sz w:val="18"/>
                <w:szCs w:val="18"/>
              </w:rPr>
            </w:pPr>
            <w:r w:rsidRPr="00F2676C">
              <w:rPr>
                <w:color w:val="000000" w:themeColor="text1"/>
                <w:sz w:val="18"/>
                <w:szCs w:val="18"/>
              </w:rPr>
              <w:t>Overall, the current system is expected to maintain the stock near MSY under stable conditions, but it is not demonstrably responsive to ensure rebuilding or risk mitigation under uncertainty</w:t>
            </w:r>
            <w:r w:rsidR="00A64FB9" w:rsidRPr="00F2676C">
              <w:rPr>
                <w:color w:val="000000" w:themeColor="text1"/>
                <w:sz w:val="18"/>
                <w:szCs w:val="18"/>
              </w:rPr>
              <w:t xml:space="preserve">. For these reasons, a </w:t>
            </w:r>
            <w:r w:rsidR="00F83CE4" w:rsidRPr="00F2676C">
              <w:rPr>
                <w:color w:val="000000" w:themeColor="text1"/>
                <w:sz w:val="18"/>
                <w:szCs w:val="18"/>
              </w:rPr>
              <w:t>precautionary approach is considered.</w:t>
            </w:r>
          </w:p>
        </w:tc>
      </w:tr>
      <w:tr w:rsidR="0087346B" w14:paraId="7EB3D74F" w14:textId="77777777" w:rsidTr="00EC3E28">
        <w:tc>
          <w:tcPr>
            <w:tcW w:w="1001" w:type="dxa"/>
            <w:vMerge/>
            <w:tcMar>
              <w:top w:w="80" w:type="dxa"/>
              <w:left w:w="120" w:type="dxa"/>
              <w:bottom w:w="80" w:type="dxa"/>
              <w:right w:w="120" w:type="dxa"/>
            </w:tcMar>
            <w:vAlign w:val="center"/>
          </w:tcPr>
          <w:p w14:paraId="79B7D98E" w14:textId="4C2ABA66" w:rsidR="006210C9" w:rsidRDefault="006210C9" w:rsidP="006210C9">
            <w:pPr>
              <w:jc w:val="center"/>
            </w:pPr>
          </w:p>
        </w:tc>
        <w:tc>
          <w:tcPr>
            <w:tcW w:w="1298" w:type="dxa"/>
            <w:vMerge/>
            <w:tcMar>
              <w:top w:w="80" w:type="dxa"/>
              <w:left w:w="120" w:type="dxa"/>
              <w:bottom w:w="80" w:type="dxa"/>
              <w:right w:w="120" w:type="dxa"/>
            </w:tcMar>
            <w:vAlign w:val="center"/>
          </w:tcPr>
          <w:p w14:paraId="1D220F9A" w14:textId="3C198A55" w:rsidR="006210C9" w:rsidRDefault="006210C9" w:rsidP="006210C9">
            <w:pPr>
              <w:jc w:val="center"/>
            </w:pPr>
          </w:p>
        </w:tc>
        <w:tc>
          <w:tcPr>
            <w:tcW w:w="1385" w:type="dxa"/>
            <w:tcMar>
              <w:top w:w="80" w:type="dxa"/>
              <w:left w:w="120" w:type="dxa"/>
              <w:bottom w:w="80" w:type="dxa"/>
              <w:right w:w="120" w:type="dxa"/>
            </w:tcMar>
            <w:vAlign w:val="center"/>
          </w:tcPr>
          <w:p w14:paraId="3EBD59E4" w14:textId="77777777" w:rsidR="006210C9" w:rsidRDefault="006210C9" w:rsidP="006210C9">
            <w:pPr>
              <w:jc w:val="center"/>
            </w:pPr>
            <w:r>
              <w:rPr>
                <w:sz w:val="18"/>
                <w:szCs w:val="18"/>
              </w:rPr>
              <w:t>1.2.2 Harvest Control Rules</w:t>
            </w:r>
          </w:p>
        </w:tc>
        <w:tc>
          <w:tcPr>
            <w:tcW w:w="1001" w:type="dxa"/>
            <w:shd w:val="clear" w:color="auto" w:fill="FFEE64"/>
            <w:tcMar>
              <w:top w:w="80" w:type="dxa"/>
              <w:left w:w="120" w:type="dxa"/>
              <w:bottom w:w="80" w:type="dxa"/>
              <w:right w:w="120" w:type="dxa"/>
            </w:tcMar>
            <w:vAlign w:val="center"/>
          </w:tcPr>
          <w:p w14:paraId="012E5C98" w14:textId="77777777" w:rsidR="006210C9" w:rsidRDefault="006210C9" w:rsidP="00A0607E">
            <w:pPr>
              <w:jc w:val="center"/>
            </w:pPr>
            <w:r w:rsidRPr="003260CB">
              <w:rPr>
                <w:sz w:val="18"/>
                <w:szCs w:val="18"/>
              </w:rPr>
              <w:t>60</w:t>
            </w:r>
            <w:r>
              <w:rPr>
                <w:sz w:val="18"/>
                <w:szCs w:val="18"/>
              </w:rPr>
              <w:t>–79</w:t>
            </w:r>
          </w:p>
        </w:tc>
        <w:tc>
          <w:tcPr>
            <w:tcW w:w="980" w:type="dxa"/>
            <w:shd w:val="clear" w:color="auto" w:fill="FFEE64"/>
            <w:tcMar>
              <w:top w:w="80" w:type="dxa"/>
              <w:left w:w="120" w:type="dxa"/>
              <w:bottom w:w="80" w:type="dxa"/>
              <w:right w:w="120" w:type="dxa"/>
            </w:tcMar>
            <w:vAlign w:val="center"/>
          </w:tcPr>
          <w:p w14:paraId="6AA2E1BF" w14:textId="77777777" w:rsidR="006210C9" w:rsidRDefault="006210C9" w:rsidP="00A0607E">
            <w:pPr>
              <w:jc w:val="center"/>
            </w:pPr>
            <w:r>
              <w:rPr>
                <w:sz w:val="18"/>
                <w:szCs w:val="18"/>
              </w:rPr>
              <w:t>60–79</w:t>
            </w:r>
          </w:p>
        </w:tc>
        <w:tc>
          <w:tcPr>
            <w:tcW w:w="8010" w:type="dxa"/>
            <w:tcMar>
              <w:top w:w="80" w:type="dxa"/>
              <w:left w:w="120" w:type="dxa"/>
              <w:bottom w:w="80" w:type="dxa"/>
              <w:right w:w="120" w:type="dxa"/>
            </w:tcMar>
          </w:tcPr>
          <w:p w14:paraId="3C422A9B" w14:textId="77777777" w:rsidR="00C74AD0" w:rsidRPr="00F2676C" w:rsidRDefault="00C74AD0">
            <w:pPr>
              <w:rPr>
                <w:color w:val="000000" w:themeColor="text1"/>
                <w:sz w:val="18"/>
                <w:szCs w:val="18"/>
              </w:rPr>
            </w:pPr>
            <w:r w:rsidRPr="00F2676C">
              <w:rPr>
                <w:color w:val="000000" w:themeColor="text1"/>
                <w:sz w:val="18"/>
                <w:szCs w:val="18"/>
              </w:rPr>
              <w:t>The target species are managed under the same harvest control rules (HCRs), which include fishing effort limits, size-selective harvest practices, and seasonal closures designed to protect reproductive phases. IMIPAS (2024a, 2024b) monitors size structure and catch landings to inform stock composition and catch rate dynamics, which can be consider as pre-agreed rules to qualify as HCRs. In addition, manager’s reports for Sonora and Nayarit confirm that these measures are operationally linked to stock status evaluations from Catch-MSY and CMSY/BSM models, which estimate exploitation rates relative to FMSY and biomass relative to BMSY, with IMIPAS (2024, Sonora) explicitly advising against effort increases in zones at maximum sustainable yield. However, SG80 is not met because the HCRs rely on global reference points (e.g., BMSY = K/2, FMSY = r/2) rather than empirically derived, stock-specific thresholds, the control rule is expressed only as a conceptual equation, and the rules are applied uniformly across all stocks without accounting for regional or species-specific differences.</w:t>
            </w:r>
          </w:p>
          <w:p w14:paraId="2AF59213" w14:textId="77777777" w:rsidR="00F91D79" w:rsidRPr="00F2676C" w:rsidRDefault="00F91D79">
            <w:pPr>
              <w:rPr>
                <w:color w:val="000000" w:themeColor="text1"/>
                <w:sz w:val="18"/>
                <w:szCs w:val="18"/>
              </w:rPr>
            </w:pPr>
            <w:r w:rsidRPr="00F2676C">
              <w:rPr>
                <w:color w:val="000000" w:themeColor="text1"/>
                <w:sz w:val="18"/>
                <w:szCs w:val="18"/>
              </w:rPr>
              <w:t>The stable or increasing biomass relative to BMSY and FMSY (IMIPAS 2024) can be considered</w:t>
            </w:r>
            <w:r w:rsidR="00C74AD0" w:rsidRPr="00F2676C">
              <w:rPr>
                <w:color w:val="000000" w:themeColor="text1"/>
                <w:sz w:val="18"/>
                <w:szCs w:val="18"/>
              </w:rPr>
              <w:t xml:space="preserve"> evidence that the management tools implementing the HCRs</w:t>
            </w:r>
            <w:r w:rsidRPr="00F2676C">
              <w:rPr>
                <w:color w:val="000000" w:themeColor="text1"/>
                <w:sz w:val="18"/>
                <w:szCs w:val="18"/>
              </w:rPr>
              <w:t xml:space="preserve"> </w:t>
            </w:r>
            <w:r w:rsidR="00C74AD0" w:rsidRPr="00F2676C">
              <w:rPr>
                <w:color w:val="000000" w:themeColor="text1"/>
                <w:sz w:val="18"/>
                <w:szCs w:val="18"/>
              </w:rPr>
              <w:t xml:space="preserve">have been relatively effective in controlling exploitation and avoiding growth overfishing. </w:t>
            </w:r>
          </w:p>
          <w:p w14:paraId="05BB54E0" w14:textId="332DE673" w:rsidR="006210C9" w:rsidRPr="00F2676C" w:rsidRDefault="00F91D79" w:rsidP="00F91D79">
            <w:pPr>
              <w:rPr>
                <w:color w:val="000000" w:themeColor="text1"/>
              </w:rPr>
            </w:pPr>
            <w:r w:rsidRPr="00F2676C">
              <w:rPr>
                <w:color w:val="000000" w:themeColor="text1"/>
                <w:sz w:val="18"/>
                <w:szCs w:val="18"/>
              </w:rPr>
              <w:t xml:space="preserve">In Nayarit, </w:t>
            </w:r>
            <w:r w:rsidR="00C74AD0" w:rsidRPr="00F2676C">
              <w:rPr>
                <w:color w:val="000000" w:themeColor="text1"/>
                <w:sz w:val="18"/>
                <w:szCs w:val="18"/>
              </w:rPr>
              <w:t xml:space="preserve">long-term catch series confirm that current harvest levels are consistent with sustainable exploitation. However, </w:t>
            </w:r>
            <w:r w:rsidRPr="00F2676C">
              <w:rPr>
                <w:color w:val="000000" w:themeColor="text1"/>
                <w:sz w:val="18"/>
                <w:szCs w:val="18"/>
              </w:rPr>
              <w:t xml:space="preserve">since the </w:t>
            </w:r>
            <w:r w:rsidR="00C74AD0" w:rsidRPr="00F2676C">
              <w:rPr>
                <w:color w:val="000000" w:themeColor="text1"/>
                <w:sz w:val="18"/>
                <w:szCs w:val="18"/>
              </w:rPr>
              <w:t xml:space="preserve">HCRs </w:t>
            </w:r>
            <w:r w:rsidRPr="00F2676C">
              <w:rPr>
                <w:color w:val="000000" w:themeColor="text1"/>
                <w:sz w:val="18"/>
                <w:szCs w:val="18"/>
              </w:rPr>
              <w:t xml:space="preserve">are not yet </w:t>
            </w:r>
            <w:r w:rsidR="00C74AD0" w:rsidRPr="00F2676C">
              <w:rPr>
                <w:color w:val="000000" w:themeColor="text1"/>
                <w:sz w:val="18"/>
                <w:szCs w:val="18"/>
              </w:rPr>
              <w:t xml:space="preserve">defined in the FMP </w:t>
            </w:r>
            <w:r w:rsidRPr="00F2676C">
              <w:rPr>
                <w:color w:val="000000" w:themeColor="text1"/>
                <w:sz w:val="18"/>
                <w:szCs w:val="18"/>
              </w:rPr>
              <w:t xml:space="preserve">SG80 is not reached. </w:t>
            </w:r>
            <w:r w:rsidR="00C74AD0" w:rsidRPr="00F2676C">
              <w:rPr>
                <w:color w:val="000000" w:themeColor="text1"/>
                <w:sz w:val="18"/>
                <w:szCs w:val="18"/>
              </w:rPr>
              <w:t>Finally, SG100 is not reached, as the system depends on periodic scientific evaluations and administrative decisions rather than formally pre-agreed, automated rule-based triggers with explicit reference points and decision rules.</w:t>
            </w:r>
          </w:p>
        </w:tc>
      </w:tr>
      <w:tr w:rsidR="0087346B" w14:paraId="6FE28E5A" w14:textId="77777777" w:rsidTr="00EC3E28">
        <w:tc>
          <w:tcPr>
            <w:tcW w:w="1001" w:type="dxa"/>
            <w:vMerge/>
            <w:tcMar>
              <w:top w:w="80" w:type="dxa"/>
              <w:left w:w="120" w:type="dxa"/>
              <w:bottom w:w="80" w:type="dxa"/>
              <w:right w:w="120" w:type="dxa"/>
            </w:tcMar>
            <w:vAlign w:val="center"/>
          </w:tcPr>
          <w:p w14:paraId="5457EBE8" w14:textId="14A88B54" w:rsidR="003260CB" w:rsidRDefault="003260CB" w:rsidP="003260CB">
            <w:pPr>
              <w:jc w:val="center"/>
            </w:pPr>
          </w:p>
        </w:tc>
        <w:tc>
          <w:tcPr>
            <w:tcW w:w="1298" w:type="dxa"/>
            <w:vMerge/>
            <w:tcMar>
              <w:top w:w="80" w:type="dxa"/>
              <w:left w:w="120" w:type="dxa"/>
              <w:bottom w:w="80" w:type="dxa"/>
              <w:right w:w="120" w:type="dxa"/>
            </w:tcMar>
            <w:vAlign w:val="center"/>
          </w:tcPr>
          <w:p w14:paraId="4C020703" w14:textId="19AD55CD" w:rsidR="003260CB" w:rsidRDefault="003260CB" w:rsidP="003260CB">
            <w:pPr>
              <w:jc w:val="center"/>
            </w:pPr>
          </w:p>
        </w:tc>
        <w:tc>
          <w:tcPr>
            <w:tcW w:w="1385" w:type="dxa"/>
            <w:tcMar>
              <w:top w:w="80" w:type="dxa"/>
              <w:left w:w="120" w:type="dxa"/>
              <w:bottom w:w="80" w:type="dxa"/>
              <w:right w:w="120" w:type="dxa"/>
            </w:tcMar>
            <w:vAlign w:val="center"/>
          </w:tcPr>
          <w:p w14:paraId="04D3CEDE" w14:textId="77777777" w:rsidR="003260CB" w:rsidRDefault="003260CB" w:rsidP="003260CB">
            <w:pPr>
              <w:jc w:val="center"/>
            </w:pPr>
            <w:r>
              <w:rPr>
                <w:sz w:val="18"/>
                <w:szCs w:val="18"/>
              </w:rPr>
              <w:t>1.2.3 Information &amp; Monitoring</w:t>
            </w:r>
          </w:p>
        </w:tc>
        <w:tc>
          <w:tcPr>
            <w:tcW w:w="1001" w:type="dxa"/>
            <w:shd w:val="clear" w:color="auto" w:fill="FFEE64"/>
            <w:tcMar>
              <w:top w:w="80" w:type="dxa"/>
              <w:left w:w="120" w:type="dxa"/>
              <w:bottom w:w="80" w:type="dxa"/>
              <w:right w:w="120" w:type="dxa"/>
            </w:tcMar>
            <w:vAlign w:val="center"/>
          </w:tcPr>
          <w:p w14:paraId="4CB3C6C8" w14:textId="3183A027" w:rsidR="003260CB" w:rsidRDefault="003260CB" w:rsidP="003260CB">
            <w:pPr>
              <w:jc w:val="center"/>
            </w:pPr>
            <w:r>
              <w:rPr>
                <w:sz w:val="18"/>
                <w:szCs w:val="18"/>
              </w:rPr>
              <w:t>60–79</w:t>
            </w:r>
          </w:p>
        </w:tc>
        <w:tc>
          <w:tcPr>
            <w:tcW w:w="980" w:type="dxa"/>
            <w:shd w:val="clear" w:color="auto" w:fill="B4DE8B"/>
            <w:tcMar>
              <w:top w:w="80" w:type="dxa"/>
              <w:left w:w="120" w:type="dxa"/>
              <w:bottom w:w="80" w:type="dxa"/>
              <w:right w:w="120" w:type="dxa"/>
            </w:tcMar>
            <w:vAlign w:val="center"/>
          </w:tcPr>
          <w:p w14:paraId="27DDBFF9"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385B6CA8" w14:textId="77777777" w:rsidR="00F83CE4" w:rsidRPr="00F2676C" w:rsidRDefault="00F91D79" w:rsidP="002A7A49">
            <w:pPr>
              <w:rPr>
                <w:color w:val="000000" w:themeColor="text1"/>
                <w:sz w:val="18"/>
                <w:szCs w:val="18"/>
              </w:rPr>
            </w:pPr>
            <w:r w:rsidRPr="00F2676C">
              <w:rPr>
                <w:color w:val="000000" w:themeColor="text1"/>
                <w:sz w:val="18"/>
                <w:szCs w:val="18"/>
              </w:rPr>
              <w:t xml:space="preserve">CONAPESCA requires licensing for all vessels, and </w:t>
            </w:r>
            <w:r w:rsidR="002A7A49" w:rsidRPr="00F2676C">
              <w:rPr>
                <w:color w:val="000000" w:themeColor="text1"/>
                <w:sz w:val="18"/>
                <w:szCs w:val="18"/>
              </w:rPr>
              <w:t xml:space="preserve">wit </w:t>
            </w:r>
            <w:r w:rsidRPr="00F2676C">
              <w:rPr>
                <w:color w:val="000000" w:themeColor="text1"/>
                <w:sz w:val="18"/>
                <w:szCs w:val="18"/>
              </w:rPr>
              <w:t xml:space="preserve">the live crab market incentivizes fishing near landing sites, </w:t>
            </w:r>
            <w:r w:rsidR="00F83CE4" w:rsidRPr="00F2676C">
              <w:rPr>
                <w:color w:val="000000" w:themeColor="text1"/>
                <w:sz w:val="18"/>
                <w:szCs w:val="18"/>
              </w:rPr>
              <w:t xml:space="preserve">relatively </w:t>
            </w:r>
            <w:r w:rsidRPr="00F2676C">
              <w:rPr>
                <w:color w:val="000000" w:themeColor="text1"/>
                <w:sz w:val="18"/>
                <w:szCs w:val="18"/>
              </w:rPr>
              <w:t>reliable landings data</w:t>
            </w:r>
            <w:r w:rsidR="002A7A49" w:rsidRPr="00F2676C">
              <w:rPr>
                <w:color w:val="000000" w:themeColor="text1"/>
                <w:sz w:val="18"/>
                <w:szCs w:val="18"/>
              </w:rPr>
              <w:t xml:space="preserve"> information is available</w:t>
            </w:r>
            <w:r w:rsidRPr="00F2676C">
              <w:rPr>
                <w:color w:val="000000" w:themeColor="text1"/>
                <w:sz w:val="18"/>
                <w:szCs w:val="18"/>
              </w:rPr>
              <w:t>. In-season CPUE changes are monitored through fishe</w:t>
            </w:r>
            <w:r w:rsidR="002A7A49" w:rsidRPr="00F2676C">
              <w:rPr>
                <w:color w:val="000000" w:themeColor="text1"/>
                <w:sz w:val="18"/>
                <w:szCs w:val="18"/>
              </w:rPr>
              <w:t>r</w:t>
            </w:r>
            <w:r w:rsidRPr="00F2676C">
              <w:rPr>
                <w:color w:val="000000" w:themeColor="text1"/>
                <w:sz w:val="18"/>
                <w:szCs w:val="18"/>
              </w:rPr>
              <w:t>'s logbook</w:t>
            </w:r>
            <w:r w:rsidR="002A7A49" w:rsidRPr="00F2676C">
              <w:rPr>
                <w:color w:val="000000" w:themeColor="text1"/>
                <w:sz w:val="18"/>
                <w:szCs w:val="18"/>
              </w:rPr>
              <w:t xml:space="preserve">s. Managers </w:t>
            </w:r>
            <w:r w:rsidRPr="00F2676C">
              <w:rPr>
                <w:color w:val="000000" w:themeColor="text1"/>
                <w:sz w:val="18"/>
                <w:szCs w:val="18"/>
              </w:rPr>
              <w:t xml:space="preserve">track size </w:t>
            </w:r>
            <w:r w:rsidR="00F83CE4" w:rsidRPr="00F2676C">
              <w:rPr>
                <w:color w:val="000000" w:themeColor="text1"/>
                <w:sz w:val="18"/>
                <w:szCs w:val="18"/>
              </w:rPr>
              <w:t>structure and</w:t>
            </w:r>
            <w:r w:rsidRPr="00F2676C">
              <w:rPr>
                <w:color w:val="000000" w:themeColor="text1"/>
                <w:sz w:val="18"/>
                <w:szCs w:val="18"/>
              </w:rPr>
              <w:t xml:space="preserve"> build CPUE as a proxy for stock abundance. Balmori-Ramirez et al. (2024) further strengthened the information base through formal stock assessments using a dynamic biomass model with proposed target and limit reference points, demonstrating that stock abundance and fishery removals are monitored at a level of accuracy and coverage consistent with the HCR, and </w:t>
            </w:r>
            <w:r w:rsidRPr="00F2676C">
              <w:rPr>
                <w:color w:val="000000" w:themeColor="text1"/>
                <w:sz w:val="18"/>
                <w:szCs w:val="18"/>
              </w:rPr>
              <w:lastRenderedPageBreak/>
              <w:t xml:space="preserve">confirming SG80 is met. Regarding fishery removals, while minor unreported removals </w:t>
            </w:r>
            <w:r w:rsidR="002A7A49" w:rsidRPr="00F2676C">
              <w:rPr>
                <w:color w:val="000000" w:themeColor="text1"/>
                <w:sz w:val="18"/>
                <w:szCs w:val="18"/>
              </w:rPr>
              <w:t xml:space="preserve">may </w:t>
            </w:r>
            <w:r w:rsidRPr="00F2676C">
              <w:rPr>
                <w:color w:val="000000" w:themeColor="text1"/>
                <w:sz w:val="18"/>
                <w:szCs w:val="18"/>
              </w:rPr>
              <w:t>exist (DOF, 2014)</w:t>
            </w:r>
            <w:r w:rsidR="002A7A49" w:rsidRPr="00F2676C">
              <w:rPr>
                <w:color w:val="000000" w:themeColor="text1"/>
                <w:sz w:val="18"/>
                <w:szCs w:val="18"/>
              </w:rPr>
              <w:t xml:space="preserve">, </w:t>
            </w:r>
            <w:r w:rsidRPr="00F2676C">
              <w:rPr>
                <w:color w:val="000000" w:themeColor="text1"/>
                <w:sz w:val="18"/>
                <w:szCs w:val="18"/>
              </w:rPr>
              <w:t xml:space="preserve">this practice is uncommon, and overall information on fishery removals is considered sufficient to meet SG80. </w:t>
            </w:r>
          </w:p>
          <w:p w14:paraId="7054CBF2" w14:textId="77777777" w:rsidR="00F83CE4" w:rsidRPr="00F2676C" w:rsidRDefault="00F83CE4" w:rsidP="002A7A49">
            <w:pPr>
              <w:rPr>
                <w:color w:val="000000" w:themeColor="text1"/>
                <w:sz w:val="18"/>
                <w:szCs w:val="18"/>
              </w:rPr>
            </w:pPr>
          </w:p>
          <w:p w14:paraId="011A7AB8" w14:textId="4625293E" w:rsidR="003260CB" w:rsidRPr="00F2676C" w:rsidRDefault="00F91D79" w:rsidP="002A7A49">
            <w:pPr>
              <w:rPr>
                <w:color w:val="000000" w:themeColor="text1"/>
                <w:sz w:val="18"/>
                <w:szCs w:val="18"/>
              </w:rPr>
            </w:pPr>
            <w:r w:rsidRPr="00F2676C">
              <w:rPr>
                <w:color w:val="000000" w:themeColor="text1"/>
                <w:sz w:val="18"/>
                <w:szCs w:val="18"/>
              </w:rPr>
              <w:t>However,</w:t>
            </w:r>
            <w:r w:rsidR="00F83CE4" w:rsidRPr="00F2676C">
              <w:rPr>
                <w:color w:val="000000" w:themeColor="text1"/>
                <w:sz w:val="18"/>
                <w:szCs w:val="18"/>
              </w:rPr>
              <w:t xml:space="preserve"> for</w:t>
            </w:r>
            <w:r w:rsidRPr="00F2676C">
              <w:rPr>
                <w:color w:val="000000" w:themeColor="text1"/>
                <w:sz w:val="18"/>
                <w:szCs w:val="18"/>
              </w:rPr>
              <w:t xml:space="preserve"> future stock projections, evaluations of harvest strategy performance </w:t>
            </w:r>
            <w:r w:rsidR="002A7A49" w:rsidRPr="00F2676C">
              <w:rPr>
                <w:color w:val="000000" w:themeColor="text1"/>
                <w:sz w:val="18"/>
                <w:szCs w:val="18"/>
              </w:rPr>
              <w:t>under alternative hypotheses or plausible scenarios need to be developed.</w:t>
            </w:r>
          </w:p>
        </w:tc>
      </w:tr>
      <w:tr w:rsidR="0087346B" w14:paraId="0581200D" w14:textId="77777777" w:rsidTr="00EC3E28">
        <w:tc>
          <w:tcPr>
            <w:tcW w:w="1001" w:type="dxa"/>
            <w:vMerge/>
            <w:tcMar>
              <w:top w:w="80" w:type="dxa"/>
              <w:left w:w="120" w:type="dxa"/>
              <w:bottom w:w="80" w:type="dxa"/>
              <w:right w:w="120" w:type="dxa"/>
            </w:tcMar>
            <w:vAlign w:val="center"/>
          </w:tcPr>
          <w:p w14:paraId="617C04A9" w14:textId="1D4E4A9F" w:rsidR="003260CB" w:rsidRDefault="003260CB" w:rsidP="003260CB">
            <w:pPr>
              <w:jc w:val="center"/>
            </w:pPr>
          </w:p>
        </w:tc>
        <w:tc>
          <w:tcPr>
            <w:tcW w:w="1298" w:type="dxa"/>
            <w:vMerge/>
            <w:tcMar>
              <w:top w:w="80" w:type="dxa"/>
              <w:left w:w="120" w:type="dxa"/>
              <w:bottom w:w="80" w:type="dxa"/>
              <w:right w:w="120" w:type="dxa"/>
            </w:tcMar>
            <w:vAlign w:val="center"/>
          </w:tcPr>
          <w:p w14:paraId="6DCBB743" w14:textId="7E53F79B" w:rsidR="003260CB" w:rsidRDefault="003260CB" w:rsidP="003260CB">
            <w:pPr>
              <w:jc w:val="center"/>
            </w:pPr>
          </w:p>
        </w:tc>
        <w:tc>
          <w:tcPr>
            <w:tcW w:w="1385" w:type="dxa"/>
            <w:tcMar>
              <w:top w:w="80" w:type="dxa"/>
              <w:left w:w="120" w:type="dxa"/>
              <w:bottom w:w="80" w:type="dxa"/>
              <w:right w:w="120" w:type="dxa"/>
            </w:tcMar>
            <w:vAlign w:val="center"/>
          </w:tcPr>
          <w:p w14:paraId="3B426673" w14:textId="77777777" w:rsidR="003260CB" w:rsidRDefault="003260CB" w:rsidP="003260CB">
            <w:pPr>
              <w:jc w:val="center"/>
            </w:pPr>
            <w:r>
              <w:rPr>
                <w:sz w:val="18"/>
                <w:szCs w:val="18"/>
              </w:rPr>
              <w:t>1.2.4 Assessment of Stock Status</w:t>
            </w:r>
          </w:p>
        </w:tc>
        <w:tc>
          <w:tcPr>
            <w:tcW w:w="1001" w:type="dxa"/>
            <w:shd w:val="clear" w:color="auto" w:fill="B4DE8B"/>
            <w:tcMar>
              <w:top w:w="80" w:type="dxa"/>
              <w:left w:w="120" w:type="dxa"/>
              <w:bottom w:w="80" w:type="dxa"/>
              <w:right w:w="120" w:type="dxa"/>
            </w:tcMar>
            <w:vAlign w:val="center"/>
          </w:tcPr>
          <w:p w14:paraId="7D610CD6" w14:textId="25337CE1" w:rsidR="003260CB" w:rsidRDefault="003260CB" w:rsidP="003260CB">
            <w:pPr>
              <w:jc w:val="center"/>
            </w:pPr>
            <w:r>
              <w:rPr>
                <w:sz w:val="18"/>
                <w:szCs w:val="18"/>
              </w:rPr>
              <w:t>≥80</w:t>
            </w:r>
          </w:p>
        </w:tc>
        <w:tc>
          <w:tcPr>
            <w:tcW w:w="980" w:type="dxa"/>
            <w:shd w:val="clear" w:color="auto" w:fill="FFEE64"/>
            <w:tcMar>
              <w:top w:w="80" w:type="dxa"/>
              <w:left w:w="120" w:type="dxa"/>
              <w:bottom w:w="80" w:type="dxa"/>
              <w:right w:w="120" w:type="dxa"/>
            </w:tcMar>
            <w:vAlign w:val="center"/>
          </w:tcPr>
          <w:p w14:paraId="0F365D63" w14:textId="77777777" w:rsidR="003260CB" w:rsidRDefault="003260CB" w:rsidP="003260CB">
            <w:pPr>
              <w:jc w:val="center"/>
            </w:pPr>
            <w:r>
              <w:rPr>
                <w:sz w:val="18"/>
                <w:szCs w:val="18"/>
              </w:rPr>
              <w:t>60–79</w:t>
            </w:r>
          </w:p>
        </w:tc>
        <w:tc>
          <w:tcPr>
            <w:tcW w:w="8010" w:type="dxa"/>
            <w:tcMar>
              <w:top w:w="80" w:type="dxa"/>
              <w:left w:w="120" w:type="dxa"/>
              <w:bottom w:w="80" w:type="dxa"/>
              <w:right w:w="120" w:type="dxa"/>
            </w:tcMar>
          </w:tcPr>
          <w:p w14:paraId="4EE55109" w14:textId="77777777" w:rsidR="00F83CE4" w:rsidRPr="00F2676C" w:rsidRDefault="00182E7C" w:rsidP="00182E7C">
            <w:pPr>
              <w:rPr>
                <w:color w:val="000000" w:themeColor="text1"/>
                <w:sz w:val="18"/>
                <w:szCs w:val="18"/>
              </w:rPr>
            </w:pPr>
            <w:r w:rsidRPr="00F2676C">
              <w:rPr>
                <w:color w:val="000000" w:themeColor="text1"/>
                <w:sz w:val="18"/>
                <w:szCs w:val="18"/>
              </w:rPr>
              <w:t xml:space="preserve">Based on the </w:t>
            </w:r>
            <w:r w:rsidR="00F83CE4" w:rsidRPr="00F2676C">
              <w:rPr>
                <w:color w:val="000000" w:themeColor="text1"/>
                <w:sz w:val="18"/>
                <w:szCs w:val="18"/>
              </w:rPr>
              <w:t>status</w:t>
            </w:r>
            <w:r w:rsidRPr="00F2676C">
              <w:rPr>
                <w:color w:val="000000" w:themeColor="text1"/>
                <w:sz w:val="18"/>
                <w:szCs w:val="18"/>
              </w:rPr>
              <w:t xml:space="preserve"> of the stocks, it can be considered as evidence that the harvest strategy is been relatively effective in controlling exploitation (IMIPAS, 2024a, 2024b). Stock assessments for the species in Sonora and Nayarit (IMIPAS, 2024) </w:t>
            </w:r>
            <w:r w:rsidR="00F83CE4" w:rsidRPr="00F2676C">
              <w:rPr>
                <w:color w:val="000000" w:themeColor="text1"/>
                <w:sz w:val="18"/>
                <w:szCs w:val="18"/>
              </w:rPr>
              <w:t xml:space="preserve">use </w:t>
            </w:r>
            <w:r w:rsidRPr="00F2676C">
              <w:rPr>
                <w:color w:val="000000" w:themeColor="text1"/>
                <w:sz w:val="18"/>
                <w:szCs w:val="18"/>
              </w:rPr>
              <w:t xml:space="preserve">appropriate frameworks for data-moderate fisheries, incorporating historical catch data, resilience estimates, and Monte Carlo stochastic simulations (60,000 iterations) to estimate key parameters (r, K, B/BMSY), with uncertainty explicitly addressed through probabilistic modeling, confidence intervals, sensitivity analyses, and precautionary recommendations for high-uncertainty zones (IMIPAS, 2024; Balmori-Ramirez et al., 2024; Martell &amp; Froese, 2013). </w:t>
            </w:r>
          </w:p>
          <w:p w14:paraId="37A4F358" w14:textId="77777777" w:rsidR="00F83CE4" w:rsidRPr="00F2676C" w:rsidRDefault="00F83CE4" w:rsidP="00182E7C">
            <w:pPr>
              <w:rPr>
                <w:color w:val="000000" w:themeColor="text1"/>
                <w:sz w:val="18"/>
                <w:szCs w:val="18"/>
              </w:rPr>
            </w:pPr>
          </w:p>
          <w:p w14:paraId="25A7B930" w14:textId="4E62996E" w:rsidR="00182E7C" w:rsidRPr="00F2676C" w:rsidRDefault="00182E7C" w:rsidP="00182E7C">
            <w:pPr>
              <w:rPr>
                <w:color w:val="000000" w:themeColor="text1"/>
                <w:sz w:val="18"/>
                <w:szCs w:val="18"/>
              </w:rPr>
            </w:pPr>
            <w:r w:rsidRPr="00F2676C">
              <w:rPr>
                <w:color w:val="000000" w:themeColor="text1"/>
                <w:sz w:val="18"/>
                <w:szCs w:val="18"/>
              </w:rPr>
              <w:t>The underlying methodology has been published in peer-reviewed literature (Rivera-Parra et al., 2022) and undergoes internal technical review by INAPESCA, satisfying SG60 and SG80 across stock status estimation, uncertainty integration, and peer review indicators.</w:t>
            </w:r>
          </w:p>
          <w:p w14:paraId="505D4315" w14:textId="77777777" w:rsidR="002B4FAD" w:rsidRDefault="002B4FAD" w:rsidP="00182E7C">
            <w:pPr>
              <w:rPr>
                <w:color w:val="000000" w:themeColor="text1"/>
                <w:sz w:val="18"/>
                <w:szCs w:val="18"/>
              </w:rPr>
            </w:pPr>
          </w:p>
          <w:p w14:paraId="33A96B2B" w14:textId="5B747157" w:rsidR="003260CB" w:rsidRPr="002D5BAA" w:rsidRDefault="002B4FAD" w:rsidP="00182E7C">
            <w:pPr>
              <w:rPr>
                <w:color w:val="000000" w:themeColor="text1"/>
                <w:sz w:val="18"/>
                <w:szCs w:val="18"/>
              </w:rPr>
            </w:pPr>
            <w:r>
              <w:rPr>
                <w:color w:val="000000" w:themeColor="text1"/>
                <w:sz w:val="18"/>
                <w:szCs w:val="18"/>
              </w:rPr>
              <w:t>There a</w:t>
            </w:r>
            <w:r w:rsidR="002D5BAA">
              <w:rPr>
                <w:color w:val="000000" w:themeColor="text1"/>
                <w:sz w:val="18"/>
                <w:szCs w:val="18"/>
              </w:rPr>
              <w:t xml:space="preserve">re </w:t>
            </w:r>
            <w:r>
              <w:rPr>
                <w:color w:val="000000" w:themeColor="text1"/>
                <w:sz w:val="18"/>
                <w:szCs w:val="18"/>
              </w:rPr>
              <w:t>still s</w:t>
            </w:r>
            <w:r w:rsidR="00F83CE4" w:rsidRPr="00F2676C">
              <w:rPr>
                <w:color w:val="000000" w:themeColor="text1"/>
                <w:sz w:val="18"/>
                <w:szCs w:val="18"/>
              </w:rPr>
              <w:t>ome l</w:t>
            </w:r>
            <w:r w:rsidR="00182E7C" w:rsidRPr="00F2676C">
              <w:rPr>
                <w:color w:val="000000" w:themeColor="text1"/>
                <w:sz w:val="18"/>
                <w:szCs w:val="18"/>
              </w:rPr>
              <w:t xml:space="preserve">imitations prevent </w:t>
            </w:r>
            <w:r w:rsidR="00F83CE4" w:rsidRPr="00F2676C">
              <w:rPr>
                <w:color w:val="000000" w:themeColor="text1"/>
                <w:sz w:val="18"/>
                <w:szCs w:val="18"/>
              </w:rPr>
              <w:t>to reach a highest scoring</w:t>
            </w:r>
            <w:r w:rsidR="00182E7C" w:rsidRPr="00F2676C">
              <w:rPr>
                <w:color w:val="000000" w:themeColor="text1"/>
                <w:sz w:val="18"/>
                <w:szCs w:val="18"/>
              </w:rPr>
              <w:t xml:space="preserve"> from being reached across certain criteria. The reference points remain generic </w:t>
            </w:r>
            <w:r>
              <w:rPr>
                <w:color w:val="000000" w:themeColor="text1"/>
                <w:sz w:val="18"/>
                <w:szCs w:val="18"/>
              </w:rPr>
              <w:t xml:space="preserve">and </w:t>
            </w:r>
            <w:r w:rsidR="00182E7C" w:rsidRPr="00F2676C">
              <w:rPr>
                <w:color w:val="000000" w:themeColor="text1"/>
                <w:sz w:val="18"/>
                <w:szCs w:val="18"/>
              </w:rPr>
              <w:t>relying on global r–K assumptions without empirical validation through fishery-independent abundance data or spatially explicit analyses, meaning SG80 is not met for reference point specificity.</w:t>
            </w:r>
          </w:p>
        </w:tc>
      </w:tr>
      <w:tr w:rsidR="0087346B" w14:paraId="09202EC7" w14:textId="77777777" w:rsidTr="00EC3E28">
        <w:tc>
          <w:tcPr>
            <w:tcW w:w="1001" w:type="dxa"/>
            <w:vMerge w:val="restart"/>
            <w:tcMar>
              <w:top w:w="80" w:type="dxa"/>
              <w:left w:w="120" w:type="dxa"/>
              <w:bottom w:w="80" w:type="dxa"/>
              <w:right w:w="120" w:type="dxa"/>
            </w:tcMar>
            <w:vAlign w:val="center"/>
          </w:tcPr>
          <w:p w14:paraId="45B73484" w14:textId="4A965065" w:rsidR="003260CB" w:rsidRDefault="003260CB" w:rsidP="003260CB">
            <w:pPr>
              <w:jc w:val="center"/>
            </w:pPr>
            <w:r>
              <w:rPr>
                <w:sz w:val="18"/>
                <w:szCs w:val="18"/>
              </w:rPr>
              <w:t>2</w:t>
            </w:r>
          </w:p>
        </w:tc>
        <w:tc>
          <w:tcPr>
            <w:tcW w:w="1298" w:type="dxa"/>
            <w:vMerge w:val="restart"/>
            <w:tcMar>
              <w:top w:w="80" w:type="dxa"/>
              <w:left w:w="120" w:type="dxa"/>
              <w:bottom w:w="80" w:type="dxa"/>
              <w:right w:w="120" w:type="dxa"/>
            </w:tcMar>
            <w:vAlign w:val="center"/>
          </w:tcPr>
          <w:p w14:paraId="206682B9" w14:textId="2AF00ABF" w:rsidR="003260CB" w:rsidRDefault="003260CB" w:rsidP="003260CB">
            <w:pPr>
              <w:jc w:val="center"/>
            </w:pPr>
            <w:r>
              <w:rPr>
                <w:sz w:val="18"/>
                <w:szCs w:val="18"/>
              </w:rPr>
              <w:t>Primary Species</w:t>
            </w:r>
          </w:p>
        </w:tc>
        <w:tc>
          <w:tcPr>
            <w:tcW w:w="1385" w:type="dxa"/>
            <w:tcMar>
              <w:top w:w="80" w:type="dxa"/>
              <w:left w:w="120" w:type="dxa"/>
              <w:bottom w:w="80" w:type="dxa"/>
              <w:right w:w="120" w:type="dxa"/>
            </w:tcMar>
            <w:vAlign w:val="center"/>
          </w:tcPr>
          <w:p w14:paraId="17B1B3B9" w14:textId="77777777" w:rsidR="003260CB" w:rsidRDefault="003260CB" w:rsidP="003260CB">
            <w:pPr>
              <w:jc w:val="center"/>
            </w:pPr>
            <w:r>
              <w:rPr>
                <w:sz w:val="18"/>
                <w:szCs w:val="18"/>
              </w:rPr>
              <w:t>2.1.1 Outcome</w:t>
            </w:r>
          </w:p>
        </w:tc>
        <w:tc>
          <w:tcPr>
            <w:tcW w:w="1001" w:type="dxa"/>
            <w:shd w:val="clear" w:color="auto" w:fill="B4DE8B"/>
            <w:tcMar>
              <w:top w:w="80" w:type="dxa"/>
              <w:left w:w="120" w:type="dxa"/>
              <w:bottom w:w="80" w:type="dxa"/>
              <w:right w:w="120" w:type="dxa"/>
            </w:tcMar>
            <w:vAlign w:val="center"/>
          </w:tcPr>
          <w:p w14:paraId="174882BF" w14:textId="20D30D13"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53CC9840"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309C051E" w14:textId="5A8E9CB1" w:rsidR="000C6625" w:rsidRPr="00F2676C" w:rsidRDefault="000C6625" w:rsidP="000C6625">
            <w:pPr>
              <w:rPr>
                <w:color w:val="000000" w:themeColor="text1"/>
                <w:sz w:val="18"/>
                <w:szCs w:val="18"/>
              </w:rPr>
            </w:pPr>
            <w:r w:rsidRPr="00F2676C">
              <w:rPr>
                <w:color w:val="000000" w:themeColor="text1"/>
                <w:sz w:val="18"/>
                <w:szCs w:val="18"/>
              </w:rPr>
              <w:t>Based on the most recent catch composition available, Chinese pink snail (</w:t>
            </w:r>
            <w:proofErr w:type="spellStart"/>
            <w:r w:rsidRPr="00F2676C">
              <w:rPr>
                <w:i/>
                <w:iCs/>
                <w:color w:val="000000" w:themeColor="text1"/>
                <w:sz w:val="18"/>
                <w:szCs w:val="18"/>
              </w:rPr>
              <w:t>Phyllonotus</w:t>
            </w:r>
            <w:proofErr w:type="spellEnd"/>
            <w:r w:rsidRPr="00F2676C">
              <w:rPr>
                <w:i/>
                <w:iCs/>
                <w:color w:val="000000" w:themeColor="text1"/>
                <w:sz w:val="18"/>
                <w:szCs w:val="18"/>
              </w:rPr>
              <w:t xml:space="preserve"> </w:t>
            </w:r>
            <w:proofErr w:type="spellStart"/>
            <w:r w:rsidRPr="00F2676C">
              <w:rPr>
                <w:i/>
                <w:iCs/>
                <w:color w:val="000000" w:themeColor="text1"/>
                <w:sz w:val="18"/>
                <w:szCs w:val="18"/>
              </w:rPr>
              <w:t>erythrostomus</w:t>
            </w:r>
            <w:proofErr w:type="spellEnd"/>
            <w:r w:rsidRPr="00F2676C">
              <w:rPr>
                <w:color w:val="000000" w:themeColor="text1"/>
                <w:sz w:val="18"/>
                <w:szCs w:val="18"/>
              </w:rPr>
              <w:t>) continues to be the only primary main species in the UoA representing over 5% of the total catch (Balmori et al., 2012). The National Fishing Chart - CNP (DOF, 2023) reported the fishery to be exploited at the MSY. Morales Azpeitia (2025) determined the species’ biomass was above MSY with a fishing mortality below FMSY in 2024 (ibid.) The Kobe diagram reflects a 69.1% probability that it remains at a healthy status</w:t>
            </w:r>
            <w:r w:rsidR="0087346B" w:rsidRPr="00F2676C">
              <w:rPr>
                <w:color w:val="000000" w:themeColor="text1"/>
                <w:sz w:val="18"/>
                <w:szCs w:val="18"/>
              </w:rPr>
              <w:t xml:space="preserve"> (see image below). However, according to the author, landings have increased in recent years, with 2024 catches exceeding the MSY estimate.</w:t>
            </w:r>
          </w:p>
          <w:p w14:paraId="1758591D" w14:textId="577F8973" w:rsidR="000C6625" w:rsidRDefault="0087346B" w:rsidP="0087346B">
            <w:pPr>
              <w:jc w:val="center"/>
              <w:rPr>
                <w:sz w:val="18"/>
                <w:szCs w:val="18"/>
              </w:rPr>
            </w:pPr>
            <w:r w:rsidRPr="0087346B">
              <w:rPr>
                <w:noProof/>
                <w:sz w:val="18"/>
                <w:szCs w:val="18"/>
              </w:rPr>
              <w:lastRenderedPageBreak/>
              <w:drawing>
                <wp:inline distT="0" distB="0" distL="0" distR="0" wp14:anchorId="52C8E15C" wp14:editId="5BCC8D3E">
                  <wp:extent cx="2803840" cy="2732078"/>
                  <wp:effectExtent l="0" t="0" r="3175" b="0"/>
                  <wp:docPr id="1248553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53485" name=""/>
                          <pic:cNvPicPr/>
                        </pic:nvPicPr>
                        <pic:blipFill>
                          <a:blip r:embed="rId11"/>
                          <a:stretch>
                            <a:fillRect/>
                          </a:stretch>
                        </pic:blipFill>
                        <pic:spPr>
                          <a:xfrm>
                            <a:off x="0" y="0"/>
                            <a:ext cx="3017164" cy="2939942"/>
                          </a:xfrm>
                          <a:prstGeom prst="rect">
                            <a:avLst/>
                          </a:prstGeom>
                        </pic:spPr>
                      </pic:pic>
                    </a:graphicData>
                  </a:graphic>
                </wp:inline>
              </w:drawing>
            </w:r>
          </w:p>
          <w:p w14:paraId="42EF4455" w14:textId="77777777" w:rsidR="00CE1228" w:rsidRDefault="00CE1228" w:rsidP="0087346B">
            <w:pPr>
              <w:jc w:val="center"/>
              <w:rPr>
                <w:i/>
                <w:iCs/>
                <w:sz w:val="16"/>
                <w:szCs w:val="16"/>
              </w:rPr>
            </w:pPr>
          </w:p>
          <w:p w14:paraId="6E0D2FA4" w14:textId="32A33D6C" w:rsidR="00CE1228" w:rsidRDefault="00CE1228" w:rsidP="0087346B">
            <w:pPr>
              <w:jc w:val="center"/>
              <w:rPr>
                <w:sz w:val="18"/>
                <w:szCs w:val="18"/>
              </w:rPr>
            </w:pPr>
            <w:r>
              <w:rPr>
                <w:i/>
                <w:iCs/>
                <w:sz w:val="16"/>
                <w:szCs w:val="16"/>
              </w:rPr>
              <w:t xml:space="preserve">Figure </w:t>
            </w:r>
            <w:r w:rsidR="002B4FAD">
              <w:rPr>
                <w:i/>
                <w:iCs/>
                <w:sz w:val="16"/>
                <w:szCs w:val="16"/>
              </w:rPr>
              <w:t>4</w:t>
            </w:r>
            <w:r>
              <w:rPr>
                <w:i/>
                <w:iCs/>
                <w:sz w:val="16"/>
                <w:szCs w:val="16"/>
              </w:rPr>
              <w:t xml:space="preserve">. </w:t>
            </w:r>
            <w:r w:rsidRPr="00B25669">
              <w:rPr>
                <w:i/>
                <w:iCs/>
                <w:sz w:val="16"/>
                <w:szCs w:val="16"/>
              </w:rPr>
              <w:t xml:space="preserve">Kobe plot for </w:t>
            </w:r>
            <w:r>
              <w:rPr>
                <w:i/>
                <w:iCs/>
                <w:sz w:val="16"/>
                <w:szCs w:val="16"/>
              </w:rPr>
              <w:t>Pink snail in the Gulf of California</w:t>
            </w:r>
            <w:r w:rsidRPr="00B25669">
              <w:rPr>
                <w:i/>
                <w:iCs/>
                <w:sz w:val="16"/>
                <w:szCs w:val="16"/>
              </w:rPr>
              <w:t xml:space="preserve">. Gray areas indicate </w:t>
            </w:r>
            <w:proofErr w:type="spellStart"/>
            <w:r w:rsidRPr="00B25669">
              <w:rPr>
                <w:i/>
                <w:iCs/>
                <w:sz w:val="16"/>
                <w:szCs w:val="16"/>
              </w:rPr>
              <w:t>isoprobabilities</w:t>
            </w:r>
            <w:proofErr w:type="spellEnd"/>
            <w:r>
              <w:rPr>
                <w:i/>
                <w:iCs/>
                <w:sz w:val="16"/>
                <w:szCs w:val="16"/>
              </w:rPr>
              <w:t xml:space="preserve"> (Morales-Azpeitia 2025)</w:t>
            </w:r>
          </w:p>
          <w:p w14:paraId="6DA37B8D" w14:textId="77777777" w:rsidR="000C6625" w:rsidRDefault="000C6625" w:rsidP="000C6625">
            <w:pPr>
              <w:rPr>
                <w:sz w:val="18"/>
                <w:szCs w:val="18"/>
              </w:rPr>
            </w:pPr>
          </w:p>
          <w:p w14:paraId="6AF9B84C" w14:textId="63964706" w:rsidR="003260CB" w:rsidRDefault="0087346B" w:rsidP="003260CB">
            <w:r>
              <w:rPr>
                <w:sz w:val="18"/>
                <w:szCs w:val="18"/>
              </w:rPr>
              <w:t xml:space="preserve">Based on the report of </w:t>
            </w:r>
            <w:r w:rsidR="003260CB">
              <w:rPr>
                <w:sz w:val="18"/>
                <w:szCs w:val="18"/>
              </w:rPr>
              <w:t xml:space="preserve">Morales-Azpeitia </w:t>
            </w:r>
            <w:r>
              <w:rPr>
                <w:sz w:val="18"/>
                <w:szCs w:val="18"/>
              </w:rPr>
              <w:t>(</w:t>
            </w:r>
            <w:r w:rsidR="003260CB">
              <w:rPr>
                <w:sz w:val="18"/>
                <w:szCs w:val="18"/>
              </w:rPr>
              <w:t xml:space="preserve">2025) </w:t>
            </w:r>
            <w:r>
              <w:rPr>
                <w:sz w:val="18"/>
                <w:szCs w:val="18"/>
              </w:rPr>
              <w:t xml:space="preserve">that </w:t>
            </w:r>
            <w:r w:rsidR="003260CB">
              <w:rPr>
                <w:sz w:val="18"/>
                <w:szCs w:val="18"/>
              </w:rPr>
              <w:t>shows biomass above MSY and F below FMSY in 2024</w:t>
            </w:r>
            <w:r>
              <w:rPr>
                <w:sz w:val="18"/>
                <w:szCs w:val="18"/>
              </w:rPr>
              <w:t xml:space="preserve">, with a </w:t>
            </w:r>
            <w:r w:rsidR="003260CB">
              <w:rPr>
                <w:sz w:val="18"/>
                <w:szCs w:val="18"/>
              </w:rPr>
              <w:t>69.1% probability at healthy status. SG80 met.</w:t>
            </w:r>
          </w:p>
        </w:tc>
      </w:tr>
      <w:tr w:rsidR="0087346B" w14:paraId="3A7A5CE0" w14:textId="77777777" w:rsidTr="00EC3E28">
        <w:tc>
          <w:tcPr>
            <w:tcW w:w="1001" w:type="dxa"/>
            <w:vMerge/>
            <w:tcMar>
              <w:top w:w="80" w:type="dxa"/>
              <w:left w:w="120" w:type="dxa"/>
              <w:bottom w:w="80" w:type="dxa"/>
              <w:right w:w="120" w:type="dxa"/>
            </w:tcMar>
            <w:vAlign w:val="center"/>
          </w:tcPr>
          <w:p w14:paraId="32AF42D0" w14:textId="2E28F2E7" w:rsidR="003260CB" w:rsidRDefault="003260CB" w:rsidP="003260CB">
            <w:pPr>
              <w:jc w:val="center"/>
            </w:pPr>
          </w:p>
        </w:tc>
        <w:tc>
          <w:tcPr>
            <w:tcW w:w="1298" w:type="dxa"/>
            <w:vMerge/>
            <w:tcMar>
              <w:top w:w="80" w:type="dxa"/>
              <w:left w:w="120" w:type="dxa"/>
              <w:bottom w:w="80" w:type="dxa"/>
              <w:right w:w="120" w:type="dxa"/>
            </w:tcMar>
            <w:vAlign w:val="center"/>
          </w:tcPr>
          <w:p w14:paraId="08A2FA16" w14:textId="48360A8B" w:rsidR="003260CB" w:rsidRDefault="003260CB" w:rsidP="003260CB">
            <w:pPr>
              <w:jc w:val="center"/>
            </w:pPr>
          </w:p>
        </w:tc>
        <w:tc>
          <w:tcPr>
            <w:tcW w:w="1385" w:type="dxa"/>
            <w:tcMar>
              <w:top w:w="80" w:type="dxa"/>
              <w:left w:w="120" w:type="dxa"/>
              <w:bottom w:w="80" w:type="dxa"/>
              <w:right w:w="120" w:type="dxa"/>
            </w:tcMar>
            <w:vAlign w:val="center"/>
          </w:tcPr>
          <w:p w14:paraId="6F60CD45" w14:textId="77777777" w:rsidR="003260CB" w:rsidRDefault="003260CB" w:rsidP="003260CB">
            <w:pPr>
              <w:jc w:val="center"/>
            </w:pPr>
            <w:r>
              <w:rPr>
                <w:sz w:val="18"/>
                <w:szCs w:val="18"/>
              </w:rPr>
              <w:t>2.1.2 Management Strategy</w:t>
            </w:r>
          </w:p>
        </w:tc>
        <w:tc>
          <w:tcPr>
            <w:tcW w:w="1001" w:type="dxa"/>
            <w:shd w:val="clear" w:color="auto" w:fill="B4DE8B"/>
            <w:tcMar>
              <w:top w:w="80" w:type="dxa"/>
              <w:left w:w="120" w:type="dxa"/>
              <w:bottom w:w="80" w:type="dxa"/>
              <w:right w:w="120" w:type="dxa"/>
            </w:tcMar>
            <w:vAlign w:val="center"/>
          </w:tcPr>
          <w:p w14:paraId="6FAFC181" w14:textId="2E9833B6"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449F7237"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4F8A76C4" w14:textId="1234F4BD" w:rsidR="00E54E9D" w:rsidRPr="00F2676C" w:rsidRDefault="00E54E9D" w:rsidP="00360EA2">
            <w:pPr>
              <w:rPr>
                <w:color w:val="000000" w:themeColor="text1"/>
                <w:sz w:val="18"/>
                <w:szCs w:val="18"/>
              </w:rPr>
            </w:pPr>
            <w:r w:rsidRPr="00F2676C">
              <w:rPr>
                <w:color w:val="000000" w:themeColor="text1"/>
                <w:sz w:val="18"/>
                <w:szCs w:val="18"/>
              </w:rPr>
              <w:t xml:space="preserve">Pink snail is I fishery is included in the National Fishing Chart (CNP), which sets management measures that includes fishing effort control, minimum catch sizes, rotation of fishing banks, seasonal ban, and fishing refuge zones (DOF 2023). The measures are explicitly designed to maintain the stock at or above MSY levels.  </w:t>
            </w:r>
          </w:p>
          <w:p w14:paraId="33ED87AA" w14:textId="6C97A230" w:rsidR="003260CB" w:rsidRPr="00F2676C" w:rsidRDefault="00360EA2" w:rsidP="00360EA2">
            <w:pPr>
              <w:rPr>
                <w:color w:val="000000" w:themeColor="text1"/>
              </w:rPr>
            </w:pPr>
            <w:r w:rsidRPr="00F2676C">
              <w:rPr>
                <w:color w:val="000000" w:themeColor="text1"/>
                <w:sz w:val="18"/>
                <w:szCs w:val="18"/>
              </w:rPr>
              <w:t>Considering that t</w:t>
            </w:r>
            <w:r w:rsidR="00E54E9D" w:rsidRPr="00F2676C">
              <w:rPr>
                <w:color w:val="000000" w:themeColor="text1"/>
                <w:sz w:val="18"/>
                <w:szCs w:val="18"/>
              </w:rPr>
              <w:t>he stock assessments show</w:t>
            </w:r>
            <w:r w:rsidRPr="00F2676C">
              <w:rPr>
                <w:color w:val="000000" w:themeColor="text1"/>
                <w:sz w:val="18"/>
                <w:szCs w:val="18"/>
              </w:rPr>
              <w:t>ed</w:t>
            </w:r>
            <w:r w:rsidR="00E54E9D" w:rsidRPr="00F2676C">
              <w:rPr>
                <w:color w:val="000000" w:themeColor="text1"/>
                <w:sz w:val="18"/>
                <w:szCs w:val="18"/>
              </w:rPr>
              <w:t xml:space="preserve"> that the stock is around MS</w:t>
            </w:r>
            <w:r w:rsidRPr="00F2676C">
              <w:rPr>
                <w:color w:val="000000" w:themeColor="text1"/>
                <w:sz w:val="18"/>
                <w:szCs w:val="18"/>
              </w:rPr>
              <w:t xml:space="preserve">Y, can be considered as evidence </w:t>
            </w:r>
            <w:r w:rsidR="00E54E9D" w:rsidRPr="00F2676C">
              <w:rPr>
                <w:color w:val="000000" w:themeColor="text1"/>
                <w:sz w:val="18"/>
                <w:szCs w:val="18"/>
              </w:rPr>
              <w:t xml:space="preserve">that the partial strategy is being implemented successfully </w:t>
            </w:r>
            <w:r w:rsidRPr="00F2676C">
              <w:rPr>
                <w:color w:val="000000" w:themeColor="text1"/>
                <w:sz w:val="18"/>
                <w:szCs w:val="18"/>
              </w:rPr>
              <w:t>and the measures in the CNP can be considered a</w:t>
            </w:r>
            <w:r w:rsidR="003260CB" w:rsidRPr="00F2676C">
              <w:rPr>
                <w:color w:val="000000" w:themeColor="text1"/>
                <w:sz w:val="18"/>
                <w:szCs w:val="18"/>
              </w:rPr>
              <w:t xml:space="preserve"> cohesive partial strategy for </w:t>
            </w:r>
            <w:r w:rsidRPr="00F2676C">
              <w:rPr>
                <w:color w:val="000000" w:themeColor="text1"/>
                <w:sz w:val="18"/>
                <w:szCs w:val="18"/>
              </w:rPr>
              <w:t>the species.</w:t>
            </w:r>
          </w:p>
        </w:tc>
      </w:tr>
      <w:tr w:rsidR="0087346B" w14:paraId="5B1015BC" w14:textId="77777777" w:rsidTr="00EC3E28">
        <w:tc>
          <w:tcPr>
            <w:tcW w:w="1001" w:type="dxa"/>
            <w:vMerge/>
            <w:tcMar>
              <w:top w:w="80" w:type="dxa"/>
              <w:left w:w="120" w:type="dxa"/>
              <w:bottom w:w="80" w:type="dxa"/>
              <w:right w:w="120" w:type="dxa"/>
            </w:tcMar>
            <w:vAlign w:val="center"/>
          </w:tcPr>
          <w:p w14:paraId="0349C83B" w14:textId="1411DD4D" w:rsidR="003260CB" w:rsidRDefault="003260CB" w:rsidP="003260CB">
            <w:pPr>
              <w:jc w:val="center"/>
            </w:pPr>
          </w:p>
        </w:tc>
        <w:tc>
          <w:tcPr>
            <w:tcW w:w="1298" w:type="dxa"/>
            <w:vMerge/>
            <w:tcMar>
              <w:top w:w="80" w:type="dxa"/>
              <w:left w:w="120" w:type="dxa"/>
              <w:bottom w:w="80" w:type="dxa"/>
              <w:right w:w="120" w:type="dxa"/>
            </w:tcMar>
            <w:vAlign w:val="center"/>
          </w:tcPr>
          <w:p w14:paraId="40934485" w14:textId="68271922" w:rsidR="003260CB" w:rsidRDefault="003260CB" w:rsidP="003260CB">
            <w:pPr>
              <w:jc w:val="center"/>
            </w:pPr>
          </w:p>
        </w:tc>
        <w:tc>
          <w:tcPr>
            <w:tcW w:w="1385" w:type="dxa"/>
            <w:tcMar>
              <w:top w:w="80" w:type="dxa"/>
              <w:left w:w="120" w:type="dxa"/>
              <w:bottom w:w="80" w:type="dxa"/>
              <w:right w:w="120" w:type="dxa"/>
            </w:tcMar>
            <w:vAlign w:val="center"/>
          </w:tcPr>
          <w:p w14:paraId="6CB867ED" w14:textId="77777777" w:rsidR="003260CB" w:rsidRDefault="003260CB" w:rsidP="003260CB">
            <w:pPr>
              <w:jc w:val="center"/>
            </w:pPr>
            <w:r>
              <w:rPr>
                <w:sz w:val="18"/>
                <w:szCs w:val="18"/>
              </w:rPr>
              <w:t>2.1.3 Information</w:t>
            </w:r>
          </w:p>
        </w:tc>
        <w:tc>
          <w:tcPr>
            <w:tcW w:w="1001" w:type="dxa"/>
            <w:shd w:val="clear" w:color="auto" w:fill="B4DE8B"/>
            <w:tcMar>
              <w:top w:w="80" w:type="dxa"/>
              <w:left w:w="120" w:type="dxa"/>
              <w:bottom w:w="80" w:type="dxa"/>
              <w:right w:w="120" w:type="dxa"/>
            </w:tcMar>
            <w:vAlign w:val="center"/>
          </w:tcPr>
          <w:p w14:paraId="7977D61F" w14:textId="1D4E9110"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055E5A2D"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726BC957" w14:textId="4FC13EC1" w:rsidR="00360EA2" w:rsidRPr="00F2676C" w:rsidRDefault="00360EA2" w:rsidP="00B3645F">
            <w:pPr>
              <w:rPr>
                <w:color w:val="000000" w:themeColor="text1"/>
                <w:sz w:val="18"/>
                <w:szCs w:val="18"/>
              </w:rPr>
            </w:pPr>
            <w:r w:rsidRPr="00F2676C">
              <w:rPr>
                <w:color w:val="000000" w:themeColor="text1"/>
                <w:sz w:val="18"/>
                <w:szCs w:val="18"/>
              </w:rPr>
              <w:t xml:space="preserve">Balmori et al. (2012) remains the most comprehensive catch composition </w:t>
            </w:r>
            <w:r w:rsidR="00B3645F" w:rsidRPr="00F2676C">
              <w:rPr>
                <w:color w:val="000000" w:themeColor="text1"/>
                <w:sz w:val="18"/>
                <w:szCs w:val="18"/>
              </w:rPr>
              <w:t>for</w:t>
            </w:r>
            <w:r w:rsidRPr="00F2676C">
              <w:rPr>
                <w:color w:val="000000" w:themeColor="text1"/>
                <w:sz w:val="18"/>
                <w:szCs w:val="18"/>
              </w:rPr>
              <w:t xml:space="preserve"> the fishery. </w:t>
            </w:r>
            <w:r w:rsidR="00B3645F" w:rsidRPr="00F2676C">
              <w:rPr>
                <w:color w:val="000000" w:themeColor="text1"/>
                <w:sz w:val="18"/>
                <w:szCs w:val="18"/>
              </w:rPr>
              <w:t>However, the target species/</w:t>
            </w:r>
            <w:r w:rsidRPr="00F2676C">
              <w:rPr>
                <w:color w:val="000000" w:themeColor="text1"/>
                <w:sz w:val="18"/>
                <w:szCs w:val="18"/>
              </w:rPr>
              <w:t>bycatch</w:t>
            </w:r>
            <w:r w:rsidR="00B3645F" w:rsidRPr="00F2676C">
              <w:rPr>
                <w:color w:val="000000" w:themeColor="text1"/>
                <w:sz w:val="18"/>
                <w:szCs w:val="18"/>
              </w:rPr>
              <w:t xml:space="preserve"> proportions </w:t>
            </w:r>
            <w:r w:rsidRPr="00F2676C">
              <w:rPr>
                <w:color w:val="000000" w:themeColor="text1"/>
                <w:sz w:val="18"/>
                <w:szCs w:val="18"/>
              </w:rPr>
              <w:t>vary across locations</w:t>
            </w:r>
            <w:r w:rsidR="00B3645F" w:rsidRPr="00F2676C">
              <w:rPr>
                <w:color w:val="000000" w:themeColor="text1"/>
                <w:sz w:val="18"/>
                <w:szCs w:val="18"/>
              </w:rPr>
              <w:t xml:space="preserve">, </w:t>
            </w:r>
            <w:r w:rsidR="00F46B94" w:rsidRPr="00F2676C">
              <w:rPr>
                <w:color w:val="000000" w:themeColor="text1"/>
                <w:sz w:val="18"/>
                <w:szCs w:val="18"/>
              </w:rPr>
              <w:t xml:space="preserve">and </w:t>
            </w:r>
            <w:r w:rsidR="00B3645F" w:rsidRPr="00F2676C">
              <w:rPr>
                <w:color w:val="000000" w:themeColor="text1"/>
                <w:sz w:val="18"/>
                <w:szCs w:val="18"/>
              </w:rPr>
              <w:t xml:space="preserve">there is a need for a more recent and comprehensive catch composition data available. </w:t>
            </w:r>
          </w:p>
          <w:p w14:paraId="0FB62E04" w14:textId="670CF4F4" w:rsidR="003260CB" w:rsidRPr="00F2676C" w:rsidRDefault="00F46B94" w:rsidP="003260CB">
            <w:pPr>
              <w:rPr>
                <w:color w:val="000000" w:themeColor="text1"/>
                <w:sz w:val="18"/>
                <w:szCs w:val="18"/>
              </w:rPr>
            </w:pPr>
            <w:r w:rsidRPr="00F2676C">
              <w:rPr>
                <w:color w:val="000000" w:themeColor="text1"/>
                <w:sz w:val="18"/>
                <w:szCs w:val="18"/>
              </w:rPr>
              <w:t xml:space="preserve">In addition, </w:t>
            </w:r>
            <w:r w:rsidR="00360EA2" w:rsidRPr="00F2676C">
              <w:rPr>
                <w:color w:val="000000" w:themeColor="text1"/>
                <w:sz w:val="18"/>
                <w:szCs w:val="18"/>
              </w:rPr>
              <w:t>Morales Azpeitia</w:t>
            </w:r>
            <w:r w:rsidRPr="00F2676C">
              <w:rPr>
                <w:color w:val="000000" w:themeColor="text1"/>
                <w:sz w:val="18"/>
                <w:szCs w:val="18"/>
              </w:rPr>
              <w:t xml:space="preserve"> (</w:t>
            </w:r>
            <w:r w:rsidR="00360EA2" w:rsidRPr="00F2676C">
              <w:rPr>
                <w:color w:val="000000" w:themeColor="text1"/>
                <w:sz w:val="18"/>
                <w:szCs w:val="18"/>
              </w:rPr>
              <w:t>2025)</w:t>
            </w:r>
            <w:r w:rsidRPr="00F2676C">
              <w:rPr>
                <w:color w:val="000000" w:themeColor="text1"/>
                <w:sz w:val="18"/>
                <w:szCs w:val="18"/>
              </w:rPr>
              <w:t xml:space="preserve"> presented qu</w:t>
            </w:r>
            <w:r w:rsidR="00360EA2" w:rsidRPr="00F2676C">
              <w:rPr>
                <w:color w:val="000000" w:themeColor="text1"/>
                <w:sz w:val="18"/>
                <w:szCs w:val="18"/>
              </w:rPr>
              <w:t xml:space="preserve">antitative information to assess </w:t>
            </w:r>
            <w:r w:rsidRPr="00F2676C">
              <w:rPr>
                <w:color w:val="000000" w:themeColor="text1"/>
                <w:sz w:val="18"/>
                <w:szCs w:val="18"/>
              </w:rPr>
              <w:t>the pink snail</w:t>
            </w:r>
            <w:r w:rsidR="00360EA2" w:rsidRPr="00F2676C">
              <w:rPr>
                <w:color w:val="000000" w:themeColor="text1"/>
                <w:sz w:val="18"/>
                <w:szCs w:val="18"/>
              </w:rPr>
              <w:t xml:space="preserve"> population trends and status. </w:t>
            </w:r>
            <w:r w:rsidRPr="00F2676C">
              <w:rPr>
                <w:color w:val="000000" w:themeColor="text1"/>
                <w:sz w:val="18"/>
                <w:szCs w:val="18"/>
              </w:rPr>
              <w:t>The information available can be considered adequate</w:t>
            </w:r>
            <w:r w:rsidR="00360EA2" w:rsidRPr="00F2676C">
              <w:rPr>
                <w:color w:val="000000" w:themeColor="text1"/>
                <w:sz w:val="18"/>
                <w:szCs w:val="18"/>
              </w:rPr>
              <w:t xml:space="preserve">. </w:t>
            </w:r>
            <w:r w:rsidRPr="00F2676C">
              <w:rPr>
                <w:color w:val="000000" w:themeColor="text1"/>
                <w:sz w:val="18"/>
                <w:szCs w:val="18"/>
              </w:rPr>
              <w:t xml:space="preserve">However, </w:t>
            </w:r>
            <w:r w:rsidR="00360EA2" w:rsidRPr="00F2676C">
              <w:rPr>
                <w:color w:val="000000" w:themeColor="text1"/>
                <w:sz w:val="18"/>
                <w:szCs w:val="18"/>
              </w:rPr>
              <w:t xml:space="preserve">the lack of continuous representative bycatch data that is systematically collected </w:t>
            </w:r>
            <w:r w:rsidRPr="00F2676C">
              <w:rPr>
                <w:color w:val="000000" w:themeColor="text1"/>
                <w:sz w:val="18"/>
                <w:szCs w:val="18"/>
              </w:rPr>
              <w:t xml:space="preserve">limits a higher score. Overall, the </w:t>
            </w:r>
            <w:r w:rsidR="00360EA2" w:rsidRPr="00F2676C">
              <w:rPr>
                <w:color w:val="000000" w:themeColor="text1"/>
                <w:sz w:val="18"/>
                <w:szCs w:val="18"/>
              </w:rPr>
              <w:t xml:space="preserve">information available </w:t>
            </w:r>
            <w:r w:rsidRPr="00F2676C">
              <w:rPr>
                <w:color w:val="000000" w:themeColor="text1"/>
                <w:sz w:val="18"/>
                <w:szCs w:val="18"/>
              </w:rPr>
              <w:t>can be considered enough to support the</w:t>
            </w:r>
            <w:r w:rsidR="00360EA2" w:rsidRPr="00F2676C">
              <w:rPr>
                <w:color w:val="000000" w:themeColor="text1"/>
                <w:sz w:val="18"/>
                <w:szCs w:val="18"/>
              </w:rPr>
              <w:t xml:space="preserve"> partial management strategy for the Chinese pink snail</w:t>
            </w:r>
            <w:r w:rsidRPr="00F2676C">
              <w:rPr>
                <w:color w:val="000000" w:themeColor="text1"/>
                <w:sz w:val="18"/>
                <w:szCs w:val="18"/>
              </w:rPr>
              <w:t>.</w:t>
            </w:r>
          </w:p>
        </w:tc>
      </w:tr>
      <w:tr w:rsidR="0087346B" w14:paraId="708668A0" w14:textId="77777777" w:rsidTr="00EC3E28">
        <w:tc>
          <w:tcPr>
            <w:tcW w:w="1001" w:type="dxa"/>
            <w:vMerge/>
            <w:tcMar>
              <w:top w:w="80" w:type="dxa"/>
              <w:left w:w="120" w:type="dxa"/>
              <w:bottom w:w="80" w:type="dxa"/>
              <w:right w:w="120" w:type="dxa"/>
            </w:tcMar>
            <w:vAlign w:val="center"/>
          </w:tcPr>
          <w:p w14:paraId="131EB5AD" w14:textId="5CA96509" w:rsidR="003260CB" w:rsidRDefault="003260CB" w:rsidP="003260CB">
            <w:pPr>
              <w:jc w:val="center"/>
            </w:pPr>
          </w:p>
        </w:tc>
        <w:tc>
          <w:tcPr>
            <w:tcW w:w="1298" w:type="dxa"/>
            <w:vMerge w:val="restart"/>
            <w:tcMar>
              <w:top w:w="80" w:type="dxa"/>
              <w:left w:w="120" w:type="dxa"/>
              <w:bottom w:w="80" w:type="dxa"/>
              <w:right w:w="120" w:type="dxa"/>
            </w:tcMar>
            <w:vAlign w:val="center"/>
          </w:tcPr>
          <w:p w14:paraId="1C2C624D" w14:textId="65C1466E" w:rsidR="003260CB" w:rsidRDefault="003260CB" w:rsidP="003260CB">
            <w:pPr>
              <w:jc w:val="center"/>
            </w:pPr>
            <w:r>
              <w:rPr>
                <w:sz w:val="18"/>
                <w:szCs w:val="18"/>
              </w:rPr>
              <w:t>Secondary Species</w:t>
            </w:r>
          </w:p>
        </w:tc>
        <w:tc>
          <w:tcPr>
            <w:tcW w:w="1385" w:type="dxa"/>
            <w:tcMar>
              <w:top w:w="80" w:type="dxa"/>
              <w:left w:w="120" w:type="dxa"/>
              <w:bottom w:w="80" w:type="dxa"/>
              <w:right w:w="120" w:type="dxa"/>
            </w:tcMar>
            <w:vAlign w:val="center"/>
          </w:tcPr>
          <w:p w14:paraId="6DC3DD24" w14:textId="77777777" w:rsidR="003260CB" w:rsidRDefault="003260CB" w:rsidP="003260CB">
            <w:pPr>
              <w:jc w:val="center"/>
            </w:pPr>
            <w:r>
              <w:rPr>
                <w:sz w:val="18"/>
                <w:szCs w:val="18"/>
              </w:rPr>
              <w:t>2.2.1 Outcome</w:t>
            </w:r>
          </w:p>
        </w:tc>
        <w:tc>
          <w:tcPr>
            <w:tcW w:w="1001" w:type="dxa"/>
            <w:shd w:val="clear" w:color="auto" w:fill="B4DE8B"/>
            <w:tcMar>
              <w:top w:w="80" w:type="dxa"/>
              <w:left w:w="120" w:type="dxa"/>
              <w:bottom w:w="80" w:type="dxa"/>
              <w:right w:w="120" w:type="dxa"/>
            </w:tcMar>
            <w:vAlign w:val="center"/>
          </w:tcPr>
          <w:p w14:paraId="0E079EA0" w14:textId="1C409216"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555D0CDB"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6DC31841" w14:textId="35777E9B" w:rsidR="003260CB" w:rsidRPr="00F2676C" w:rsidRDefault="003260CB" w:rsidP="003260CB">
            <w:pPr>
              <w:rPr>
                <w:color w:val="000000" w:themeColor="text1"/>
              </w:rPr>
            </w:pPr>
            <w:r w:rsidRPr="00F2676C">
              <w:rPr>
                <w:color w:val="000000" w:themeColor="text1"/>
                <w:sz w:val="18"/>
                <w:szCs w:val="18"/>
              </w:rPr>
              <w:t>No main secondary species identified (per SA3.2.1). Minor secondary species (hermit crab, triggerfish, pufferfish, etc.) all presumed well above biological limits given low catch proportions, but no stock assessments available.</w:t>
            </w:r>
          </w:p>
        </w:tc>
      </w:tr>
      <w:tr w:rsidR="0087346B" w14:paraId="24284E84" w14:textId="77777777" w:rsidTr="00EC3E28">
        <w:tc>
          <w:tcPr>
            <w:tcW w:w="1001" w:type="dxa"/>
            <w:vMerge/>
            <w:tcMar>
              <w:top w:w="80" w:type="dxa"/>
              <w:left w:w="120" w:type="dxa"/>
              <w:bottom w:w="80" w:type="dxa"/>
              <w:right w:w="120" w:type="dxa"/>
            </w:tcMar>
            <w:vAlign w:val="center"/>
          </w:tcPr>
          <w:p w14:paraId="6F68BB6E" w14:textId="6E779060" w:rsidR="003260CB" w:rsidRDefault="003260CB" w:rsidP="003260CB">
            <w:pPr>
              <w:jc w:val="center"/>
            </w:pPr>
          </w:p>
        </w:tc>
        <w:tc>
          <w:tcPr>
            <w:tcW w:w="1298" w:type="dxa"/>
            <w:vMerge/>
            <w:tcMar>
              <w:top w:w="80" w:type="dxa"/>
              <w:left w:w="120" w:type="dxa"/>
              <w:bottom w:w="80" w:type="dxa"/>
              <w:right w:w="120" w:type="dxa"/>
            </w:tcMar>
            <w:vAlign w:val="center"/>
          </w:tcPr>
          <w:p w14:paraId="1FEB6E2A" w14:textId="46474CA1" w:rsidR="003260CB" w:rsidRDefault="003260CB" w:rsidP="003260CB">
            <w:pPr>
              <w:jc w:val="center"/>
            </w:pPr>
          </w:p>
        </w:tc>
        <w:tc>
          <w:tcPr>
            <w:tcW w:w="1385" w:type="dxa"/>
            <w:tcMar>
              <w:top w:w="80" w:type="dxa"/>
              <w:left w:w="120" w:type="dxa"/>
              <w:bottom w:w="80" w:type="dxa"/>
              <w:right w:w="120" w:type="dxa"/>
            </w:tcMar>
            <w:vAlign w:val="center"/>
          </w:tcPr>
          <w:p w14:paraId="25EDF6D5" w14:textId="7275CCC7" w:rsidR="003260CB" w:rsidRDefault="003260CB" w:rsidP="003260CB">
            <w:pPr>
              <w:jc w:val="center"/>
            </w:pPr>
            <w:r>
              <w:rPr>
                <w:sz w:val="18"/>
                <w:szCs w:val="18"/>
              </w:rPr>
              <w:t>2.2.2 Management Strategy</w:t>
            </w:r>
          </w:p>
        </w:tc>
        <w:tc>
          <w:tcPr>
            <w:tcW w:w="1001" w:type="dxa"/>
            <w:shd w:val="clear" w:color="auto" w:fill="B4DE8B"/>
            <w:tcMar>
              <w:top w:w="80" w:type="dxa"/>
              <w:left w:w="120" w:type="dxa"/>
              <w:bottom w:w="80" w:type="dxa"/>
              <w:right w:w="120" w:type="dxa"/>
            </w:tcMar>
            <w:vAlign w:val="center"/>
          </w:tcPr>
          <w:p w14:paraId="35231E59" w14:textId="48169E99"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1F50156D"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5E52A8F3" w14:textId="040117E2" w:rsidR="003260CB" w:rsidRPr="00F2676C" w:rsidRDefault="003260CB" w:rsidP="003260CB">
            <w:pPr>
              <w:rPr>
                <w:color w:val="000000" w:themeColor="text1"/>
              </w:rPr>
            </w:pPr>
            <w:r w:rsidRPr="00F2676C">
              <w:rPr>
                <w:color w:val="000000" w:themeColor="text1"/>
                <w:sz w:val="18"/>
                <w:szCs w:val="18"/>
              </w:rPr>
              <w:t>No main secondary species SG80 automatically met. No specific management strategy for all secondary species</w:t>
            </w:r>
            <w:r w:rsidR="00B50C02" w:rsidRPr="00F2676C">
              <w:rPr>
                <w:color w:val="000000" w:themeColor="text1"/>
                <w:sz w:val="18"/>
                <w:szCs w:val="18"/>
              </w:rPr>
              <w:t>.</w:t>
            </w:r>
          </w:p>
        </w:tc>
      </w:tr>
      <w:tr w:rsidR="0087346B" w14:paraId="7FB14B67" w14:textId="77777777" w:rsidTr="00EC3E28">
        <w:tc>
          <w:tcPr>
            <w:tcW w:w="1001" w:type="dxa"/>
            <w:vMerge/>
            <w:tcMar>
              <w:top w:w="80" w:type="dxa"/>
              <w:left w:w="120" w:type="dxa"/>
              <w:bottom w:w="80" w:type="dxa"/>
              <w:right w:w="120" w:type="dxa"/>
            </w:tcMar>
            <w:vAlign w:val="center"/>
          </w:tcPr>
          <w:p w14:paraId="3958E86F" w14:textId="1B07F47F" w:rsidR="003260CB" w:rsidRDefault="003260CB" w:rsidP="003260CB">
            <w:pPr>
              <w:jc w:val="center"/>
            </w:pPr>
          </w:p>
        </w:tc>
        <w:tc>
          <w:tcPr>
            <w:tcW w:w="1298" w:type="dxa"/>
            <w:vMerge/>
            <w:tcMar>
              <w:top w:w="80" w:type="dxa"/>
              <w:left w:w="120" w:type="dxa"/>
              <w:bottom w:w="80" w:type="dxa"/>
              <w:right w:w="120" w:type="dxa"/>
            </w:tcMar>
            <w:vAlign w:val="center"/>
          </w:tcPr>
          <w:p w14:paraId="22D9B2EF" w14:textId="20C7CEA5" w:rsidR="003260CB" w:rsidRDefault="003260CB" w:rsidP="003260CB">
            <w:pPr>
              <w:jc w:val="center"/>
            </w:pPr>
          </w:p>
        </w:tc>
        <w:tc>
          <w:tcPr>
            <w:tcW w:w="1385" w:type="dxa"/>
            <w:tcMar>
              <w:top w:w="80" w:type="dxa"/>
              <w:left w:w="120" w:type="dxa"/>
              <w:bottom w:w="80" w:type="dxa"/>
              <w:right w:w="120" w:type="dxa"/>
            </w:tcMar>
            <w:vAlign w:val="center"/>
          </w:tcPr>
          <w:p w14:paraId="14B22EAD" w14:textId="77777777" w:rsidR="003260CB" w:rsidRDefault="003260CB" w:rsidP="003260CB">
            <w:pPr>
              <w:jc w:val="center"/>
            </w:pPr>
            <w:r>
              <w:rPr>
                <w:sz w:val="18"/>
                <w:szCs w:val="18"/>
              </w:rPr>
              <w:t>2.2.3 Information</w:t>
            </w:r>
          </w:p>
        </w:tc>
        <w:tc>
          <w:tcPr>
            <w:tcW w:w="1001" w:type="dxa"/>
            <w:shd w:val="clear" w:color="auto" w:fill="B4DE8B"/>
            <w:tcMar>
              <w:top w:w="80" w:type="dxa"/>
              <w:left w:w="120" w:type="dxa"/>
              <w:bottom w:w="80" w:type="dxa"/>
              <w:right w:w="120" w:type="dxa"/>
            </w:tcMar>
            <w:vAlign w:val="center"/>
          </w:tcPr>
          <w:p w14:paraId="12B57100" w14:textId="7C12F18D"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55BCD1C8"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47C8DC1E" w14:textId="38FDDBCB" w:rsidR="003260CB" w:rsidRPr="00F2676C" w:rsidRDefault="003260CB" w:rsidP="003260CB">
            <w:pPr>
              <w:rPr>
                <w:color w:val="000000" w:themeColor="text1"/>
              </w:rPr>
            </w:pPr>
            <w:r w:rsidRPr="00F2676C">
              <w:rPr>
                <w:color w:val="000000" w:themeColor="text1"/>
                <w:sz w:val="18"/>
                <w:szCs w:val="18"/>
              </w:rPr>
              <w:t xml:space="preserve">No main secondary species. Recent bycatch monitoring data representative of the whole UoA is not </w:t>
            </w:r>
            <w:r w:rsidR="00561708" w:rsidRPr="00F2676C">
              <w:rPr>
                <w:color w:val="000000" w:themeColor="text1"/>
                <w:sz w:val="18"/>
                <w:szCs w:val="18"/>
              </w:rPr>
              <w:t>available,</w:t>
            </w:r>
            <w:r w:rsidRPr="00F2676C">
              <w:rPr>
                <w:color w:val="000000" w:themeColor="text1"/>
                <w:sz w:val="18"/>
                <w:szCs w:val="18"/>
              </w:rPr>
              <w:t xml:space="preserve"> scattered monitoring only.</w:t>
            </w:r>
          </w:p>
        </w:tc>
      </w:tr>
      <w:tr w:rsidR="0087346B" w14:paraId="7A50EEDC" w14:textId="77777777" w:rsidTr="002D5BAA">
        <w:tc>
          <w:tcPr>
            <w:tcW w:w="1001" w:type="dxa"/>
            <w:vMerge/>
            <w:tcMar>
              <w:top w:w="80" w:type="dxa"/>
              <w:left w:w="120" w:type="dxa"/>
              <w:bottom w:w="80" w:type="dxa"/>
              <w:right w:w="120" w:type="dxa"/>
            </w:tcMar>
            <w:vAlign w:val="center"/>
          </w:tcPr>
          <w:p w14:paraId="4FA6ACD2" w14:textId="4A8E88F7" w:rsidR="003260CB" w:rsidRDefault="003260CB" w:rsidP="003260CB">
            <w:pPr>
              <w:jc w:val="center"/>
            </w:pPr>
          </w:p>
        </w:tc>
        <w:tc>
          <w:tcPr>
            <w:tcW w:w="1298" w:type="dxa"/>
            <w:vMerge w:val="restart"/>
            <w:tcMar>
              <w:top w:w="80" w:type="dxa"/>
              <w:left w:w="120" w:type="dxa"/>
              <w:bottom w:w="80" w:type="dxa"/>
              <w:right w:w="120" w:type="dxa"/>
            </w:tcMar>
            <w:vAlign w:val="center"/>
          </w:tcPr>
          <w:p w14:paraId="4840DE9D" w14:textId="3CA5360F" w:rsidR="003260CB" w:rsidRDefault="003260CB" w:rsidP="003260CB">
            <w:pPr>
              <w:jc w:val="center"/>
            </w:pPr>
            <w:r>
              <w:rPr>
                <w:sz w:val="18"/>
                <w:szCs w:val="18"/>
              </w:rPr>
              <w:t>ETP Species</w:t>
            </w:r>
          </w:p>
        </w:tc>
        <w:tc>
          <w:tcPr>
            <w:tcW w:w="1385" w:type="dxa"/>
            <w:tcMar>
              <w:top w:w="80" w:type="dxa"/>
              <w:left w:w="120" w:type="dxa"/>
              <w:bottom w:w="80" w:type="dxa"/>
              <w:right w:w="120" w:type="dxa"/>
            </w:tcMar>
            <w:vAlign w:val="center"/>
          </w:tcPr>
          <w:p w14:paraId="7BA8FD35" w14:textId="77777777" w:rsidR="003260CB" w:rsidRDefault="003260CB" w:rsidP="003260CB">
            <w:pPr>
              <w:jc w:val="center"/>
            </w:pPr>
            <w:r>
              <w:rPr>
                <w:sz w:val="18"/>
                <w:szCs w:val="18"/>
              </w:rPr>
              <w:t>2.3.1 Outcome</w:t>
            </w:r>
          </w:p>
        </w:tc>
        <w:tc>
          <w:tcPr>
            <w:tcW w:w="1001" w:type="dxa"/>
            <w:tcBorders>
              <w:bottom w:val="single" w:sz="4" w:space="0" w:color="auto"/>
            </w:tcBorders>
            <w:shd w:val="clear" w:color="auto" w:fill="B4DE8B"/>
            <w:tcMar>
              <w:top w:w="80" w:type="dxa"/>
              <w:left w:w="120" w:type="dxa"/>
              <w:bottom w:w="80" w:type="dxa"/>
              <w:right w:w="120" w:type="dxa"/>
            </w:tcMar>
            <w:vAlign w:val="center"/>
          </w:tcPr>
          <w:p w14:paraId="1D06C1BB" w14:textId="37A346CE" w:rsidR="003260CB" w:rsidRDefault="003260CB" w:rsidP="003260CB">
            <w:pPr>
              <w:jc w:val="center"/>
            </w:pPr>
            <w:r>
              <w:rPr>
                <w:sz w:val="18"/>
                <w:szCs w:val="18"/>
              </w:rPr>
              <w:t>≥80</w:t>
            </w:r>
          </w:p>
        </w:tc>
        <w:tc>
          <w:tcPr>
            <w:tcW w:w="980" w:type="dxa"/>
            <w:tcBorders>
              <w:bottom w:val="single" w:sz="4" w:space="0" w:color="auto"/>
            </w:tcBorders>
            <w:shd w:val="clear" w:color="auto" w:fill="B4DE8B"/>
            <w:tcMar>
              <w:top w:w="80" w:type="dxa"/>
              <w:left w:w="120" w:type="dxa"/>
              <w:bottom w:w="80" w:type="dxa"/>
              <w:right w:w="120" w:type="dxa"/>
            </w:tcMar>
            <w:vAlign w:val="center"/>
          </w:tcPr>
          <w:p w14:paraId="2742F6EE"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0EF4F0A0" w14:textId="1C70CAF1" w:rsidR="00561708" w:rsidRPr="00F2676C" w:rsidRDefault="00573F93" w:rsidP="003260CB">
            <w:pPr>
              <w:rPr>
                <w:color w:val="000000" w:themeColor="text1"/>
                <w:sz w:val="18"/>
                <w:szCs w:val="18"/>
              </w:rPr>
            </w:pPr>
            <w:r w:rsidRPr="00F2676C">
              <w:rPr>
                <w:color w:val="000000" w:themeColor="text1"/>
                <w:sz w:val="18"/>
                <w:szCs w:val="18"/>
              </w:rPr>
              <w:t>Based on the available information, t</w:t>
            </w:r>
            <w:r w:rsidR="00561708" w:rsidRPr="00F2676C">
              <w:rPr>
                <w:color w:val="000000" w:themeColor="text1"/>
                <w:sz w:val="18"/>
                <w:szCs w:val="18"/>
              </w:rPr>
              <w:t>he only direct</w:t>
            </w:r>
            <w:r w:rsidRPr="00F2676C">
              <w:rPr>
                <w:color w:val="000000" w:themeColor="text1"/>
                <w:sz w:val="18"/>
                <w:szCs w:val="18"/>
              </w:rPr>
              <w:t xml:space="preserve"> recorded</w:t>
            </w:r>
            <w:r w:rsidR="00561708" w:rsidRPr="00F2676C">
              <w:rPr>
                <w:color w:val="000000" w:themeColor="text1"/>
                <w:sz w:val="18"/>
                <w:szCs w:val="18"/>
              </w:rPr>
              <w:t xml:space="preserve"> interaction with an ETP species was a single record of a Pacific seahorse (</w:t>
            </w:r>
            <w:r w:rsidR="00561708" w:rsidRPr="00F2676C">
              <w:rPr>
                <w:i/>
                <w:iCs/>
                <w:color w:val="000000" w:themeColor="text1"/>
                <w:sz w:val="18"/>
                <w:szCs w:val="18"/>
              </w:rPr>
              <w:t>H. ingens</w:t>
            </w:r>
            <w:r w:rsidR="00561708" w:rsidRPr="00F2676C">
              <w:rPr>
                <w:color w:val="000000" w:themeColor="text1"/>
                <w:sz w:val="18"/>
                <w:szCs w:val="18"/>
              </w:rPr>
              <w:t>)</w:t>
            </w:r>
            <w:r w:rsidRPr="00F2676C">
              <w:rPr>
                <w:color w:val="000000" w:themeColor="text1"/>
                <w:sz w:val="18"/>
                <w:szCs w:val="18"/>
              </w:rPr>
              <w:t xml:space="preserve">. </w:t>
            </w:r>
            <w:r w:rsidR="00561708" w:rsidRPr="00F2676C">
              <w:rPr>
                <w:color w:val="000000" w:themeColor="text1"/>
                <w:sz w:val="18"/>
                <w:szCs w:val="18"/>
              </w:rPr>
              <w:t xml:space="preserve">Given the extremely rare occurrence, the absence of catch inside traps, and the fishery’s practice of release, the direct effects of the UoA are considered highly likely to not hinder recovery of the ETP species. </w:t>
            </w:r>
          </w:p>
          <w:p w14:paraId="0D54923C" w14:textId="77777777" w:rsidR="00561708" w:rsidRPr="00F2676C" w:rsidRDefault="00561708" w:rsidP="003260CB">
            <w:pPr>
              <w:rPr>
                <w:color w:val="000000" w:themeColor="text1"/>
                <w:sz w:val="18"/>
                <w:szCs w:val="18"/>
              </w:rPr>
            </w:pPr>
          </w:p>
          <w:p w14:paraId="4F07D3B0" w14:textId="5B2050BA" w:rsidR="003260CB" w:rsidRPr="00F2676C" w:rsidRDefault="00561708" w:rsidP="003260CB">
            <w:pPr>
              <w:rPr>
                <w:color w:val="000000" w:themeColor="text1"/>
                <w:sz w:val="18"/>
                <w:szCs w:val="18"/>
              </w:rPr>
            </w:pPr>
            <w:r w:rsidRPr="00F2676C">
              <w:rPr>
                <w:color w:val="000000" w:themeColor="text1"/>
                <w:sz w:val="18"/>
                <w:szCs w:val="18"/>
              </w:rPr>
              <w:t xml:space="preserve">Potential indirect effects of the UoA include trap loss, ghost fishing, or entanglement with seagrass or algae (Torre-Cosio, 2002); however, fishing is reported to occur mostly on sandy and muddy bottoms where traps are less likely to damage sensitive habitats, and collapsible trap design reduces the risk of long-term ghost fishing impacts on seahorses or other potential ETP species. </w:t>
            </w:r>
          </w:p>
        </w:tc>
      </w:tr>
      <w:tr w:rsidR="0087346B" w14:paraId="28396E2A" w14:textId="77777777" w:rsidTr="002D5BAA">
        <w:tc>
          <w:tcPr>
            <w:tcW w:w="1001" w:type="dxa"/>
            <w:vMerge/>
            <w:tcMar>
              <w:top w:w="80" w:type="dxa"/>
              <w:left w:w="120" w:type="dxa"/>
              <w:bottom w:w="80" w:type="dxa"/>
              <w:right w:w="120" w:type="dxa"/>
            </w:tcMar>
            <w:vAlign w:val="center"/>
          </w:tcPr>
          <w:p w14:paraId="0DE86BA8" w14:textId="3032EE36" w:rsidR="003260CB" w:rsidRDefault="003260CB" w:rsidP="003260CB">
            <w:pPr>
              <w:jc w:val="center"/>
            </w:pPr>
          </w:p>
        </w:tc>
        <w:tc>
          <w:tcPr>
            <w:tcW w:w="1298" w:type="dxa"/>
            <w:vMerge/>
            <w:tcMar>
              <w:top w:w="80" w:type="dxa"/>
              <w:left w:w="120" w:type="dxa"/>
              <w:bottom w:w="80" w:type="dxa"/>
              <w:right w:w="120" w:type="dxa"/>
            </w:tcMar>
            <w:vAlign w:val="center"/>
          </w:tcPr>
          <w:p w14:paraId="2876B791" w14:textId="7AB6412A" w:rsidR="003260CB" w:rsidRDefault="003260CB" w:rsidP="003260CB">
            <w:pPr>
              <w:jc w:val="center"/>
            </w:pPr>
          </w:p>
        </w:tc>
        <w:tc>
          <w:tcPr>
            <w:tcW w:w="1385" w:type="dxa"/>
            <w:tcMar>
              <w:top w:w="80" w:type="dxa"/>
              <w:left w:w="120" w:type="dxa"/>
              <w:bottom w:w="80" w:type="dxa"/>
              <w:right w:w="120" w:type="dxa"/>
            </w:tcMar>
            <w:vAlign w:val="center"/>
          </w:tcPr>
          <w:p w14:paraId="6D6CFD9B" w14:textId="0F981E43" w:rsidR="003260CB" w:rsidRDefault="003260CB" w:rsidP="003260CB">
            <w:pPr>
              <w:jc w:val="center"/>
            </w:pPr>
            <w:r>
              <w:rPr>
                <w:sz w:val="18"/>
                <w:szCs w:val="18"/>
              </w:rPr>
              <w:t>2.3.2 Management Strategy</w:t>
            </w:r>
          </w:p>
        </w:tc>
        <w:tc>
          <w:tcPr>
            <w:tcW w:w="1001" w:type="dxa"/>
            <w:shd w:val="clear" w:color="auto" w:fill="B4DE8B"/>
            <w:tcMar>
              <w:top w:w="80" w:type="dxa"/>
              <w:left w:w="120" w:type="dxa"/>
              <w:bottom w:w="80" w:type="dxa"/>
              <w:right w:w="120" w:type="dxa"/>
            </w:tcMar>
            <w:vAlign w:val="center"/>
          </w:tcPr>
          <w:p w14:paraId="094A0B8A" w14:textId="5FD32988" w:rsidR="003260CB" w:rsidRDefault="003260CB" w:rsidP="003260CB">
            <w:pPr>
              <w:jc w:val="center"/>
            </w:pPr>
            <w:r>
              <w:rPr>
                <w:sz w:val="18"/>
                <w:szCs w:val="18"/>
              </w:rPr>
              <w:t>≥80</w:t>
            </w:r>
          </w:p>
        </w:tc>
        <w:tc>
          <w:tcPr>
            <w:tcW w:w="980" w:type="dxa"/>
            <w:tcBorders>
              <w:bottom w:val="single" w:sz="4" w:space="0" w:color="auto"/>
            </w:tcBorders>
            <w:shd w:val="clear" w:color="auto" w:fill="B4DE8B"/>
            <w:tcMar>
              <w:top w:w="80" w:type="dxa"/>
              <w:left w:w="120" w:type="dxa"/>
              <w:bottom w:w="80" w:type="dxa"/>
              <w:right w:w="120" w:type="dxa"/>
            </w:tcMar>
            <w:vAlign w:val="center"/>
          </w:tcPr>
          <w:p w14:paraId="78A953B8" w14:textId="3D626447" w:rsidR="003260CB" w:rsidRDefault="00617935" w:rsidP="003260CB">
            <w:pPr>
              <w:jc w:val="center"/>
            </w:pPr>
            <w:r>
              <w:rPr>
                <w:sz w:val="18"/>
                <w:szCs w:val="18"/>
              </w:rPr>
              <w:t>≥80</w:t>
            </w:r>
          </w:p>
        </w:tc>
        <w:tc>
          <w:tcPr>
            <w:tcW w:w="8010" w:type="dxa"/>
            <w:tcMar>
              <w:top w:w="80" w:type="dxa"/>
              <w:left w:w="120" w:type="dxa"/>
              <w:bottom w:w="80" w:type="dxa"/>
              <w:right w:w="120" w:type="dxa"/>
            </w:tcMar>
          </w:tcPr>
          <w:p w14:paraId="04654DDA" w14:textId="77777777" w:rsidR="00AC222C" w:rsidRPr="00F2676C" w:rsidRDefault="00AC222C" w:rsidP="00AC222C">
            <w:pPr>
              <w:rPr>
                <w:color w:val="000000" w:themeColor="text1"/>
                <w:sz w:val="18"/>
                <w:szCs w:val="18"/>
              </w:rPr>
            </w:pPr>
            <w:r w:rsidRPr="00F2676C">
              <w:rPr>
                <w:color w:val="000000" w:themeColor="text1"/>
                <w:sz w:val="18"/>
                <w:szCs w:val="18"/>
              </w:rPr>
              <w:t xml:space="preserve">Recent bycatch monitoring data showing no ETP interactions, combined with fisher reports and regular official inspections, provide an objective basis for confidence in the measures and some evidence of successful implementation. However, the lack of recent systematic monitoring and the absence of formal compliance documentation prevent the team from establishing with high confidence that the strategy is achieving its objectives. </w:t>
            </w:r>
          </w:p>
          <w:p w14:paraId="64FE49EA" w14:textId="77777777" w:rsidR="00AC222C" w:rsidRPr="00F2676C" w:rsidRDefault="00AC222C" w:rsidP="00AC222C">
            <w:pPr>
              <w:rPr>
                <w:color w:val="000000" w:themeColor="text1"/>
                <w:sz w:val="18"/>
                <w:szCs w:val="18"/>
              </w:rPr>
            </w:pPr>
          </w:p>
          <w:p w14:paraId="42B16ABC" w14:textId="77777777" w:rsidR="00617935" w:rsidRPr="00F2676C" w:rsidRDefault="00AC222C" w:rsidP="00AC222C">
            <w:pPr>
              <w:rPr>
                <w:color w:val="000000" w:themeColor="text1"/>
                <w:sz w:val="18"/>
                <w:szCs w:val="18"/>
              </w:rPr>
            </w:pPr>
            <w:r w:rsidRPr="00F2676C">
              <w:rPr>
                <w:color w:val="000000" w:themeColor="text1"/>
                <w:sz w:val="18"/>
                <w:szCs w:val="18"/>
              </w:rPr>
              <w:t xml:space="preserve">Finally, </w:t>
            </w:r>
            <w:r w:rsidR="00617935" w:rsidRPr="00F2676C">
              <w:rPr>
                <w:color w:val="000000" w:themeColor="text1"/>
                <w:sz w:val="18"/>
                <w:szCs w:val="18"/>
              </w:rPr>
              <w:t xml:space="preserve">regarding alternative measures to minimize </w:t>
            </w:r>
            <w:proofErr w:type="spellStart"/>
            <w:r w:rsidR="00617935" w:rsidRPr="00F2676C">
              <w:rPr>
                <w:color w:val="000000" w:themeColor="text1"/>
                <w:sz w:val="18"/>
                <w:szCs w:val="18"/>
              </w:rPr>
              <w:t>UoA</w:t>
            </w:r>
            <w:proofErr w:type="spellEnd"/>
            <w:r w:rsidR="00617935" w:rsidRPr="00F2676C">
              <w:rPr>
                <w:color w:val="000000" w:themeColor="text1"/>
                <w:sz w:val="18"/>
                <w:szCs w:val="18"/>
              </w:rPr>
              <w:t xml:space="preserve">-related mortality of </w:t>
            </w:r>
            <w:proofErr w:type="spellStart"/>
            <w:proofErr w:type="gramStart"/>
            <w:r w:rsidR="00617935" w:rsidRPr="00F2676C">
              <w:rPr>
                <w:color w:val="000000" w:themeColor="text1"/>
                <w:sz w:val="18"/>
                <w:szCs w:val="18"/>
              </w:rPr>
              <w:t>ETP,a</w:t>
            </w:r>
            <w:proofErr w:type="spellEnd"/>
            <w:proofErr w:type="gramEnd"/>
            <w:r w:rsidR="00617935" w:rsidRPr="00F2676C">
              <w:rPr>
                <w:color w:val="000000" w:themeColor="text1"/>
                <w:sz w:val="18"/>
                <w:szCs w:val="18"/>
              </w:rPr>
              <w:t xml:space="preserve"> study by Loaiza-Villanueva and Valdivia-Jiménez (2023) evaluated the efficiency and selectivity of different trap types and bait used in the fishery, demonstrating that ring nets may be more selective and depending on type of bait selected.</w:t>
            </w:r>
          </w:p>
          <w:p w14:paraId="7DDE9EB8" w14:textId="77777777" w:rsidR="00617935" w:rsidRPr="00F2676C" w:rsidRDefault="00617935" w:rsidP="00AC222C">
            <w:pPr>
              <w:rPr>
                <w:color w:val="000000" w:themeColor="text1"/>
                <w:sz w:val="18"/>
                <w:szCs w:val="18"/>
              </w:rPr>
            </w:pPr>
          </w:p>
          <w:p w14:paraId="12FDA897" w14:textId="20E304C2" w:rsidR="003260CB" w:rsidRPr="00F2676C" w:rsidRDefault="00617935" w:rsidP="00AC222C">
            <w:pPr>
              <w:rPr>
                <w:color w:val="000000" w:themeColor="text1"/>
                <w:sz w:val="18"/>
                <w:szCs w:val="18"/>
              </w:rPr>
            </w:pPr>
            <w:r w:rsidRPr="00F2676C">
              <w:rPr>
                <w:color w:val="000000" w:themeColor="text1"/>
                <w:sz w:val="18"/>
                <w:szCs w:val="18"/>
              </w:rPr>
              <w:t>In addition, the fishery management plan and associated regulations are periodically updated, and the plan is currently under revision, these instruments do not include provisions or reviews specific to ETP bycatch, mostly because ETP interactions are negligible (see PI 2.3.1). There is no evidence of a systematic review of potential measures, although the current revisions and available information may be appropriate. For these reasons a SG80 is considered appropriate.</w:t>
            </w:r>
          </w:p>
        </w:tc>
      </w:tr>
      <w:tr w:rsidR="0087346B" w14:paraId="6A35BF13" w14:textId="77777777" w:rsidTr="002D5BAA">
        <w:tc>
          <w:tcPr>
            <w:tcW w:w="1001" w:type="dxa"/>
            <w:vMerge/>
            <w:tcMar>
              <w:top w:w="80" w:type="dxa"/>
              <w:left w:w="120" w:type="dxa"/>
              <w:bottom w:w="80" w:type="dxa"/>
              <w:right w:w="120" w:type="dxa"/>
            </w:tcMar>
            <w:vAlign w:val="center"/>
          </w:tcPr>
          <w:p w14:paraId="3E441BC6" w14:textId="66FEB7AD" w:rsidR="003260CB" w:rsidRDefault="003260CB" w:rsidP="003260CB">
            <w:pPr>
              <w:jc w:val="center"/>
            </w:pPr>
          </w:p>
        </w:tc>
        <w:tc>
          <w:tcPr>
            <w:tcW w:w="1298" w:type="dxa"/>
            <w:vMerge/>
            <w:tcMar>
              <w:top w:w="80" w:type="dxa"/>
              <w:left w:w="120" w:type="dxa"/>
              <w:bottom w:w="80" w:type="dxa"/>
              <w:right w:w="120" w:type="dxa"/>
            </w:tcMar>
            <w:vAlign w:val="center"/>
          </w:tcPr>
          <w:p w14:paraId="55EA3E97" w14:textId="574B5B1F" w:rsidR="003260CB" w:rsidRDefault="003260CB" w:rsidP="003260CB">
            <w:pPr>
              <w:jc w:val="center"/>
            </w:pPr>
          </w:p>
        </w:tc>
        <w:tc>
          <w:tcPr>
            <w:tcW w:w="1385" w:type="dxa"/>
            <w:tcMar>
              <w:top w:w="80" w:type="dxa"/>
              <w:left w:w="120" w:type="dxa"/>
              <w:bottom w:w="80" w:type="dxa"/>
              <w:right w:w="120" w:type="dxa"/>
            </w:tcMar>
            <w:vAlign w:val="center"/>
          </w:tcPr>
          <w:p w14:paraId="16700186" w14:textId="77777777" w:rsidR="003260CB" w:rsidRDefault="003260CB" w:rsidP="003260CB">
            <w:pPr>
              <w:jc w:val="center"/>
            </w:pPr>
            <w:r>
              <w:rPr>
                <w:sz w:val="18"/>
                <w:szCs w:val="18"/>
              </w:rPr>
              <w:t>2.3.3 Information</w:t>
            </w:r>
          </w:p>
        </w:tc>
        <w:tc>
          <w:tcPr>
            <w:tcW w:w="1001" w:type="dxa"/>
            <w:shd w:val="clear" w:color="auto" w:fill="FFEE64"/>
            <w:tcMar>
              <w:top w:w="80" w:type="dxa"/>
              <w:left w:w="120" w:type="dxa"/>
              <w:bottom w:w="80" w:type="dxa"/>
              <w:right w:w="120" w:type="dxa"/>
            </w:tcMar>
            <w:vAlign w:val="center"/>
          </w:tcPr>
          <w:p w14:paraId="61F71CE9" w14:textId="77777777" w:rsidR="003260CB" w:rsidRDefault="003260CB" w:rsidP="003260CB">
            <w:pPr>
              <w:jc w:val="center"/>
            </w:pPr>
            <w:r>
              <w:rPr>
                <w:sz w:val="18"/>
                <w:szCs w:val="18"/>
              </w:rPr>
              <w:t>60–79</w:t>
            </w:r>
          </w:p>
        </w:tc>
        <w:tc>
          <w:tcPr>
            <w:tcW w:w="980" w:type="dxa"/>
            <w:shd w:val="clear" w:color="auto" w:fill="B4DE8B"/>
            <w:tcMar>
              <w:top w:w="80" w:type="dxa"/>
              <w:left w:w="120" w:type="dxa"/>
              <w:bottom w:w="80" w:type="dxa"/>
              <w:right w:w="120" w:type="dxa"/>
            </w:tcMar>
            <w:vAlign w:val="center"/>
          </w:tcPr>
          <w:p w14:paraId="601D0F6D" w14:textId="3007AC46" w:rsidR="003260CB" w:rsidRDefault="002D5BAA" w:rsidP="003260CB">
            <w:pPr>
              <w:jc w:val="center"/>
            </w:pPr>
            <w:r>
              <w:rPr>
                <w:sz w:val="18"/>
                <w:szCs w:val="18"/>
              </w:rPr>
              <w:t>&gt;80</w:t>
            </w:r>
          </w:p>
        </w:tc>
        <w:tc>
          <w:tcPr>
            <w:tcW w:w="8010" w:type="dxa"/>
            <w:tcMar>
              <w:top w:w="80" w:type="dxa"/>
              <w:left w:w="120" w:type="dxa"/>
              <w:bottom w:w="80" w:type="dxa"/>
              <w:right w:w="120" w:type="dxa"/>
            </w:tcMar>
          </w:tcPr>
          <w:p w14:paraId="55E5C14E" w14:textId="2A038540" w:rsidR="003260CB" w:rsidRPr="00F2676C" w:rsidRDefault="004F7BBC" w:rsidP="002D5BAA">
            <w:pPr>
              <w:rPr>
                <w:color w:val="000000" w:themeColor="text1"/>
                <w:sz w:val="18"/>
                <w:szCs w:val="18"/>
              </w:rPr>
            </w:pPr>
            <w:r w:rsidRPr="00F2676C">
              <w:rPr>
                <w:color w:val="000000" w:themeColor="text1"/>
                <w:sz w:val="18"/>
                <w:szCs w:val="18"/>
              </w:rPr>
              <w:t xml:space="preserve">Balmori et al. (2012) includes some quantitative information showing no ETP species interactions among the approximately 30 species identified as interacting with the fishery. Supporting qualitative information from the CNP and other fishery characterization reports is consistent with those findings. </w:t>
            </w:r>
            <w:r w:rsidR="002D5BAA">
              <w:rPr>
                <w:color w:val="000000" w:themeColor="text1"/>
                <w:sz w:val="18"/>
                <w:szCs w:val="18"/>
              </w:rPr>
              <w:t xml:space="preserve">The single interaction </w:t>
            </w:r>
            <w:r w:rsidRPr="00F2676C">
              <w:rPr>
                <w:color w:val="000000" w:themeColor="text1"/>
                <w:sz w:val="18"/>
                <w:szCs w:val="18"/>
              </w:rPr>
              <w:t>with the Pacific seahorse (</w:t>
            </w:r>
            <w:r w:rsidRPr="00F2676C">
              <w:rPr>
                <w:i/>
                <w:iCs/>
                <w:color w:val="000000" w:themeColor="text1"/>
                <w:sz w:val="18"/>
                <w:szCs w:val="18"/>
              </w:rPr>
              <w:t>H. ingens</w:t>
            </w:r>
            <w:r w:rsidRPr="00F2676C">
              <w:rPr>
                <w:color w:val="000000" w:themeColor="text1"/>
                <w:sz w:val="18"/>
                <w:szCs w:val="18"/>
              </w:rPr>
              <w:t>)</w:t>
            </w:r>
            <w:r w:rsidR="002D5BAA">
              <w:rPr>
                <w:color w:val="000000" w:themeColor="text1"/>
                <w:sz w:val="18"/>
                <w:szCs w:val="18"/>
              </w:rPr>
              <w:t xml:space="preserve"> reported by </w:t>
            </w:r>
            <w:r w:rsidR="002D5BAA" w:rsidRPr="00F2676C">
              <w:rPr>
                <w:color w:val="000000" w:themeColor="text1"/>
                <w:sz w:val="18"/>
                <w:szCs w:val="18"/>
              </w:rPr>
              <w:t xml:space="preserve">Torre-Cosio (2002) </w:t>
            </w:r>
            <w:r w:rsidR="002D5BAA">
              <w:rPr>
                <w:color w:val="000000" w:themeColor="text1"/>
                <w:sz w:val="18"/>
                <w:szCs w:val="18"/>
              </w:rPr>
              <w:t>has</w:t>
            </w:r>
            <w:r w:rsidRPr="00F2676C">
              <w:rPr>
                <w:color w:val="000000" w:themeColor="text1"/>
                <w:sz w:val="18"/>
                <w:szCs w:val="18"/>
              </w:rPr>
              <w:t xml:space="preserve"> be</w:t>
            </w:r>
            <w:r w:rsidR="002D5BAA">
              <w:rPr>
                <w:color w:val="000000" w:themeColor="text1"/>
                <w:sz w:val="18"/>
                <w:szCs w:val="18"/>
              </w:rPr>
              <w:t>en</w:t>
            </w:r>
            <w:r w:rsidRPr="00F2676C">
              <w:rPr>
                <w:color w:val="000000" w:themeColor="text1"/>
                <w:sz w:val="18"/>
                <w:szCs w:val="18"/>
              </w:rPr>
              <w:t xml:space="preserve"> considered an isolated event. This evidence is considered sufficient to assess UoA-related mortality and determine whether the fishery poses a threat to ETP species </w:t>
            </w:r>
            <w:r w:rsidRPr="00F2676C">
              <w:rPr>
                <w:color w:val="000000" w:themeColor="text1"/>
                <w:sz w:val="18"/>
                <w:szCs w:val="18"/>
              </w:rPr>
              <w:lastRenderedPageBreak/>
              <w:t>recovery</w:t>
            </w:r>
            <w:r w:rsidR="002D5BAA">
              <w:rPr>
                <w:color w:val="000000" w:themeColor="text1"/>
                <w:sz w:val="18"/>
                <w:szCs w:val="18"/>
              </w:rPr>
              <w:t>, current management in place and the level of reported interaction can be considered an strategy that help to manage impacts in ETP species, h</w:t>
            </w:r>
            <w:r w:rsidRPr="00F2676C">
              <w:rPr>
                <w:color w:val="000000" w:themeColor="text1"/>
                <w:sz w:val="18"/>
                <w:szCs w:val="18"/>
              </w:rPr>
              <w:t xml:space="preserve">owever, because no updated monitoring data spanning multiple fishing seasons and the full extent of the UoA was available, </w:t>
            </w:r>
            <w:r w:rsidR="002D5BAA">
              <w:rPr>
                <w:color w:val="000000" w:themeColor="text1"/>
                <w:sz w:val="18"/>
                <w:szCs w:val="18"/>
              </w:rPr>
              <w:t>it</w:t>
            </w:r>
            <w:r w:rsidRPr="00F2676C">
              <w:rPr>
                <w:color w:val="000000" w:themeColor="text1"/>
                <w:sz w:val="18"/>
                <w:szCs w:val="18"/>
              </w:rPr>
              <w:t xml:space="preserve"> cannot establish the absence of ETP mortality or damage with a high degree of certainty, and SG100 is not met. Establishing an active, standardized bycatch and ETP monitoring program across the full UoA would be the critical step required to advance this indicator toward a passing score in a full assessment</w:t>
            </w:r>
          </w:p>
        </w:tc>
      </w:tr>
      <w:tr w:rsidR="0087346B" w14:paraId="72F64190" w14:textId="77777777" w:rsidTr="00EC3E28">
        <w:tc>
          <w:tcPr>
            <w:tcW w:w="1001" w:type="dxa"/>
            <w:vMerge/>
            <w:tcMar>
              <w:top w:w="80" w:type="dxa"/>
              <w:left w:w="120" w:type="dxa"/>
              <w:bottom w:w="80" w:type="dxa"/>
              <w:right w:w="120" w:type="dxa"/>
            </w:tcMar>
            <w:vAlign w:val="center"/>
          </w:tcPr>
          <w:p w14:paraId="2AF031C4" w14:textId="7F7FA33B" w:rsidR="003260CB" w:rsidRDefault="003260CB" w:rsidP="003260CB">
            <w:pPr>
              <w:jc w:val="center"/>
            </w:pPr>
          </w:p>
        </w:tc>
        <w:tc>
          <w:tcPr>
            <w:tcW w:w="1298" w:type="dxa"/>
            <w:vMerge w:val="restart"/>
            <w:tcMar>
              <w:top w:w="80" w:type="dxa"/>
              <w:left w:w="120" w:type="dxa"/>
              <w:bottom w:w="80" w:type="dxa"/>
              <w:right w:w="120" w:type="dxa"/>
            </w:tcMar>
            <w:vAlign w:val="center"/>
          </w:tcPr>
          <w:p w14:paraId="5BB1FB53" w14:textId="2CFAB0A3" w:rsidR="003260CB" w:rsidRDefault="003260CB" w:rsidP="003260CB">
            <w:pPr>
              <w:jc w:val="center"/>
            </w:pPr>
            <w:r>
              <w:rPr>
                <w:sz w:val="18"/>
                <w:szCs w:val="18"/>
              </w:rPr>
              <w:t>Habitats</w:t>
            </w:r>
          </w:p>
        </w:tc>
        <w:tc>
          <w:tcPr>
            <w:tcW w:w="1385" w:type="dxa"/>
            <w:tcMar>
              <w:top w:w="80" w:type="dxa"/>
              <w:left w:w="120" w:type="dxa"/>
              <w:bottom w:w="80" w:type="dxa"/>
              <w:right w:w="120" w:type="dxa"/>
            </w:tcMar>
            <w:vAlign w:val="center"/>
          </w:tcPr>
          <w:p w14:paraId="56039829" w14:textId="77777777" w:rsidR="003260CB" w:rsidRDefault="003260CB" w:rsidP="003260CB">
            <w:pPr>
              <w:jc w:val="center"/>
            </w:pPr>
            <w:r>
              <w:rPr>
                <w:sz w:val="18"/>
                <w:szCs w:val="18"/>
              </w:rPr>
              <w:t>2.4.1 Outcome</w:t>
            </w:r>
          </w:p>
        </w:tc>
        <w:tc>
          <w:tcPr>
            <w:tcW w:w="1001" w:type="dxa"/>
            <w:shd w:val="clear" w:color="auto" w:fill="B4DE8B"/>
            <w:tcMar>
              <w:top w:w="80" w:type="dxa"/>
              <w:left w:w="120" w:type="dxa"/>
              <w:bottom w:w="80" w:type="dxa"/>
              <w:right w:w="120" w:type="dxa"/>
            </w:tcMar>
            <w:vAlign w:val="center"/>
          </w:tcPr>
          <w:p w14:paraId="62F14425" w14:textId="0E867299"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5CD024D1"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2F94437E" w14:textId="312BCBD4" w:rsidR="00FB3E75" w:rsidRPr="00F2676C" w:rsidRDefault="00FB3E75" w:rsidP="00FB3E75">
            <w:pPr>
              <w:rPr>
                <w:color w:val="000000" w:themeColor="text1"/>
                <w:sz w:val="18"/>
                <w:szCs w:val="18"/>
              </w:rPr>
            </w:pPr>
            <w:r w:rsidRPr="00F2676C">
              <w:rPr>
                <w:color w:val="000000" w:themeColor="text1"/>
                <w:sz w:val="18"/>
                <w:szCs w:val="18"/>
              </w:rPr>
              <w:t xml:space="preserve">The fishery operates predominantly over habitat types that are relatively resilient to physical disturbance (Grabowski et al., 2014.  Although trap fisheries can cause some disturbance through gear dragging, ghost fishing, or incidental contact with benthic fauna, the passive nature of the gear, short soak periods in lagoons, and the predominance of soft-bottom fishing grounds all reduce the likelihood of significant habitat impact. However, the absence of direct, current evidence on habitat condition, fishing intensity, or spatially explicit gear overlap prevents SG100 from being achieved. Fisher behavior further reduces the likelihood of serious or irreversible harm to habitats (including VME), however, due to the lack of recent spatial monitoring of fishery overlap with VME habitats and updated habitat status data SG 100 is not met. </w:t>
            </w:r>
          </w:p>
          <w:p w14:paraId="1165D658" w14:textId="77777777" w:rsidR="00FB3E75" w:rsidRPr="00F2676C" w:rsidRDefault="00FB3E75" w:rsidP="00FB3E75">
            <w:pPr>
              <w:rPr>
                <w:color w:val="000000" w:themeColor="text1"/>
                <w:sz w:val="18"/>
                <w:szCs w:val="18"/>
              </w:rPr>
            </w:pPr>
          </w:p>
          <w:p w14:paraId="38215CEA" w14:textId="449EB008" w:rsidR="003260CB" w:rsidRPr="00F2676C" w:rsidRDefault="00FB3E75" w:rsidP="00FB3E75">
            <w:pPr>
              <w:rPr>
                <w:color w:val="000000" w:themeColor="text1"/>
              </w:rPr>
            </w:pPr>
            <w:r w:rsidRPr="00F2676C">
              <w:rPr>
                <w:color w:val="000000" w:themeColor="text1"/>
                <w:sz w:val="18"/>
                <w:szCs w:val="18"/>
              </w:rPr>
              <w:t>Overall, PI scores in the ≥80 range based on the performance of scoring issues (a) and (b), and the PI is not flagged as data deficient, as sufficient information was available to score it. It is recommended to generate updated spatial data on gear distribution and habitat overlap for a full assessment.</w:t>
            </w:r>
          </w:p>
        </w:tc>
      </w:tr>
      <w:tr w:rsidR="0087346B" w14:paraId="3BAF456A" w14:textId="77777777" w:rsidTr="00EC3E28">
        <w:tc>
          <w:tcPr>
            <w:tcW w:w="1001" w:type="dxa"/>
            <w:vMerge/>
            <w:tcMar>
              <w:top w:w="80" w:type="dxa"/>
              <w:left w:w="120" w:type="dxa"/>
              <w:bottom w:w="80" w:type="dxa"/>
              <w:right w:w="120" w:type="dxa"/>
            </w:tcMar>
            <w:vAlign w:val="center"/>
          </w:tcPr>
          <w:p w14:paraId="6C3E393B" w14:textId="7342F6FB" w:rsidR="003260CB" w:rsidRDefault="003260CB" w:rsidP="003260CB">
            <w:pPr>
              <w:jc w:val="center"/>
            </w:pPr>
          </w:p>
        </w:tc>
        <w:tc>
          <w:tcPr>
            <w:tcW w:w="1298" w:type="dxa"/>
            <w:vMerge/>
            <w:tcMar>
              <w:top w:w="80" w:type="dxa"/>
              <w:left w:w="120" w:type="dxa"/>
              <w:bottom w:w="80" w:type="dxa"/>
              <w:right w:w="120" w:type="dxa"/>
            </w:tcMar>
            <w:vAlign w:val="center"/>
          </w:tcPr>
          <w:p w14:paraId="2A26794E" w14:textId="7BB18A06" w:rsidR="003260CB" w:rsidRDefault="003260CB" w:rsidP="003260CB">
            <w:pPr>
              <w:jc w:val="center"/>
            </w:pPr>
          </w:p>
        </w:tc>
        <w:tc>
          <w:tcPr>
            <w:tcW w:w="1385" w:type="dxa"/>
            <w:tcMar>
              <w:top w:w="80" w:type="dxa"/>
              <w:left w:w="120" w:type="dxa"/>
              <w:bottom w:w="80" w:type="dxa"/>
              <w:right w:w="120" w:type="dxa"/>
            </w:tcMar>
            <w:vAlign w:val="center"/>
          </w:tcPr>
          <w:p w14:paraId="21087C54" w14:textId="2BA03127" w:rsidR="003260CB" w:rsidRDefault="003260CB" w:rsidP="003260CB">
            <w:pPr>
              <w:jc w:val="center"/>
            </w:pPr>
            <w:r>
              <w:rPr>
                <w:sz w:val="18"/>
                <w:szCs w:val="18"/>
              </w:rPr>
              <w:t>2.4.2 Management Strategy</w:t>
            </w:r>
          </w:p>
        </w:tc>
        <w:tc>
          <w:tcPr>
            <w:tcW w:w="1001" w:type="dxa"/>
            <w:shd w:val="clear" w:color="auto" w:fill="FFEE64"/>
            <w:tcMar>
              <w:top w:w="80" w:type="dxa"/>
              <w:left w:w="120" w:type="dxa"/>
              <w:bottom w:w="80" w:type="dxa"/>
              <w:right w:w="120" w:type="dxa"/>
            </w:tcMar>
            <w:vAlign w:val="center"/>
          </w:tcPr>
          <w:p w14:paraId="5D9677EF" w14:textId="77777777" w:rsidR="003260CB" w:rsidRDefault="003260CB" w:rsidP="003260CB">
            <w:pPr>
              <w:jc w:val="center"/>
            </w:pPr>
            <w:r>
              <w:rPr>
                <w:sz w:val="18"/>
                <w:szCs w:val="18"/>
              </w:rPr>
              <w:t>60–79</w:t>
            </w:r>
          </w:p>
        </w:tc>
        <w:tc>
          <w:tcPr>
            <w:tcW w:w="980" w:type="dxa"/>
            <w:shd w:val="clear" w:color="auto" w:fill="FFEE64"/>
            <w:tcMar>
              <w:top w:w="80" w:type="dxa"/>
              <w:left w:w="120" w:type="dxa"/>
              <w:bottom w:w="80" w:type="dxa"/>
              <w:right w:w="120" w:type="dxa"/>
            </w:tcMar>
            <w:vAlign w:val="center"/>
          </w:tcPr>
          <w:p w14:paraId="7083E85C" w14:textId="77777777" w:rsidR="003260CB" w:rsidRDefault="003260CB" w:rsidP="003260CB">
            <w:pPr>
              <w:jc w:val="center"/>
            </w:pPr>
            <w:r>
              <w:rPr>
                <w:sz w:val="18"/>
                <w:szCs w:val="18"/>
              </w:rPr>
              <w:t>60–79</w:t>
            </w:r>
          </w:p>
        </w:tc>
        <w:tc>
          <w:tcPr>
            <w:tcW w:w="8010" w:type="dxa"/>
            <w:tcMar>
              <w:top w:w="80" w:type="dxa"/>
              <w:left w:w="120" w:type="dxa"/>
              <w:bottom w:w="80" w:type="dxa"/>
              <w:right w:w="120" w:type="dxa"/>
            </w:tcMar>
          </w:tcPr>
          <w:p w14:paraId="0F75F7C7" w14:textId="66A214CE" w:rsidR="005D0330" w:rsidRPr="005D0330" w:rsidRDefault="00FB3E75" w:rsidP="005D0330">
            <w:pPr>
              <w:rPr>
                <w:sz w:val="18"/>
                <w:szCs w:val="18"/>
              </w:rPr>
            </w:pPr>
            <w:r w:rsidRPr="00F2676C">
              <w:rPr>
                <w:color w:val="000000" w:themeColor="text1"/>
                <w:sz w:val="18"/>
                <w:szCs w:val="18"/>
              </w:rPr>
              <w:t>The fishery lacks an explicit, fishery-specific habitat management strategy; however, a combination of indirect measures constitutes a partial strategy capable of achieving the Habitat Outcome SG80 level of performance. These include Gulf of California-wide habitat mapping (Munguía-Vega et al., 2020), effort controls, seasonal, gear restrictions and the use of biodegradable traps. Regarding an evaluation of the strategy, the relatively low documented impact of trap fisheries on muddy bottoms (Stevens, 2020</w:t>
            </w:r>
            <w:r w:rsidR="005D0330" w:rsidRPr="00F2676C">
              <w:rPr>
                <w:color w:val="000000" w:themeColor="text1"/>
                <w:sz w:val="18"/>
                <w:szCs w:val="18"/>
              </w:rPr>
              <w:t xml:space="preserve">), </w:t>
            </w:r>
            <w:r w:rsidRPr="00F2676C">
              <w:rPr>
                <w:color w:val="000000" w:themeColor="text1"/>
                <w:sz w:val="18"/>
                <w:szCs w:val="18"/>
              </w:rPr>
              <w:t xml:space="preserve">provide some objective basis for confidence that the partial strategy is working based on information directly relevant to the UoA and habitats involved. </w:t>
            </w:r>
            <w:r w:rsidR="005D0330" w:rsidRPr="00F2676C">
              <w:rPr>
                <w:color w:val="000000" w:themeColor="text1"/>
                <w:sz w:val="18"/>
                <w:szCs w:val="18"/>
              </w:rPr>
              <w:t>Some qualitative evidence</w:t>
            </w:r>
            <w:r w:rsidR="00450B6B" w:rsidRPr="00F2676C">
              <w:rPr>
                <w:color w:val="000000" w:themeColor="text1"/>
                <w:sz w:val="18"/>
                <w:szCs w:val="18"/>
              </w:rPr>
              <w:t xml:space="preserve"> exists that confirmed t</w:t>
            </w:r>
            <w:r w:rsidR="005D0330" w:rsidRPr="00F2676C">
              <w:rPr>
                <w:color w:val="000000" w:themeColor="text1"/>
                <w:sz w:val="18"/>
                <w:szCs w:val="18"/>
              </w:rPr>
              <w:t xml:space="preserve">he fishery </w:t>
            </w:r>
            <w:r w:rsidR="00450B6B" w:rsidRPr="00F2676C">
              <w:rPr>
                <w:color w:val="000000" w:themeColor="text1"/>
                <w:sz w:val="18"/>
                <w:szCs w:val="18"/>
              </w:rPr>
              <w:t>complies, but quantitative evidence needs to be generated.</w:t>
            </w:r>
          </w:p>
        </w:tc>
      </w:tr>
      <w:tr w:rsidR="0087346B" w14:paraId="719929CC" w14:textId="77777777" w:rsidTr="00EC3E28">
        <w:tc>
          <w:tcPr>
            <w:tcW w:w="1001" w:type="dxa"/>
            <w:vMerge/>
            <w:tcMar>
              <w:top w:w="80" w:type="dxa"/>
              <w:left w:w="120" w:type="dxa"/>
              <w:bottom w:w="80" w:type="dxa"/>
              <w:right w:w="120" w:type="dxa"/>
            </w:tcMar>
            <w:vAlign w:val="center"/>
          </w:tcPr>
          <w:p w14:paraId="4E06CF38" w14:textId="4C518406" w:rsidR="003260CB" w:rsidRDefault="003260CB" w:rsidP="003260CB">
            <w:pPr>
              <w:jc w:val="center"/>
            </w:pPr>
          </w:p>
        </w:tc>
        <w:tc>
          <w:tcPr>
            <w:tcW w:w="1298" w:type="dxa"/>
            <w:vMerge/>
            <w:tcMar>
              <w:top w:w="80" w:type="dxa"/>
              <w:left w:w="120" w:type="dxa"/>
              <w:bottom w:w="80" w:type="dxa"/>
              <w:right w:w="120" w:type="dxa"/>
            </w:tcMar>
            <w:vAlign w:val="center"/>
          </w:tcPr>
          <w:p w14:paraId="76487DC5" w14:textId="38E70DD6" w:rsidR="003260CB" w:rsidRDefault="003260CB" w:rsidP="003260CB">
            <w:pPr>
              <w:jc w:val="center"/>
            </w:pPr>
          </w:p>
        </w:tc>
        <w:tc>
          <w:tcPr>
            <w:tcW w:w="1385" w:type="dxa"/>
            <w:tcMar>
              <w:top w:w="80" w:type="dxa"/>
              <w:left w:w="120" w:type="dxa"/>
              <w:bottom w:w="80" w:type="dxa"/>
              <w:right w:w="120" w:type="dxa"/>
            </w:tcMar>
            <w:vAlign w:val="center"/>
          </w:tcPr>
          <w:p w14:paraId="560DD405" w14:textId="77777777" w:rsidR="003260CB" w:rsidRPr="00F2676C" w:rsidRDefault="003260CB" w:rsidP="003260CB">
            <w:pPr>
              <w:jc w:val="center"/>
            </w:pPr>
            <w:r w:rsidRPr="00F2676C">
              <w:rPr>
                <w:sz w:val="18"/>
                <w:szCs w:val="18"/>
              </w:rPr>
              <w:t>2.4.3 Information</w:t>
            </w:r>
          </w:p>
        </w:tc>
        <w:tc>
          <w:tcPr>
            <w:tcW w:w="1001" w:type="dxa"/>
            <w:shd w:val="clear" w:color="auto" w:fill="B4DE8B"/>
            <w:tcMar>
              <w:top w:w="80" w:type="dxa"/>
              <w:left w:w="120" w:type="dxa"/>
              <w:bottom w:w="80" w:type="dxa"/>
              <w:right w:w="120" w:type="dxa"/>
            </w:tcMar>
            <w:vAlign w:val="center"/>
          </w:tcPr>
          <w:p w14:paraId="6B8B9B68" w14:textId="061668E0" w:rsidR="003260CB" w:rsidRPr="00F2676C" w:rsidRDefault="003260CB" w:rsidP="003260CB">
            <w:pPr>
              <w:jc w:val="center"/>
            </w:pPr>
            <w:r w:rsidRPr="00F2676C">
              <w:rPr>
                <w:sz w:val="18"/>
                <w:szCs w:val="18"/>
              </w:rPr>
              <w:t>≥80</w:t>
            </w:r>
          </w:p>
        </w:tc>
        <w:tc>
          <w:tcPr>
            <w:tcW w:w="980" w:type="dxa"/>
            <w:shd w:val="clear" w:color="auto" w:fill="FFEE64"/>
            <w:tcMar>
              <w:top w:w="80" w:type="dxa"/>
              <w:left w:w="120" w:type="dxa"/>
              <w:bottom w:w="80" w:type="dxa"/>
              <w:right w:w="120" w:type="dxa"/>
            </w:tcMar>
            <w:vAlign w:val="center"/>
          </w:tcPr>
          <w:p w14:paraId="65D5CB95" w14:textId="77777777" w:rsidR="003260CB" w:rsidRPr="00F2676C" w:rsidRDefault="003260CB" w:rsidP="003260CB">
            <w:pPr>
              <w:jc w:val="center"/>
            </w:pPr>
            <w:r w:rsidRPr="00F2676C">
              <w:rPr>
                <w:sz w:val="18"/>
                <w:szCs w:val="18"/>
              </w:rPr>
              <w:t>60–79</w:t>
            </w:r>
          </w:p>
        </w:tc>
        <w:tc>
          <w:tcPr>
            <w:tcW w:w="8010" w:type="dxa"/>
            <w:tcMar>
              <w:top w:w="80" w:type="dxa"/>
              <w:left w:w="120" w:type="dxa"/>
              <w:bottom w:w="80" w:type="dxa"/>
              <w:right w:w="120" w:type="dxa"/>
            </w:tcMar>
          </w:tcPr>
          <w:p w14:paraId="4A415733" w14:textId="77777777" w:rsidR="00713F69" w:rsidRDefault="00F2676C" w:rsidP="00713F69">
            <w:pPr>
              <w:rPr>
                <w:color w:val="000000" w:themeColor="text1"/>
                <w:sz w:val="18"/>
                <w:szCs w:val="18"/>
              </w:rPr>
            </w:pPr>
            <w:r w:rsidRPr="00F2676C">
              <w:rPr>
                <w:color w:val="000000" w:themeColor="text1"/>
                <w:sz w:val="18"/>
                <w:szCs w:val="18"/>
              </w:rPr>
              <w:t xml:space="preserve">There is adequate information on the general distribution of benthic habitat substrate types, the vulnerability of these substrata, and the location of protected areas (Torre-Cosio, 2002; Munguía-Vega et al., 2018, 2020; CONANP 2024). The fishery operates primarily on sandy and muddy areas (Torre et al., 2004; Balmori, 2012), which are relatively resilient (Johnston et al., 2012). Given the region's importance for other fisheries (shrimp, finfish), there is a high level of understanding of habitat nature, distribution and vulnerability. </w:t>
            </w:r>
          </w:p>
          <w:p w14:paraId="41BE5D5D" w14:textId="77777777" w:rsidR="00713F69" w:rsidRDefault="00713F69" w:rsidP="00713F69">
            <w:pPr>
              <w:rPr>
                <w:color w:val="000000" w:themeColor="text1"/>
                <w:sz w:val="18"/>
                <w:szCs w:val="18"/>
              </w:rPr>
            </w:pPr>
          </w:p>
          <w:p w14:paraId="44CE1A35" w14:textId="07FAF60F" w:rsidR="00713F69" w:rsidRDefault="00713F69" w:rsidP="00713F69">
            <w:pPr>
              <w:rPr>
                <w:color w:val="000000" w:themeColor="text1"/>
                <w:sz w:val="18"/>
                <w:szCs w:val="18"/>
              </w:rPr>
            </w:pPr>
            <w:r>
              <w:rPr>
                <w:color w:val="000000" w:themeColor="text1"/>
                <w:sz w:val="18"/>
                <w:szCs w:val="18"/>
              </w:rPr>
              <w:t>In addition, i</w:t>
            </w:r>
            <w:r w:rsidR="00F2676C" w:rsidRPr="00F2676C">
              <w:rPr>
                <w:color w:val="000000" w:themeColor="text1"/>
                <w:sz w:val="18"/>
                <w:szCs w:val="18"/>
              </w:rPr>
              <w:t>nformation on fishery dynamics is adequate to broadly understand the nature of the main impacts of gear use on the main habitats. However, the main impacts of the UoA on the main habitats cannot be fully identified, and quantitative information on the spatial extent of interaction and on the timing and precise location of fishing gear deployment on the main habitats was not available. Therefore, SG80 is not met.</w:t>
            </w:r>
          </w:p>
          <w:p w14:paraId="6FDB5531" w14:textId="77777777" w:rsidR="00713F69" w:rsidRDefault="00713F69" w:rsidP="00713F69">
            <w:pPr>
              <w:rPr>
                <w:color w:val="000000" w:themeColor="text1"/>
                <w:sz w:val="18"/>
                <w:szCs w:val="18"/>
              </w:rPr>
            </w:pPr>
          </w:p>
          <w:p w14:paraId="55EFF50F" w14:textId="0EF630B1" w:rsidR="00F2676C" w:rsidRPr="009E1402" w:rsidRDefault="00713F69" w:rsidP="00713F69">
            <w:pPr>
              <w:rPr>
                <w:highlight w:val="yellow"/>
              </w:rPr>
            </w:pPr>
            <w:r>
              <w:rPr>
                <w:color w:val="000000" w:themeColor="text1"/>
                <w:sz w:val="18"/>
                <w:szCs w:val="18"/>
              </w:rPr>
              <w:t>Finally, there is no</w:t>
            </w:r>
            <w:r w:rsidR="00F2676C" w:rsidRPr="00F2676C">
              <w:rPr>
                <w:color w:val="000000" w:themeColor="text1"/>
                <w:sz w:val="18"/>
                <w:szCs w:val="18"/>
              </w:rPr>
              <w:t xml:space="preserve"> evidence </w:t>
            </w:r>
            <w:r>
              <w:rPr>
                <w:color w:val="000000" w:themeColor="text1"/>
                <w:sz w:val="18"/>
                <w:szCs w:val="18"/>
              </w:rPr>
              <w:t>of</w:t>
            </w:r>
            <w:r w:rsidR="00F2676C" w:rsidRPr="00F2676C">
              <w:rPr>
                <w:color w:val="000000" w:themeColor="text1"/>
                <w:sz w:val="18"/>
                <w:szCs w:val="18"/>
              </w:rPr>
              <w:t xml:space="preserve"> information being systematically collected to detect potential increases in risk to the main habitats. To detect changes in the level of impacts and habitat status over time, continued and systematic data collection is required</w:t>
            </w:r>
            <w:r>
              <w:rPr>
                <w:color w:val="000000" w:themeColor="text1"/>
                <w:sz w:val="18"/>
                <w:szCs w:val="18"/>
              </w:rPr>
              <w:t>, for these reasons, this limits the PI to score higher.</w:t>
            </w:r>
          </w:p>
        </w:tc>
      </w:tr>
      <w:tr w:rsidR="0087346B" w14:paraId="51F5AB5B" w14:textId="77777777" w:rsidTr="00EC3E28">
        <w:tc>
          <w:tcPr>
            <w:tcW w:w="1001" w:type="dxa"/>
            <w:vMerge/>
            <w:tcMar>
              <w:top w:w="80" w:type="dxa"/>
              <w:left w:w="120" w:type="dxa"/>
              <w:bottom w:w="80" w:type="dxa"/>
              <w:right w:w="120" w:type="dxa"/>
            </w:tcMar>
            <w:vAlign w:val="center"/>
          </w:tcPr>
          <w:p w14:paraId="1BE55FC9" w14:textId="7AB99328" w:rsidR="003260CB" w:rsidRDefault="003260CB" w:rsidP="003260CB">
            <w:pPr>
              <w:jc w:val="center"/>
            </w:pPr>
          </w:p>
        </w:tc>
        <w:tc>
          <w:tcPr>
            <w:tcW w:w="1298" w:type="dxa"/>
            <w:vMerge w:val="restart"/>
            <w:tcMar>
              <w:top w:w="80" w:type="dxa"/>
              <w:left w:w="120" w:type="dxa"/>
              <w:bottom w:w="80" w:type="dxa"/>
              <w:right w:w="120" w:type="dxa"/>
            </w:tcMar>
            <w:vAlign w:val="center"/>
          </w:tcPr>
          <w:p w14:paraId="4998726B" w14:textId="41B28457" w:rsidR="003260CB" w:rsidRDefault="003260CB" w:rsidP="003260CB">
            <w:pPr>
              <w:jc w:val="center"/>
            </w:pPr>
            <w:r>
              <w:rPr>
                <w:sz w:val="18"/>
                <w:szCs w:val="18"/>
              </w:rPr>
              <w:t>Ecosystem</w:t>
            </w:r>
          </w:p>
        </w:tc>
        <w:tc>
          <w:tcPr>
            <w:tcW w:w="1385" w:type="dxa"/>
            <w:tcMar>
              <w:top w:w="80" w:type="dxa"/>
              <w:left w:w="120" w:type="dxa"/>
              <w:bottom w:w="80" w:type="dxa"/>
              <w:right w:w="120" w:type="dxa"/>
            </w:tcMar>
            <w:vAlign w:val="center"/>
          </w:tcPr>
          <w:p w14:paraId="786A48E3" w14:textId="77777777" w:rsidR="003260CB" w:rsidRPr="00713F69" w:rsidRDefault="003260CB" w:rsidP="003260CB">
            <w:pPr>
              <w:jc w:val="center"/>
            </w:pPr>
            <w:r w:rsidRPr="00713F69">
              <w:rPr>
                <w:sz w:val="18"/>
                <w:szCs w:val="18"/>
              </w:rPr>
              <w:t>2.5.1 Outcome</w:t>
            </w:r>
          </w:p>
        </w:tc>
        <w:tc>
          <w:tcPr>
            <w:tcW w:w="1001" w:type="dxa"/>
            <w:shd w:val="clear" w:color="auto" w:fill="FFEE64"/>
            <w:tcMar>
              <w:top w:w="80" w:type="dxa"/>
              <w:left w:w="120" w:type="dxa"/>
              <w:bottom w:w="80" w:type="dxa"/>
              <w:right w:w="120" w:type="dxa"/>
            </w:tcMar>
            <w:vAlign w:val="center"/>
          </w:tcPr>
          <w:p w14:paraId="207B1A63" w14:textId="5BB789A2" w:rsidR="003260CB" w:rsidRPr="00713F69" w:rsidRDefault="003260CB" w:rsidP="003260CB">
            <w:pPr>
              <w:jc w:val="center"/>
            </w:pPr>
            <w:r w:rsidRPr="00713F69">
              <w:rPr>
                <w:sz w:val="18"/>
                <w:szCs w:val="18"/>
              </w:rPr>
              <w:t>60–79</w:t>
            </w:r>
          </w:p>
        </w:tc>
        <w:tc>
          <w:tcPr>
            <w:tcW w:w="980" w:type="dxa"/>
            <w:shd w:val="clear" w:color="auto" w:fill="B4DE8B"/>
            <w:tcMar>
              <w:top w:w="80" w:type="dxa"/>
              <w:left w:w="120" w:type="dxa"/>
              <w:bottom w:w="80" w:type="dxa"/>
              <w:right w:w="120" w:type="dxa"/>
            </w:tcMar>
            <w:vAlign w:val="center"/>
          </w:tcPr>
          <w:p w14:paraId="2DB00D6D" w14:textId="77777777" w:rsidR="003260CB" w:rsidRPr="00713F69" w:rsidRDefault="003260CB" w:rsidP="003260CB">
            <w:pPr>
              <w:jc w:val="center"/>
            </w:pPr>
            <w:r w:rsidRPr="00713F69">
              <w:rPr>
                <w:sz w:val="18"/>
                <w:szCs w:val="18"/>
              </w:rPr>
              <w:t>≥80</w:t>
            </w:r>
          </w:p>
        </w:tc>
        <w:tc>
          <w:tcPr>
            <w:tcW w:w="8010" w:type="dxa"/>
            <w:tcMar>
              <w:top w:w="80" w:type="dxa"/>
              <w:left w:w="120" w:type="dxa"/>
              <w:bottom w:w="80" w:type="dxa"/>
              <w:right w:w="120" w:type="dxa"/>
            </w:tcMar>
          </w:tcPr>
          <w:p w14:paraId="35A890D8" w14:textId="77777777" w:rsidR="00713F69" w:rsidRDefault="00713F69" w:rsidP="00713F69">
            <w:pPr>
              <w:rPr>
                <w:color w:val="000000" w:themeColor="text1"/>
                <w:sz w:val="18"/>
                <w:szCs w:val="18"/>
              </w:rPr>
            </w:pPr>
            <w:r w:rsidRPr="00713F69">
              <w:rPr>
                <w:color w:val="000000" w:themeColor="text1"/>
                <w:sz w:val="18"/>
                <w:szCs w:val="18"/>
              </w:rPr>
              <w:t xml:space="preserve">The Gulf of California </w:t>
            </w:r>
            <w:r>
              <w:rPr>
                <w:color w:val="000000" w:themeColor="text1"/>
                <w:sz w:val="18"/>
                <w:szCs w:val="18"/>
              </w:rPr>
              <w:t xml:space="preserve">is a rich ecosystem with </w:t>
            </w:r>
            <w:r w:rsidRPr="00713F69">
              <w:rPr>
                <w:color w:val="000000" w:themeColor="text1"/>
                <w:sz w:val="18"/>
                <w:szCs w:val="18"/>
              </w:rPr>
              <w:t xml:space="preserve">high primary productivity driven by year-round nutrient availability, tidal mixing, wind-driven coastal upwelling, and complex eddy structures. Given the scale and intensity of the UoA, it is highly unlikely to disrupt the physical factors driving ecosystem productivity to a point of serious or irreversible harm. </w:t>
            </w:r>
          </w:p>
          <w:p w14:paraId="55FFD0AF" w14:textId="4EE321C5" w:rsidR="003260CB" w:rsidRPr="009E1402" w:rsidRDefault="00713F69" w:rsidP="00713F69">
            <w:pPr>
              <w:rPr>
                <w:highlight w:val="yellow"/>
              </w:rPr>
            </w:pPr>
            <w:r>
              <w:rPr>
                <w:color w:val="000000" w:themeColor="text1"/>
                <w:sz w:val="18"/>
                <w:szCs w:val="18"/>
              </w:rPr>
              <w:t xml:space="preserve">In addition, </w:t>
            </w:r>
            <w:r w:rsidRPr="00713F69">
              <w:rPr>
                <w:color w:val="000000" w:themeColor="text1"/>
                <w:sz w:val="18"/>
                <w:szCs w:val="18"/>
              </w:rPr>
              <w:t xml:space="preserve">crab </w:t>
            </w:r>
            <w:r>
              <w:rPr>
                <w:color w:val="000000" w:themeColor="text1"/>
                <w:sz w:val="18"/>
                <w:szCs w:val="18"/>
              </w:rPr>
              <w:t>fishing gear</w:t>
            </w:r>
            <w:r w:rsidRPr="00713F69">
              <w:rPr>
                <w:color w:val="000000" w:themeColor="text1"/>
                <w:sz w:val="18"/>
                <w:szCs w:val="18"/>
              </w:rPr>
              <w:t xml:space="preserve"> are highly selective; </w:t>
            </w:r>
            <w:r>
              <w:rPr>
                <w:color w:val="000000" w:themeColor="text1"/>
                <w:sz w:val="18"/>
                <w:szCs w:val="18"/>
              </w:rPr>
              <w:t xml:space="preserve">with </w:t>
            </w:r>
            <w:r w:rsidRPr="00713F69">
              <w:rPr>
                <w:color w:val="000000" w:themeColor="text1"/>
                <w:sz w:val="18"/>
                <w:szCs w:val="18"/>
              </w:rPr>
              <w:t>bycatch</w:t>
            </w:r>
            <w:r>
              <w:rPr>
                <w:color w:val="000000" w:themeColor="text1"/>
                <w:sz w:val="18"/>
                <w:szCs w:val="18"/>
              </w:rPr>
              <w:t xml:space="preserve"> levels</w:t>
            </w:r>
            <w:r w:rsidRPr="00713F69">
              <w:rPr>
                <w:color w:val="000000" w:themeColor="text1"/>
                <w:sz w:val="18"/>
                <w:szCs w:val="18"/>
              </w:rPr>
              <w:t xml:space="preserve"> less than 15% of the catch across more than 30 species (Balmori et al., 2012), and this estimate may be an overestimate as most fishers have now shifted to rings. Dominant bycatch includes snails, hermit crabs, triggerfish and puffers (Tetraodontidae). Ghost fishing has been reported (particularly in areas of strong currents or storms), but collapsible trap design reduces the likelihood of animals being trapped and dying, and fishers report that fish can escape through biting the net. Dietary habits of the target crab species were not provided, limiting assessment of trophic impacts. No recent ghost fishing monitoring evidence was provided. </w:t>
            </w:r>
            <w:r>
              <w:rPr>
                <w:color w:val="000000" w:themeColor="text1"/>
                <w:sz w:val="18"/>
                <w:szCs w:val="18"/>
              </w:rPr>
              <w:t>Overall, it is</w:t>
            </w:r>
            <w:r w:rsidRPr="00713F69">
              <w:rPr>
                <w:color w:val="000000" w:themeColor="text1"/>
                <w:sz w:val="18"/>
                <w:szCs w:val="18"/>
              </w:rPr>
              <w:t xml:space="preserve"> highly unlikely to disrupt food web/bycatch elements to a point of serious harm — SG80 is met. However, the lack of trophic modelling or direct evidence means SG100 is not met for this element.</w:t>
            </w:r>
          </w:p>
        </w:tc>
      </w:tr>
      <w:tr w:rsidR="0087346B" w14:paraId="2401E4F4" w14:textId="77777777" w:rsidTr="00EC3E28">
        <w:tc>
          <w:tcPr>
            <w:tcW w:w="1001" w:type="dxa"/>
            <w:vMerge/>
            <w:tcMar>
              <w:top w:w="80" w:type="dxa"/>
              <w:left w:w="120" w:type="dxa"/>
              <w:bottom w:w="80" w:type="dxa"/>
              <w:right w:w="120" w:type="dxa"/>
            </w:tcMar>
            <w:vAlign w:val="center"/>
          </w:tcPr>
          <w:p w14:paraId="58BB9D78" w14:textId="640FA0CA" w:rsidR="003260CB" w:rsidRDefault="003260CB" w:rsidP="003260CB">
            <w:pPr>
              <w:jc w:val="center"/>
            </w:pPr>
          </w:p>
        </w:tc>
        <w:tc>
          <w:tcPr>
            <w:tcW w:w="1298" w:type="dxa"/>
            <w:vMerge/>
            <w:tcMar>
              <w:top w:w="80" w:type="dxa"/>
              <w:left w:w="120" w:type="dxa"/>
              <w:bottom w:w="80" w:type="dxa"/>
              <w:right w:w="120" w:type="dxa"/>
            </w:tcMar>
            <w:vAlign w:val="center"/>
          </w:tcPr>
          <w:p w14:paraId="3094F583" w14:textId="6297EF9A" w:rsidR="003260CB" w:rsidRDefault="003260CB" w:rsidP="003260CB">
            <w:pPr>
              <w:jc w:val="center"/>
            </w:pPr>
          </w:p>
        </w:tc>
        <w:tc>
          <w:tcPr>
            <w:tcW w:w="1385" w:type="dxa"/>
            <w:tcMar>
              <w:top w:w="80" w:type="dxa"/>
              <w:left w:w="120" w:type="dxa"/>
              <w:bottom w:w="80" w:type="dxa"/>
              <w:right w:w="120" w:type="dxa"/>
            </w:tcMar>
            <w:vAlign w:val="center"/>
          </w:tcPr>
          <w:p w14:paraId="5D9B722A" w14:textId="62F3DF98" w:rsidR="003260CB" w:rsidRPr="004C598E" w:rsidRDefault="003260CB" w:rsidP="003260CB">
            <w:pPr>
              <w:jc w:val="center"/>
            </w:pPr>
            <w:r w:rsidRPr="004C598E">
              <w:rPr>
                <w:sz w:val="18"/>
                <w:szCs w:val="18"/>
              </w:rPr>
              <w:t>2.5.2 Management Strategy</w:t>
            </w:r>
          </w:p>
        </w:tc>
        <w:tc>
          <w:tcPr>
            <w:tcW w:w="1001" w:type="dxa"/>
            <w:shd w:val="clear" w:color="auto" w:fill="B4DE8B"/>
            <w:tcMar>
              <w:top w:w="80" w:type="dxa"/>
              <w:left w:w="120" w:type="dxa"/>
              <w:bottom w:w="80" w:type="dxa"/>
              <w:right w:w="120" w:type="dxa"/>
            </w:tcMar>
            <w:vAlign w:val="center"/>
          </w:tcPr>
          <w:p w14:paraId="2F778B5A" w14:textId="5E25CC83" w:rsidR="003260CB" w:rsidRPr="004C598E" w:rsidRDefault="003260CB" w:rsidP="003260CB">
            <w:pPr>
              <w:jc w:val="center"/>
            </w:pPr>
            <w:r w:rsidRPr="004C598E">
              <w:rPr>
                <w:sz w:val="18"/>
                <w:szCs w:val="18"/>
              </w:rPr>
              <w:t>≥80</w:t>
            </w:r>
          </w:p>
        </w:tc>
        <w:tc>
          <w:tcPr>
            <w:tcW w:w="980" w:type="dxa"/>
            <w:shd w:val="clear" w:color="auto" w:fill="B4DE8B"/>
            <w:tcMar>
              <w:top w:w="80" w:type="dxa"/>
              <w:left w:w="120" w:type="dxa"/>
              <w:bottom w:w="80" w:type="dxa"/>
              <w:right w:w="120" w:type="dxa"/>
            </w:tcMar>
            <w:vAlign w:val="center"/>
          </w:tcPr>
          <w:p w14:paraId="1829CA39" w14:textId="77777777" w:rsidR="003260CB" w:rsidRPr="004C598E" w:rsidRDefault="003260CB" w:rsidP="003260CB">
            <w:pPr>
              <w:jc w:val="center"/>
            </w:pPr>
            <w:r w:rsidRPr="004C598E">
              <w:rPr>
                <w:sz w:val="18"/>
                <w:szCs w:val="18"/>
              </w:rPr>
              <w:t>≥80</w:t>
            </w:r>
          </w:p>
        </w:tc>
        <w:tc>
          <w:tcPr>
            <w:tcW w:w="8010" w:type="dxa"/>
            <w:tcMar>
              <w:top w:w="80" w:type="dxa"/>
              <w:left w:w="120" w:type="dxa"/>
              <w:bottom w:w="80" w:type="dxa"/>
              <w:right w:w="120" w:type="dxa"/>
            </w:tcMar>
          </w:tcPr>
          <w:p w14:paraId="57A0416B" w14:textId="73050D15" w:rsidR="004C598E" w:rsidRDefault="004C598E" w:rsidP="003260CB">
            <w:pPr>
              <w:rPr>
                <w:color w:val="000000" w:themeColor="text1"/>
                <w:sz w:val="18"/>
                <w:szCs w:val="18"/>
              </w:rPr>
            </w:pPr>
            <w:r>
              <w:rPr>
                <w:color w:val="000000" w:themeColor="text1"/>
                <w:sz w:val="18"/>
                <w:szCs w:val="18"/>
              </w:rPr>
              <w:t>Although</w:t>
            </w:r>
            <w:r w:rsidRPr="004C598E">
              <w:rPr>
                <w:color w:val="000000" w:themeColor="text1"/>
                <w:sz w:val="18"/>
                <w:szCs w:val="18"/>
              </w:rPr>
              <w:t xml:space="preserve"> specific ecosystem management measures </w:t>
            </w:r>
            <w:r>
              <w:rPr>
                <w:color w:val="000000" w:themeColor="text1"/>
                <w:sz w:val="18"/>
                <w:szCs w:val="18"/>
              </w:rPr>
              <w:t xml:space="preserve">do not exist for the fishery, current </w:t>
            </w:r>
            <w:r w:rsidRPr="004C598E">
              <w:rPr>
                <w:color w:val="000000" w:themeColor="text1"/>
                <w:sz w:val="18"/>
                <w:szCs w:val="18"/>
              </w:rPr>
              <w:t>measures aimed at protecting target stocks indirectly protect ecosystem structure and function</w:t>
            </w:r>
            <w:r>
              <w:rPr>
                <w:color w:val="000000" w:themeColor="text1"/>
                <w:sz w:val="18"/>
                <w:szCs w:val="18"/>
              </w:rPr>
              <w:t>, such as the</w:t>
            </w:r>
            <w:r w:rsidRPr="004C598E">
              <w:rPr>
                <w:color w:val="000000" w:themeColor="text1"/>
                <w:sz w:val="18"/>
                <w:szCs w:val="18"/>
              </w:rPr>
              <w:t xml:space="preserve"> seasonal fishing ba</w:t>
            </w:r>
            <w:r>
              <w:rPr>
                <w:color w:val="000000" w:themeColor="text1"/>
                <w:sz w:val="18"/>
                <w:szCs w:val="18"/>
              </w:rPr>
              <w:t>n</w:t>
            </w:r>
            <w:r w:rsidRPr="004C598E">
              <w:rPr>
                <w:color w:val="000000" w:themeColor="text1"/>
                <w:sz w:val="18"/>
                <w:szCs w:val="18"/>
              </w:rPr>
              <w:t xml:space="preserve">, </w:t>
            </w:r>
            <w:r>
              <w:rPr>
                <w:color w:val="000000" w:themeColor="text1"/>
                <w:sz w:val="18"/>
                <w:szCs w:val="18"/>
              </w:rPr>
              <w:t>or the</w:t>
            </w:r>
            <w:r w:rsidRPr="004C598E">
              <w:rPr>
                <w:color w:val="000000" w:themeColor="text1"/>
                <w:sz w:val="18"/>
                <w:szCs w:val="18"/>
              </w:rPr>
              <w:t xml:space="preserve"> gear specifications (NOM-039-PESC-2003, DOF 2019), and effort restrictions. Additionally, established</w:t>
            </w:r>
            <w:r>
              <w:rPr>
                <w:color w:val="000000" w:themeColor="text1"/>
                <w:sz w:val="18"/>
                <w:szCs w:val="18"/>
              </w:rPr>
              <w:t xml:space="preserve"> MPAs</w:t>
            </w:r>
            <w:r w:rsidRPr="004C598E">
              <w:rPr>
                <w:color w:val="000000" w:themeColor="text1"/>
                <w:sz w:val="18"/>
                <w:szCs w:val="18"/>
              </w:rPr>
              <w:t xml:space="preserve"> in the region protect sensitive habitats, key species, and critical habitats, and maintain key processes such as connectivity that sustain biodiversity and ecosystem functioning (CONANP, 2020). </w:t>
            </w:r>
            <w:r>
              <w:rPr>
                <w:color w:val="000000" w:themeColor="text1"/>
                <w:sz w:val="18"/>
                <w:szCs w:val="18"/>
              </w:rPr>
              <w:t xml:space="preserve">These measures combined can be considered a </w:t>
            </w:r>
            <w:r w:rsidRPr="004C598E">
              <w:rPr>
                <w:color w:val="000000" w:themeColor="text1"/>
                <w:sz w:val="18"/>
                <w:szCs w:val="18"/>
              </w:rPr>
              <w:t>partial strategy</w:t>
            </w:r>
            <w:r>
              <w:rPr>
                <w:color w:val="000000" w:themeColor="text1"/>
                <w:sz w:val="18"/>
                <w:szCs w:val="18"/>
              </w:rPr>
              <w:t>, that</w:t>
            </w:r>
            <w:r w:rsidRPr="004C598E">
              <w:rPr>
                <w:color w:val="000000" w:themeColor="text1"/>
                <w:sz w:val="18"/>
                <w:szCs w:val="18"/>
              </w:rPr>
              <w:t xml:space="preserve"> considers available information and is expected to restrain impacts of the UoA on the ecosystem</w:t>
            </w:r>
            <w:r>
              <w:rPr>
                <w:color w:val="000000" w:themeColor="text1"/>
                <w:sz w:val="18"/>
                <w:szCs w:val="18"/>
              </w:rPr>
              <w:t>.</w:t>
            </w:r>
          </w:p>
          <w:p w14:paraId="7585D6BD" w14:textId="77777777" w:rsidR="004C598E" w:rsidRPr="004C598E" w:rsidRDefault="004C598E" w:rsidP="003260CB">
            <w:pPr>
              <w:rPr>
                <w:color w:val="000000" w:themeColor="text1"/>
                <w:sz w:val="18"/>
                <w:szCs w:val="18"/>
                <w:highlight w:val="yellow"/>
              </w:rPr>
            </w:pPr>
          </w:p>
          <w:p w14:paraId="5839583F" w14:textId="46AA3FF1" w:rsidR="004C598E" w:rsidRPr="004C598E" w:rsidRDefault="004C598E" w:rsidP="003260CB">
            <w:pPr>
              <w:rPr>
                <w:color w:val="000000" w:themeColor="text1"/>
                <w:sz w:val="18"/>
                <w:szCs w:val="18"/>
              </w:rPr>
            </w:pPr>
            <w:r>
              <w:rPr>
                <w:color w:val="000000" w:themeColor="text1"/>
                <w:sz w:val="18"/>
                <w:szCs w:val="18"/>
              </w:rPr>
              <w:t>The</w:t>
            </w:r>
            <w:r w:rsidRPr="004C598E">
              <w:rPr>
                <w:color w:val="000000" w:themeColor="text1"/>
                <w:sz w:val="18"/>
                <w:szCs w:val="18"/>
              </w:rPr>
              <w:t xml:space="preserve"> </w:t>
            </w:r>
            <w:r>
              <w:rPr>
                <w:color w:val="000000" w:themeColor="text1"/>
                <w:sz w:val="18"/>
                <w:szCs w:val="18"/>
              </w:rPr>
              <w:t>status</w:t>
            </w:r>
            <w:r w:rsidRPr="004C598E">
              <w:rPr>
                <w:color w:val="000000" w:themeColor="text1"/>
                <w:sz w:val="18"/>
                <w:szCs w:val="18"/>
              </w:rPr>
              <w:t xml:space="preserve"> of impacts can be considered as some evidence that the measures are effective. However, the behavior of recent fishing seasons and biological monitoring results show some signs of fishery deterioration, and the effects of climate change on ecosystem dynamics are not yet incorporated into the strategy. There is some objective basis for confidence that the partial strategy will work — SG80 is met. Testing that would support high confidence is lacking, so SG100 is not met.</w:t>
            </w:r>
          </w:p>
          <w:p w14:paraId="071B8A23" w14:textId="77777777" w:rsidR="004C598E" w:rsidRPr="004C598E" w:rsidRDefault="004C598E" w:rsidP="003260CB">
            <w:pPr>
              <w:rPr>
                <w:color w:val="000000" w:themeColor="text1"/>
                <w:sz w:val="18"/>
                <w:szCs w:val="18"/>
                <w:highlight w:val="yellow"/>
              </w:rPr>
            </w:pPr>
          </w:p>
          <w:p w14:paraId="163FADF9" w14:textId="449100A0" w:rsidR="004C598E" w:rsidRPr="009E1402" w:rsidRDefault="004C598E" w:rsidP="003260CB">
            <w:pPr>
              <w:rPr>
                <w:highlight w:val="yellow"/>
              </w:rPr>
            </w:pPr>
            <w:r>
              <w:rPr>
                <w:color w:val="000000" w:themeColor="text1"/>
                <w:sz w:val="18"/>
                <w:szCs w:val="18"/>
              </w:rPr>
              <w:t>Finally, m</w:t>
            </w:r>
            <w:r w:rsidRPr="004C598E">
              <w:rPr>
                <w:color w:val="000000" w:themeColor="text1"/>
                <w:sz w:val="18"/>
                <w:szCs w:val="18"/>
              </w:rPr>
              <w:t>anagement measures are likely reducing the impact of the UoA on the key ecosystem elements identified.</w:t>
            </w:r>
            <w:r>
              <w:rPr>
                <w:color w:val="000000" w:themeColor="text1"/>
                <w:sz w:val="18"/>
                <w:szCs w:val="18"/>
              </w:rPr>
              <w:t xml:space="preserve"> </w:t>
            </w:r>
            <w:r w:rsidRPr="004C598E">
              <w:rPr>
                <w:color w:val="000000" w:themeColor="text1"/>
                <w:sz w:val="18"/>
                <w:szCs w:val="18"/>
              </w:rPr>
              <w:t>Regarding the food web, crab stock removals are closely monitored and published in stock assessments, demonstrating some level of compliance monitoring. This constitutes some evidence of successful implementation</w:t>
            </w:r>
            <w:r>
              <w:rPr>
                <w:color w:val="000000" w:themeColor="text1"/>
                <w:sz w:val="18"/>
                <w:szCs w:val="18"/>
              </w:rPr>
              <w:t xml:space="preserve">. </w:t>
            </w:r>
            <w:r w:rsidRPr="004C598E">
              <w:rPr>
                <w:color w:val="000000" w:themeColor="text1"/>
                <w:sz w:val="18"/>
                <w:szCs w:val="18"/>
              </w:rPr>
              <w:t>However, clear evidence that the partial strategy is being implemented successfully and achieving its stated objective</w:t>
            </w:r>
            <w:r>
              <w:rPr>
                <w:color w:val="000000" w:themeColor="text1"/>
                <w:sz w:val="18"/>
                <w:szCs w:val="18"/>
              </w:rPr>
              <w:t xml:space="preserve"> is required to achieve a higher scoring</w:t>
            </w:r>
            <w:r w:rsidRPr="004C598E">
              <w:rPr>
                <w:color w:val="000000" w:themeColor="text1"/>
                <w:sz w:val="18"/>
                <w:szCs w:val="18"/>
              </w:rPr>
              <w:t>.</w:t>
            </w:r>
          </w:p>
        </w:tc>
      </w:tr>
      <w:tr w:rsidR="0087346B" w14:paraId="7F5254C8" w14:textId="77777777" w:rsidTr="00EC3E28">
        <w:tc>
          <w:tcPr>
            <w:tcW w:w="1001" w:type="dxa"/>
            <w:vMerge/>
            <w:tcMar>
              <w:top w:w="80" w:type="dxa"/>
              <w:left w:w="120" w:type="dxa"/>
              <w:bottom w:w="80" w:type="dxa"/>
              <w:right w:w="120" w:type="dxa"/>
            </w:tcMar>
            <w:vAlign w:val="center"/>
          </w:tcPr>
          <w:p w14:paraId="77B920A8" w14:textId="49E7E2A2" w:rsidR="003260CB" w:rsidRDefault="003260CB" w:rsidP="003260CB">
            <w:pPr>
              <w:jc w:val="center"/>
            </w:pPr>
          </w:p>
        </w:tc>
        <w:tc>
          <w:tcPr>
            <w:tcW w:w="1298" w:type="dxa"/>
            <w:vMerge/>
            <w:tcMar>
              <w:top w:w="80" w:type="dxa"/>
              <w:left w:w="120" w:type="dxa"/>
              <w:bottom w:w="80" w:type="dxa"/>
              <w:right w:w="120" w:type="dxa"/>
            </w:tcMar>
            <w:vAlign w:val="center"/>
          </w:tcPr>
          <w:p w14:paraId="1426B9D5" w14:textId="17CAFED3" w:rsidR="003260CB" w:rsidRDefault="003260CB" w:rsidP="003260CB">
            <w:pPr>
              <w:jc w:val="center"/>
            </w:pPr>
          </w:p>
        </w:tc>
        <w:tc>
          <w:tcPr>
            <w:tcW w:w="1385" w:type="dxa"/>
            <w:tcMar>
              <w:top w:w="80" w:type="dxa"/>
              <w:left w:w="120" w:type="dxa"/>
              <w:bottom w:w="80" w:type="dxa"/>
              <w:right w:w="120" w:type="dxa"/>
            </w:tcMar>
            <w:vAlign w:val="center"/>
          </w:tcPr>
          <w:p w14:paraId="2CB3C9F7" w14:textId="77777777" w:rsidR="003260CB" w:rsidRPr="009A2B2C" w:rsidRDefault="003260CB" w:rsidP="003260CB">
            <w:pPr>
              <w:jc w:val="center"/>
            </w:pPr>
            <w:r w:rsidRPr="009A2B2C">
              <w:rPr>
                <w:sz w:val="18"/>
                <w:szCs w:val="18"/>
              </w:rPr>
              <w:t>2.5.3 Information</w:t>
            </w:r>
          </w:p>
        </w:tc>
        <w:tc>
          <w:tcPr>
            <w:tcW w:w="1001" w:type="dxa"/>
            <w:shd w:val="clear" w:color="auto" w:fill="FFEE64"/>
            <w:tcMar>
              <w:top w:w="80" w:type="dxa"/>
              <w:left w:w="120" w:type="dxa"/>
              <w:bottom w:w="80" w:type="dxa"/>
              <w:right w:w="120" w:type="dxa"/>
            </w:tcMar>
            <w:vAlign w:val="center"/>
          </w:tcPr>
          <w:p w14:paraId="0857DB4E" w14:textId="77777777" w:rsidR="003260CB" w:rsidRPr="009A2B2C" w:rsidRDefault="003260CB" w:rsidP="003260CB">
            <w:pPr>
              <w:jc w:val="center"/>
            </w:pPr>
            <w:r w:rsidRPr="009A2B2C">
              <w:rPr>
                <w:sz w:val="18"/>
                <w:szCs w:val="18"/>
              </w:rPr>
              <w:t>60–79</w:t>
            </w:r>
          </w:p>
        </w:tc>
        <w:tc>
          <w:tcPr>
            <w:tcW w:w="980" w:type="dxa"/>
            <w:shd w:val="clear" w:color="auto" w:fill="FFEE64"/>
            <w:tcMar>
              <w:top w:w="80" w:type="dxa"/>
              <w:left w:w="120" w:type="dxa"/>
              <w:bottom w:w="80" w:type="dxa"/>
              <w:right w:w="120" w:type="dxa"/>
            </w:tcMar>
            <w:vAlign w:val="center"/>
          </w:tcPr>
          <w:p w14:paraId="2D84F942" w14:textId="77777777" w:rsidR="003260CB" w:rsidRPr="009A2B2C" w:rsidRDefault="003260CB" w:rsidP="003260CB">
            <w:pPr>
              <w:jc w:val="center"/>
            </w:pPr>
            <w:r w:rsidRPr="009A2B2C">
              <w:rPr>
                <w:sz w:val="18"/>
                <w:szCs w:val="18"/>
              </w:rPr>
              <w:t>60–79</w:t>
            </w:r>
          </w:p>
        </w:tc>
        <w:tc>
          <w:tcPr>
            <w:tcW w:w="8010" w:type="dxa"/>
            <w:tcMar>
              <w:top w:w="80" w:type="dxa"/>
              <w:left w:w="120" w:type="dxa"/>
              <w:bottom w:w="80" w:type="dxa"/>
              <w:right w:w="120" w:type="dxa"/>
            </w:tcMar>
          </w:tcPr>
          <w:p w14:paraId="1E49125E" w14:textId="49D0AF5B" w:rsidR="003260CB" w:rsidRPr="009A2B2C" w:rsidRDefault="009A2B2C" w:rsidP="003260CB">
            <w:pPr>
              <w:rPr>
                <w:sz w:val="18"/>
                <w:szCs w:val="18"/>
              </w:rPr>
            </w:pPr>
            <w:r>
              <w:rPr>
                <w:sz w:val="18"/>
                <w:szCs w:val="18"/>
              </w:rPr>
              <w:t>E</w:t>
            </w:r>
            <w:r w:rsidRPr="009A2B2C">
              <w:rPr>
                <w:sz w:val="18"/>
                <w:szCs w:val="18"/>
              </w:rPr>
              <w:t>xtensive information on the Gulf of California ecosystem (Lluch-Cota et al., 2007</w:t>
            </w:r>
            <w:r>
              <w:rPr>
                <w:sz w:val="18"/>
                <w:szCs w:val="18"/>
              </w:rPr>
              <w:t>), VME and h</w:t>
            </w:r>
            <w:r w:rsidRPr="009A2B2C">
              <w:rPr>
                <w:sz w:val="18"/>
                <w:szCs w:val="18"/>
              </w:rPr>
              <w:t>abitat mapping (Munguía-Vega et al., 2018); biodiversity (Roberts et al., 2002; Brusca et al., 2005); connectivity (Aburto-Oropeza et al., 2009); and oceanographic processes (Marinone et al., 2011, 2012)</w:t>
            </w:r>
            <w:r>
              <w:rPr>
                <w:sz w:val="18"/>
                <w:szCs w:val="18"/>
              </w:rPr>
              <w:t xml:space="preserve"> </w:t>
            </w:r>
            <w:r w:rsidRPr="009A2B2C">
              <w:rPr>
                <w:sz w:val="18"/>
                <w:szCs w:val="18"/>
              </w:rPr>
              <w:t xml:space="preserve">have been </w:t>
            </w:r>
            <w:r>
              <w:rPr>
                <w:sz w:val="18"/>
                <w:szCs w:val="18"/>
              </w:rPr>
              <w:t>produced.</w:t>
            </w:r>
            <w:r w:rsidRPr="009A2B2C">
              <w:rPr>
                <w:sz w:val="18"/>
                <w:szCs w:val="18"/>
              </w:rPr>
              <w:t xml:space="preserve"> Regional trophic models of other fisheries in the area also exist. Altogether, this body of knowledge is considered adequate to broadly understand the key ecosystem elements.</w:t>
            </w:r>
          </w:p>
          <w:p w14:paraId="167E65DE" w14:textId="77777777" w:rsidR="009A2B2C" w:rsidRPr="009A2B2C" w:rsidRDefault="009A2B2C" w:rsidP="003260CB">
            <w:pPr>
              <w:rPr>
                <w:sz w:val="18"/>
                <w:szCs w:val="18"/>
                <w:highlight w:val="yellow"/>
              </w:rPr>
            </w:pPr>
          </w:p>
          <w:p w14:paraId="7706EA35" w14:textId="2022EBCC" w:rsidR="009A2B2C" w:rsidRPr="009A2B2C" w:rsidRDefault="009A2B2C" w:rsidP="003260CB">
            <w:pPr>
              <w:rPr>
                <w:sz w:val="18"/>
                <w:szCs w:val="18"/>
              </w:rPr>
            </w:pPr>
            <w:r>
              <w:rPr>
                <w:sz w:val="18"/>
                <w:szCs w:val="18"/>
              </w:rPr>
              <w:t xml:space="preserve">In addition to that, </w:t>
            </w:r>
            <w:r w:rsidRPr="009A2B2C">
              <w:rPr>
                <w:sz w:val="18"/>
                <w:szCs w:val="18"/>
              </w:rPr>
              <w:t>Stevens (2020) document</w:t>
            </w:r>
            <w:r>
              <w:rPr>
                <w:sz w:val="18"/>
                <w:szCs w:val="18"/>
              </w:rPr>
              <w:t>ed how</w:t>
            </w:r>
            <w:r w:rsidRPr="009A2B2C">
              <w:rPr>
                <w:sz w:val="18"/>
                <w:szCs w:val="18"/>
              </w:rPr>
              <w:t xml:space="preserve"> traps can impact habitats and associated species, allowing main impacts on Gulf of California ecosystem elements to be inferred</w:t>
            </w:r>
            <w:r>
              <w:rPr>
                <w:sz w:val="18"/>
                <w:szCs w:val="18"/>
              </w:rPr>
              <w:t xml:space="preserve"> and s</w:t>
            </w:r>
            <w:r w:rsidRPr="009A2B2C">
              <w:rPr>
                <w:sz w:val="18"/>
                <w:szCs w:val="18"/>
              </w:rPr>
              <w:t xml:space="preserve">ome main impacts have therefore been investigated in detail. However, no recent trophic model for the areas where the fishery operates </w:t>
            </w:r>
            <w:r>
              <w:rPr>
                <w:sz w:val="18"/>
                <w:szCs w:val="18"/>
              </w:rPr>
              <w:t>are available, and w</w:t>
            </w:r>
            <w:r w:rsidRPr="009A2B2C">
              <w:rPr>
                <w:sz w:val="18"/>
                <w:szCs w:val="18"/>
              </w:rPr>
              <w:t xml:space="preserve">hile multiple studies </w:t>
            </w:r>
            <w:r>
              <w:rPr>
                <w:sz w:val="18"/>
                <w:szCs w:val="18"/>
              </w:rPr>
              <w:t>on the</w:t>
            </w:r>
            <w:r w:rsidRPr="009A2B2C">
              <w:rPr>
                <w:sz w:val="18"/>
                <w:szCs w:val="18"/>
              </w:rPr>
              <w:t xml:space="preserve"> components of the UoA (habitats, fish assemblages, species ecology)</w:t>
            </w:r>
            <w:r>
              <w:rPr>
                <w:sz w:val="18"/>
                <w:szCs w:val="18"/>
              </w:rPr>
              <w:t xml:space="preserve"> exist,</w:t>
            </w:r>
            <w:r w:rsidRPr="009A2B2C">
              <w:rPr>
                <w:sz w:val="18"/>
                <w:szCs w:val="18"/>
              </w:rPr>
              <w:t xml:space="preserve"> information is missing on the main ecosystem functions of the UoA's key components — specifically the ecological role of swimming crabs — and on the ecosystem roles of primary species (snails) and the UoA's impact on them.</w:t>
            </w:r>
          </w:p>
          <w:p w14:paraId="534B6FA6" w14:textId="77777777" w:rsidR="009A2B2C" w:rsidRPr="009A2B2C" w:rsidRDefault="009A2B2C" w:rsidP="003260CB">
            <w:pPr>
              <w:rPr>
                <w:sz w:val="18"/>
                <w:szCs w:val="18"/>
                <w:highlight w:val="yellow"/>
              </w:rPr>
            </w:pPr>
          </w:p>
          <w:p w14:paraId="615B1C1C" w14:textId="68E0B99F" w:rsidR="009A2B2C" w:rsidRPr="009E1402" w:rsidRDefault="009A2B2C" w:rsidP="009A2B2C">
            <w:pPr>
              <w:rPr>
                <w:highlight w:val="yellow"/>
              </w:rPr>
            </w:pPr>
            <w:r>
              <w:rPr>
                <w:sz w:val="18"/>
                <w:szCs w:val="18"/>
              </w:rPr>
              <w:t>Finally, s</w:t>
            </w:r>
            <w:r w:rsidRPr="009A2B2C">
              <w:rPr>
                <w:sz w:val="18"/>
                <w:szCs w:val="18"/>
              </w:rPr>
              <w:t xml:space="preserve">parse monitoring efforts, hinder identification and verification of catch and discard data. </w:t>
            </w:r>
            <w:r>
              <w:rPr>
                <w:sz w:val="18"/>
                <w:szCs w:val="18"/>
              </w:rPr>
              <w:t>Meaning</w:t>
            </w:r>
            <w:r w:rsidRPr="009A2B2C">
              <w:rPr>
                <w:sz w:val="18"/>
                <w:szCs w:val="18"/>
              </w:rPr>
              <w:t xml:space="preserve"> that the range of species impacted by the UoA cannot be fully identified, nor can their ecosystem roles be determined</w:t>
            </w:r>
            <w:r>
              <w:rPr>
                <w:sz w:val="18"/>
                <w:szCs w:val="18"/>
              </w:rPr>
              <w:t xml:space="preserve"> and better evidence </w:t>
            </w:r>
            <w:r w:rsidRPr="009A2B2C">
              <w:rPr>
                <w:sz w:val="18"/>
                <w:szCs w:val="18"/>
              </w:rPr>
              <w:t>to detect increases in risk level or to support the development of ecosystem impact management strategies</w:t>
            </w:r>
            <w:r>
              <w:rPr>
                <w:sz w:val="18"/>
                <w:szCs w:val="18"/>
              </w:rPr>
              <w:t xml:space="preserve"> is needed, becoming the limiting factor of this PI.</w:t>
            </w:r>
          </w:p>
        </w:tc>
      </w:tr>
      <w:tr w:rsidR="0087346B" w14:paraId="3EFB1520" w14:textId="77777777" w:rsidTr="00EC3E28">
        <w:tc>
          <w:tcPr>
            <w:tcW w:w="1001" w:type="dxa"/>
            <w:vMerge w:val="restart"/>
            <w:tcMar>
              <w:top w:w="80" w:type="dxa"/>
              <w:left w:w="120" w:type="dxa"/>
              <w:bottom w:w="80" w:type="dxa"/>
              <w:right w:w="120" w:type="dxa"/>
            </w:tcMar>
            <w:vAlign w:val="center"/>
          </w:tcPr>
          <w:p w14:paraId="148B6B1B" w14:textId="16EACCF0" w:rsidR="003260CB" w:rsidRDefault="003260CB" w:rsidP="003260CB">
            <w:pPr>
              <w:jc w:val="center"/>
            </w:pPr>
            <w:r>
              <w:rPr>
                <w:sz w:val="18"/>
                <w:szCs w:val="18"/>
              </w:rPr>
              <w:t>3</w:t>
            </w:r>
          </w:p>
        </w:tc>
        <w:tc>
          <w:tcPr>
            <w:tcW w:w="1298" w:type="dxa"/>
            <w:vMerge w:val="restart"/>
            <w:tcMar>
              <w:top w:w="80" w:type="dxa"/>
              <w:left w:w="120" w:type="dxa"/>
              <w:bottom w:w="80" w:type="dxa"/>
              <w:right w:w="120" w:type="dxa"/>
            </w:tcMar>
            <w:vAlign w:val="center"/>
          </w:tcPr>
          <w:p w14:paraId="4398943E" w14:textId="454DC681" w:rsidR="003260CB" w:rsidRDefault="003260CB" w:rsidP="003260CB">
            <w:pPr>
              <w:jc w:val="center"/>
            </w:pPr>
            <w:r>
              <w:rPr>
                <w:sz w:val="18"/>
                <w:szCs w:val="18"/>
              </w:rPr>
              <w:t>Governance</w:t>
            </w:r>
          </w:p>
        </w:tc>
        <w:tc>
          <w:tcPr>
            <w:tcW w:w="1385" w:type="dxa"/>
            <w:tcMar>
              <w:top w:w="80" w:type="dxa"/>
              <w:left w:w="120" w:type="dxa"/>
              <w:bottom w:w="80" w:type="dxa"/>
              <w:right w:w="120" w:type="dxa"/>
            </w:tcMar>
            <w:vAlign w:val="center"/>
          </w:tcPr>
          <w:p w14:paraId="4F7BF985" w14:textId="77777777" w:rsidR="003260CB" w:rsidRPr="00DF6AC5" w:rsidRDefault="003260CB" w:rsidP="003260CB">
            <w:pPr>
              <w:jc w:val="center"/>
            </w:pPr>
            <w:r w:rsidRPr="00DF6AC5">
              <w:rPr>
                <w:sz w:val="18"/>
                <w:szCs w:val="18"/>
              </w:rPr>
              <w:t>3.1.1 Legal Framework</w:t>
            </w:r>
          </w:p>
        </w:tc>
        <w:tc>
          <w:tcPr>
            <w:tcW w:w="1001" w:type="dxa"/>
            <w:shd w:val="clear" w:color="auto" w:fill="B4DE8B"/>
            <w:tcMar>
              <w:top w:w="80" w:type="dxa"/>
              <w:left w:w="120" w:type="dxa"/>
              <w:bottom w:w="80" w:type="dxa"/>
              <w:right w:w="120" w:type="dxa"/>
            </w:tcMar>
            <w:vAlign w:val="center"/>
          </w:tcPr>
          <w:p w14:paraId="62204BD7" w14:textId="4DEF804E" w:rsidR="003260CB" w:rsidRPr="00DF6AC5" w:rsidRDefault="003260CB" w:rsidP="003260CB">
            <w:pPr>
              <w:jc w:val="center"/>
            </w:pPr>
            <w:r w:rsidRPr="00DF6AC5">
              <w:rPr>
                <w:sz w:val="18"/>
                <w:szCs w:val="18"/>
              </w:rPr>
              <w:t>≥80</w:t>
            </w:r>
          </w:p>
        </w:tc>
        <w:tc>
          <w:tcPr>
            <w:tcW w:w="980" w:type="dxa"/>
            <w:shd w:val="clear" w:color="auto" w:fill="B4DE8B"/>
            <w:tcMar>
              <w:top w:w="80" w:type="dxa"/>
              <w:left w:w="120" w:type="dxa"/>
              <w:bottom w:w="80" w:type="dxa"/>
              <w:right w:w="120" w:type="dxa"/>
            </w:tcMar>
            <w:vAlign w:val="center"/>
          </w:tcPr>
          <w:p w14:paraId="0C0A5FDC" w14:textId="77777777" w:rsidR="003260CB" w:rsidRPr="00DF6AC5" w:rsidRDefault="003260CB" w:rsidP="003260CB">
            <w:pPr>
              <w:jc w:val="center"/>
            </w:pPr>
            <w:r w:rsidRPr="00DF6AC5">
              <w:rPr>
                <w:sz w:val="18"/>
                <w:szCs w:val="18"/>
              </w:rPr>
              <w:t>≥80</w:t>
            </w:r>
          </w:p>
        </w:tc>
        <w:tc>
          <w:tcPr>
            <w:tcW w:w="8010" w:type="dxa"/>
            <w:tcMar>
              <w:top w:w="80" w:type="dxa"/>
              <w:left w:w="120" w:type="dxa"/>
              <w:bottom w:w="80" w:type="dxa"/>
              <w:right w:w="120" w:type="dxa"/>
            </w:tcMar>
          </w:tcPr>
          <w:p w14:paraId="4A7E3581" w14:textId="77777777" w:rsidR="00DF6AC5" w:rsidRPr="00DF6AC5" w:rsidRDefault="00DF6AC5" w:rsidP="00DF6AC5">
            <w:pPr>
              <w:rPr>
                <w:sz w:val="18"/>
                <w:szCs w:val="18"/>
              </w:rPr>
            </w:pPr>
            <w:r w:rsidRPr="00DF6AC5">
              <w:rPr>
                <w:sz w:val="18"/>
                <w:szCs w:val="18"/>
              </w:rPr>
              <w:t>Mexico's national fisheries framework provides an effective legal system with organized cooperation mechanisms capable of delivering sustainability outcomes consistent with MSC Principles 1 and 2</w:t>
            </w:r>
            <w:r>
              <w:rPr>
                <w:sz w:val="18"/>
                <w:szCs w:val="18"/>
              </w:rPr>
              <w:t>. In addition, t</w:t>
            </w:r>
            <w:r w:rsidRPr="00DF6AC5">
              <w:rPr>
                <w:sz w:val="18"/>
                <w:szCs w:val="18"/>
              </w:rPr>
              <w:t>he Ley Federal de Procedimiento Administrativo (DOF 1994) outlines administrative actions the federal government may take to levy sanctions for non-compliance with federal laws. The LGPAS establishes appeal mechanisms that assure due process in any legal proceeding. Specifically, LGPAS Articles 127–130 set out the process through which fisheries officers must submit cases to the Public Ministry — an independent authority responsible for investigating and prosecuting infractions. On this basis, the management system is subject by law to transparent mechanisms for dispute resolution appropriate to the context of the fishery. However, no evidence was provided that these mechanisms have been tested and proven effective in the context of this fishery.</w:t>
            </w:r>
          </w:p>
          <w:p w14:paraId="56EA1BEE" w14:textId="77777777" w:rsidR="00DF6AC5" w:rsidRPr="00DF6AC5" w:rsidRDefault="00DF6AC5" w:rsidP="00DF6AC5">
            <w:pPr>
              <w:rPr>
                <w:sz w:val="18"/>
                <w:szCs w:val="18"/>
              </w:rPr>
            </w:pPr>
          </w:p>
          <w:p w14:paraId="050C2BDB" w14:textId="4F0553AD" w:rsidR="00DF6AC5" w:rsidRPr="00DF6AC5" w:rsidRDefault="00DF6AC5" w:rsidP="003260CB">
            <w:pPr>
              <w:rPr>
                <w:sz w:val="18"/>
                <w:szCs w:val="18"/>
              </w:rPr>
            </w:pPr>
            <w:r w:rsidRPr="00DF6AC5">
              <w:rPr>
                <w:sz w:val="18"/>
                <w:szCs w:val="18"/>
              </w:rPr>
              <w:t xml:space="preserve">Finally, article 72 of the LGPAS allows subsistence fishers and those for whom fishing is a means of livelihood preservation to fish without permits, while prohibiting the commercial sale of products obtained under these provisions. The rights of indigenous peoples to fish for subsistence and as a form of cultural expression are given priority and special consideration. Independent reviews have confirmed these provisions are embedded in Mexico's fisheries framework (OECD 2013; 2019). </w:t>
            </w:r>
            <w:r>
              <w:rPr>
                <w:sz w:val="18"/>
                <w:szCs w:val="18"/>
              </w:rPr>
              <w:t>These</w:t>
            </w:r>
            <w:r w:rsidRPr="00DF6AC5">
              <w:rPr>
                <w:sz w:val="18"/>
                <w:szCs w:val="18"/>
              </w:rPr>
              <w:t xml:space="preserve"> instruments demonstrate that the management system actively recognizes and safeguards legal rights of people dependent on fishing for food security and livelihoods, in a manner consistent with MSC Principles 1 and 2.</w:t>
            </w:r>
          </w:p>
        </w:tc>
      </w:tr>
      <w:tr w:rsidR="0087346B" w14:paraId="20F97D73" w14:textId="77777777" w:rsidTr="00EC3E28">
        <w:tc>
          <w:tcPr>
            <w:tcW w:w="1001" w:type="dxa"/>
            <w:vMerge/>
            <w:tcMar>
              <w:top w:w="80" w:type="dxa"/>
              <w:left w:w="120" w:type="dxa"/>
              <w:bottom w:w="80" w:type="dxa"/>
              <w:right w:w="120" w:type="dxa"/>
            </w:tcMar>
            <w:vAlign w:val="center"/>
          </w:tcPr>
          <w:p w14:paraId="416638AD" w14:textId="46DADE97" w:rsidR="003260CB" w:rsidRDefault="003260CB" w:rsidP="003260CB">
            <w:pPr>
              <w:jc w:val="center"/>
            </w:pPr>
          </w:p>
        </w:tc>
        <w:tc>
          <w:tcPr>
            <w:tcW w:w="1298" w:type="dxa"/>
            <w:vMerge/>
            <w:tcMar>
              <w:top w:w="80" w:type="dxa"/>
              <w:left w:w="120" w:type="dxa"/>
              <w:bottom w:w="80" w:type="dxa"/>
              <w:right w:w="120" w:type="dxa"/>
            </w:tcMar>
            <w:vAlign w:val="center"/>
          </w:tcPr>
          <w:p w14:paraId="09992CB4" w14:textId="3F303C8A" w:rsidR="003260CB" w:rsidRDefault="003260CB" w:rsidP="003260CB">
            <w:pPr>
              <w:jc w:val="center"/>
            </w:pPr>
          </w:p>
        </w:tc>
        <w:tc>
          <w:tcPr>
            <w:tcW w:w="1385" w:type="dxa"/>
            <w:tcMar>
              <w:top w:w="80" w:type="dxa"/>
              <w:left w:w="120" w:type="dxa"/>
              <w:bottom w:w="80" w:type="dxa"/>
              <w:right w:w="120" w:type="dxa"/>
            </w:tcMar>
            <w:vAlign w:val="center"/>
          </w:tcPr>
          <w:p w14:paraId="54549F6D" w14:textId="77777777" w:rsidR="003260CB" w:rsidRPr="002F6D1E" w:rsidRDefault="003260CB" w:rsidP="003260CB">
            <w:pPr>
              <w:jc w:val="center"/>
            </w:pPr>
            <w:r w:rsidRPr="002F6D1E">
              <w:rPr>
                <w:sz w:val="18"/>
                <w:szCs w:val="18"/>
              </w:rPr>
              <w:t>3.1.2 Consultation, Roles</w:t>
            </w:r>
          </w:p>
        </w:tc>
        <w:tc>
          <w:tcPr>
            <w:tcW w:w="1001" w:type="dxa"/>
            <w:shd w:val="clear" w:color="auto" w:fill="B4DE8B"/>
            <w:tcMar>
              <w:top w:w="80" w:type="dxa"/>
              <w:left w:w="120" w:type="dxa"/>
              <w:bottom w:w="80" w:type="dxa"/>
              <w:right w:w="120" w:type="dxa"/>
            </w:tcMar>
            <w:vAlign w:val="center"/>
          </w:tcPr>
          <w:p w14:paraId="4D74EE9D" w14:textId="7450C597" w:rsidR="003260CB" w:rsidRPr="002F6D1E" w:rsidRDefault="003260CB" w:rsidP="003260CB">
            <w:pPr>
              <w:jc w:val="center"/>
            </w:pPr>
            <w:r w:rsidRPr="002F6D1E">
              <w:rPr>
                <w:sz w:val="18"/>
                <w:szCs w:val="18"/>
              </w:rPr>
              <w:t>≥80</w:t>
            </w:r>
          </w:p>
        </w:tc>
        <w:tc>
          <w:tcPr>
            <w:tcW w:w="980" w:type="dxa"/>
            <w:shd w:val="clear" w:color="auto" w:fill="B4DE8B"/>
            <w:tcMar>
              <w:top w:w="80" w:type="dxa"/>
              <w:left w:w="120" w:type="dxa"/>
              <w:bottom w:w="80" w:type="dxa"/>
              <w:right w:w="120" w:type="dxa"/>
            </w:tcMar>
            <w:vAlign w:val="center"/>
          </w:tcPr>
          <w:p w14:paraId="19F2EAF5" w14:textId="77777777" w:rsidR="003260CB" w:rsidRPr="002F6D1E" w:rsidRDefault="003260CB" w:rsidP="003260CB">
            <w:pPr>
              <w:jc w:val="center"/>
            </w:pPr>
            <w:r w:rsidRPr="002F6D1E">
              <w:rPr>
                <w:sz w:val="18"/>
                <w:szCs w:val="18"/>
              </w:rPr>
              <w:t>≥80</w:t>
            </w:r>
          </w:p>
        </w:tc>
        <w:tc>
          <w:tcPr>
            <w:tcW w:w="8010" w:type="dxa"/>
            <w:tcMar>
              <w:top w:w="80" w:type="dxa"/>
              <w:left w:w="120" w:type="dxa"/>
              <w:bottom w:w="80" w:type="dxa"/>
              <w:right w:w="120" w:type="dxa"/>
            </w:tcMar>
          </w:tcPr>
          <w:p w14:paraId="172C7E64" w14:textId="70EDF8F2" w:rsidR="003260CB" w:rsidRPr="009E1402" w:rsidRDefault="002F6D1E" w:rsidP="003260CB">
            <w:pPr>
              <w:rPr>
                <w:highlight w:val="yellow"/>
              </w:rPr>
            </w:pPr>
            <w:r w:rsidRPr="002F6D1E">
              <w:rPr>
                <w:sz w:val="18"/>
                <w:szCs w:val="18"/>
              </w:rPr>
              <w:t xml:space="preserve">Roles and responsibilities of all organizations involved in fisheries management are explicitly defined and well understood across all areas — SG100 met for SI (a). Formalized consultation processes regularly seek and consider relevant information including local knowledge through </w:t>
            </w:r>
            <w:r w:rsidRPr="002F6D1E">
              <w:rPr>
                <w:sz w:val="18"/>
                <w:szCs w:val="18"/>
              </w:rPr>
              <w:lastRenderedPageBreak/>
              <w:t xml:space="preserve">CNPA, CEPA, NOM committees, and </w:t>
            </w:r>
            <w:proofErr w:type="spellStart"/>
            <w:r w:rsidRPr="002F6D1E">
              <w:rPr>
                <w:sz w:val="18"/>
                <w:szCs w:val="18"/>
              </w:rPr>
              <w:t>Comités</w:t>
            </w:r>
            <w:proofErr w:type="spellEnd"/>
            <w:r w:rsidRPr="002F6D1E">
              <w:rPr>
                <w:sz w:val="18"/>
                <w:szCs w:val="18"/>
              </w:rPr>
              <w:t xml:space="preserve"> </w:t>
            </w:r>
            <w:proofErr w:type="spellStart"/>
            <w:r w:rsidRPr="002F6D1E">
              <w:rPr>
                <w:sz w:val="18"/>
                <w:szCs w:val="18"/>
              </w:rPr>
              <w:t>Consultivos</w:t>
            </w:r>
            <w:proofErr w:type="spellEnd"/>
            <w:r w:rsidRPr="002F6D1E">
              <w:rPr>
                <w:sz w:val="18"/>
                <w:szCs w:val="18"/>
              </w:rPr>
              <w:t xml:space="preserve"> de </w:t>
            </w:r>
            <w:proofErr w:type="spellStart"/>
            <w:r w:rsidRPr="002F6D1E">
              <w:rPr>
                <w:sz w:val="18"/>
                <w:szCs w:val="18"/>
              </w:rPr>
              <w:t>Manejo</w:t>
            </w:r>
            <w:proofErr w:type="spellEnd"/>
            <w:r w:rsidRPr="002F6D1E">
              <w:rPr>
                <w:sz w:val="18"/>
                <w:szCs w:val="18"/>
              </w:rPr>
              <w:t>; participation opportunities are open to all affected parties — SG80 met for SI (b); SG100 not met as the management system does not consistently demonstrate how information is used or not used</w:t>
            </w:r>
            <w:r w:rsidR="003260CB" w:rsidRPr="009E1402">
              <w:rPr>
                <w:sz w:val="18"/>
                <w:szCs w:val="18"/>
                <w:highlight w:val="yellow"/>
              </w:rPr>
              <w:t>.</w:t>
            </w:r>
          </w:p>
        </w:tc>
      </w:tr>
      <w:tr w:rsidR="0087346B" w14:paraId="45499939" w14:textId="77777777" w:rsidTr="00EC3E28">
        <w:tc>
          <w:tcPr>
            <w:tcW w:w="1001" w:type="dxa"/>
            <w:vMerge/>
            <w:tcMar>
              <w:top w:w="80" w:type="dxa"/>
              <w:left w:w="120" w:type="dxa"/>
              <w:bottom w:w="80" w:type="dxa"/>
              <w:right w:w="120" w:type="dxa"/>
            </w:tcMar>
            <w:vAlign w:val="center"/>
          </w:tcPr>
          <w:p w14:paraId="1E4E6452" w14:textId="5D12D316" w:rsidR="003260CB" w:rsidRDefault="003260CB" w:rsidP="003260CB">
            <w:pPr>
              <w:jc w:val="center"/>
            </w:pPr>
          </w:p>
        </w:tc>
        <w:tc>
          <w:tcPr>
            <w:tcW w:w="1298" w:type="dxa"/>
            <w:vMerge/>
            <w:tcMar>
              <w:top w:w="80" w:type="dxa"/>
              <w:left w:w="120" w:type="dxa"/>
              <w:bottom w:w="80" w:type="dxa"/>
              <w:right w:w="120" w:type="dxa"/>
            </w:tcMar>
            <w:vAlign w:val="center"/>
          </w:tcPr>
          <w:p w14:paraId="406B5277" w14:textId="7623F56B" w:rsidR="003260CB" w:rsidRDefault="003260CB" w:rsidP="003260CB">
            <w:pPr>
              <w:jc w:val="center"/>
            </w:pPr>
          </w:p>
        </w:tc>
        <w:tc>
          <w:tcPr>
            <w:tcW w:w="1385" w:type="dxa"/>
            <w:tcMar>
              <w:top w:w="80" w:type="dxa"/>
              <w:left w:w="120" w:type="dxa"/>
              <w:bottom w:w="80" w:type="dxa"/>
              <w:right w:w="120" w:type="dxa"/>
            </w:tcMar>
            <w:vAlign w:val="center"/>
          </w:tcPr>
          <w:p w14:paraId="70476D4E" w14:textId="77777777" w:rsidR="003260CB" w:rsidRPr="002F6D1E" w:rsidRDefault="003260CB" w:rsidP="003260CB">
            <w:pPr>
              <w:jc w:val="center"/>
            </w:pPr>
            <w:r w:rsidRPr="002F6D1E">
              <w:rPr>
                <w:sz w:val="18"/>
                <w:szCs w:val="18"/>
              </w:rPr>
              <w:t>3.1.3 Long-term Objectives</w:t>
            </w:r>
          </w:p>
        </w:tc>
        <w:tc>
          <w:tcPr>
            <w:tcW w:w="1001" w:type="dxa"/>
            <w:shd w:val="clear" w:color="auto" w:fill="B4DE8B"/>
            <w:tcMar>
              <w:top w:w="80" w:type="dxa"/>
              <w:left w:w="120" w:type="dxa"/>
              <w:bottom w:w="80" w:type="dxa"/>
              <w:right w:w="120" w:type="dxa"/>
            </w:tcMar>
            <w:vAlign w:val="center"/>
          </w:tcPr>
          <w:p w14:paraId="7F392D83" w14:textId="0F711FC8" w:rsidR="003260CB" w:rsidRPr="002F6D1E" w:rsidRDefault="003260CB" w:rsidP="003260CB">
            <w:pPr>
              <w:jc w:val="center"/>
            </w:pPr>
            <w:r w:rsidRPr="002F6D1E">
              <w:rPr>
                <w:sz w:val="18"/>
                <w:szCs w:val="18"/>
              </w:rPr>
              <w:t>≥80</w:t>
            </w:r>
          </w:p>
        </w:tc>
        <w:tc>
          <w:tcPr>
            <w:tcW w:w="980" w:type="dxa"/>
            <w:shd w:val="clear" w:color="auto" w:fill="B4DE8B"/>
            <w:tcMar>
              <w:top w:w="80" w:type="dxa"/>
              <w:left w:w="120" w:type="dxa"/>
              <w:bottom w:w="80" w:type="dxa"/>
              <w:right w:w="120" w:type="dxa"/>
            </w:tcMar>
            <w:vAlign w:val="center"/>
          </w:tcPr>
          <w:p w14:paraId="4F93F53F" w14:textId="77777777" w:rsidR="003260CB" w:rsidRPr="002F6D1E" w:rsidRDefault="003260CB" w:rsidP="003260CB">
            <w:pPr>
              <w:jc w:val="center"/>
            </w:pPr>
            <w:r w:rsidRPr="002F6D1E">
              <w:rPr>
                <w:sz w:val="18"/>
                <w:szCs w:val="18"/>
              </w:rPr>
              <w:t>≥80</w:t>
            </w:r>
          </w:p>
        </w:tc>
        <w:tc>
          <w:tcPr>
            <w:tcW w:w="8010" w:type="dxa"/>
            <w:tcMar>
              <w:top w:w="80" w:type="dxa"/>
              <w:left w:w="120" w:type="dxa"/>
              <w:bottom w:w="80" w:type="dxa"/>
              <w:right w:w="120" w:type="dxa"/>
            </w:tcMar>
          </w:tcPr>
          <w:p w14:paraId="7A34590F" w14:textId="2F867272" w:rsidR="003260CB" w:rsidRPr="002F6D1E" w:rsidRDefault="002F6D1E" w:rsidP="002F6D1E">
            <w:pPr>
              <w:rPr>
                <w:sz w:val="18"/>
                <w:szCs w:val="18"/>
              </w:rPr>
            </w:pPr>
            <w:r w:rsidRPr="002F6D1E">
              <w:rPr>
                <w:sz w:val="18"/>
                <w:szCs w:val="18"/>
              </w:rPr>
              <w:t>The LGPAS provides explicit, legally binding long-term objectives for sustainable fisheries management (Articles 1.I and 1.III), reinforced by the CNP and the LGPAS requirement that CONAPESCA apply the precautionary approach. Mexico's ratification of the FAO Code of Conduct for Responsible Fisheries further embeds these principles in national policy.</w:t>
            </w:r>
            <w:r>
              <w:rPr>
                <w:sz w:val="18"/>
                <w:szCs w:val="18"/>
              </w:rPr>
              <w:t xml:space="preserve"> </w:t>
            </w:r>
            <w:r w:rsidRPr="002F6D1E">
              <w:rPr>
                <w:sz w:val="18"/>
                <w:szCs w:val="18"/>
              </w:rPr>
              <w:t>The strength of Mexico's national legislative framework at the policy level fully satisfies what the MSC standard requires for long-term objectives across all three scoring levels.</w:t>
            </w:r>
          </w:p>
        </w:tc>
      </w:tr>
      <w:tr w:rsidR="0087346B" w14:paraId="718618D8" w14:textId="77777777" w:rsidTr="00EC3E28">
        <w:tc>
          <w:tcPr>
            <w:tcW w:w="1001" w:type="dxa"/>
            <w:vMerge/>
            <w:tcMar>
              <w:top w:w="80" w:type="dxa"/>
              <w:left w:w="120" w:type="dxa"/>
              <w:bottom w:w="80" w:type="dxa"/>
              <w:right w:w="120" w:type="dxa"/>
            </w:tcMar>
            <w:vAlign w:val="center"/>
          </w:tcPr>
          <w:p w14:paraId="3387F474" w14:textId="2F1F4586" w:rsidR="003260CB" w:rsidRDefault="003260CB" w:rsidP="003260CB">
            <w:pPr>
              <w:jc w:val="center"/>
            </w:pPr>
          </w:p>
        </w:tc>
        <w:tc>
          <w:tcPr>
            <w:tcW w:w="1298" w:type="dxa"/>
            <w:vMerge w:val="restart"/>
            <w:tcMar>
              <w:top w:w="80" w:type="dxa"/>
              <w:left w:w="120" w:type="dxa"/>
              <w:bottom w:w="80" w:type="dxa"/>
              <w:right w:w="120" w:type="dxa"/>
            </w:tcMar>
            <w:vAlign w:val="center"/>
          </w:tcPr>
          <w:p w14:paraId="01B9CA54" w14:textId="3B2868EB" w:rsidR="003260CB" w:rsidRDefault="003260CB" w:rsidP="003260CB">
            <w:pPr>
              <w:jc w:val="center"/>
            </w:pPr>
            <w:r>
              <w:rPr>
                <w:sz w:val="18"/>
                <w:szCs w:val="18"/>
              </w:rPr>
              <w:t>Fishery Management</w:t>
            </w:r>
          </w:p>
        </w:tc>
        <w:tc>
          <w:tcPr>
            <w:tcW w:w="1385" w:type="dxa"/>
            <w:tcMar>
              <w:top w:w="80" w:type="dxa"/>
              <w:left w:w="120" w:type="dxa"/>
              <w:bottom w:w="80" w:type="dxa"/>
              <w:right w:w="120" w:type="dxa"/>
            </w:tcMar>
            <w:vAlign w:val="center"/>
          </w:tcPr>
          <w:p w14:paraId="4F93B73B" w14:textId="77777777" w:rsidR="003260CB" w:rsidRDefault="003260CB" w:rsidP="003260CB">
            <w:pPr>
              <w:jc w:val="center"/>
            </w:pPr>
            <w:r>
              <w:rPr>
                <w:sz w:val="18"/>
                <w:szCs w:val="18"/>
              </w:rPr>
              <w:t>3.2.1 Fishery Objectives</w:t>
            </w:r>
          </w:p>
        </w:tc>
        <w:tc>
          <w:tcPr>
            <w:tcW w:w="1001" w:type="dxa"/>
            <w:shd w:val="clear" w:color="auto" w:fill="B4DE8B"/>
            <w:tcMar>
              <w:top w:w="80" w:type="dxa"/>
              <w:left w:w="120" w:type="dxa"/>
              <w:bottom w:w="80" w:type="dxa"/>
              <w:right w:w="120" w:type="dxa"/>
            </w:tcMar>
            <w:vAlign w:val="center"/>
          </w:tcPr>
          <w:p w14:paraId="70E92D8C" w14:textId="792A663A"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3C853FE8"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04930108" w14:textId="25C2C369" w:rsidR="00C549FD" w:rsidRPr="00C549FD" w:rsidRDefault="00C549FD" w:rsidP="00C549FD">
            <w:pPr>
              <w:rPr>
                <w:sz w:val="18"/>
                <w:szCs w:val="18"/>
              </w:rPr>
            </w:pPr>
            <w:r w:rsidRPr="00C549FD">
              <w:rPr>
                <w:sz w:val="18"/>
                <w:szCs w:val="18"/>
              </w:rPr>
              <w:t>The crab fishery is managed under a suite of instruments including the LGPAS, NOM-039-SAG/PESC-2003, seasonal closure decrees, and the Fishery Management Plans (FMPs) for Sonora and Sinaloa. These instruments collectively contain explicit sustainability objectives aligned with both Principle 1 and Principle 2 outcomes. The NOM establishes legally binding technical measures, while the FMPs articulate a stated central objective of sustainable crab fishing, supported by strategic objectives related to science, exploitation aligned with biomass levels, industry modernization, and social participation. Given that these objectives are formally published and either legally binding or policy-based, the team considers them explicit within the fishery-specific management system, meeting SG80.</w:t>
            </w:r>
          </w:p>
          <w:p w14:paraId="2DF35A2F" w14:textId="77777777" w:rsidR="00C549FD" w:rsidRDefault="00C549FD" w:rsidP="00C549FD">
            <w:pPr>
              <w:rPr>
                <w:sz w:val="18"/>
                <w:szCs w:val="18"/>
              </w:rPr>
            </w:pPr>
          </w:p>
          <w:p w14:paraId="5EF17E45" w14:textId="14EB543E" w:rsidR="003260CB" w:rsidRPr="00C549FD" w:rsidRDefault="00C549FD" w:rsidP="003260CB">
            <w:pPr>
              <w:rPr>
                <w:sz w:val="18"/>
                <w:szCs w:val="18"/>
              </w:rPr>
            </w:pPr>
            <w:r>
              <w:rPr>
                <w:sz w:val="18"/>
                <w:szCs w:val="18"/>
              </w:rPr>
              <w:t>H</w:t>
            </w:r>
            <w:r w:rsidRPr="00C549FD">
              <w:rPr>
                <w:sz w:val="18"/>
                <w:szCs w:val="18"/>
              </w:rPr>
              <w:t>owever, because the objectives across the management instruments lack consistently updated, measurable, and time-bound targets. The FMPs have not been updated at regular intervals, and no overarching mechanism formally links all instruments to a shared, demonstrably consistent set of quantitative outcomes tied directly to MSC Principle 1 and 2 benchmarks. As a result, while the direction and intent of the management objectives are clearly aligned with MSC requirements, their operationalization falls short of the level of specificity and measurability needed to reach the highest scoring level. The PI is rated in the ≥80 range and is not flagged as data deficient, as sufficient information was available to score it.</w:t>
            </w:r>
          </w:p>
        </w:tc>
      </w:tr>
      <w:tr w:rsidR="0087346B" w14:paraId="268B9146" w14:textId="77777777" w:rsidTr="00EC3E28">
        <w:tc>
          <w:tcPr>
            <w:tcW w:w="1001" w:type="dxa"/>
            <w:vMerge/>
            <w:tcMar>
              <w:top w:w="80" w:type="dxa"/>
              <w:left w:w="120" w:type="dxa"/>
              <w:bottom w:w="80" w:type="dxa"/>
              <w:right w:w="120" w:type="dxa"/>
            </w:tcMar>
            <w:vAlign w:val="center"/>
          </w:tcPr>
          <w:p w14:paraId="4074195E" w14:textId="269D3E27" w:rsidR="003260CB" w:rsidRDefault="003260CB" w:rsidP="003260CB">
            <w:pPr>
              <w:jc w:val="center"/>
            </w:pPr>
          </w:p>
        </w:tc>
        <w:tc>
          <w:tcPr>
            <w:tcW w:w="1298" w:type="dxa"/>
            <w:vMerge/>
            <w:tcMar>
              <w:top w:w="80" w:type="dxa"/>
              <w:left w:w="120" w:type="dxa"/>
              <w:bottom w:w="80" w:type="dxa"/>
              <w:right w:w="120" w:type="dxa"/>
            </w:tcMar>
            <w:vAlign w:val="center"/>
          </w:tcPr>
          <w:p w14:paraId="40FE1193" w14:textId="4C55F51A" w:rsidR="003260CB" w:rsidRDefault="003260CB" w:rsidP="003260CB">
            <w:pPr>
              <w:jc w:val="center"/>
            </w:pPr>
          </w:p>
        </w:tc>
        <w:tc>
          <w:tcPr>
            <w:tcW w:w="1385" w:type="dxa"/>
            <w:tcMar>
              <w:top w:w="80" w:type="dxa"/>
              <w:left w:w="120" w:type="dxa"/>
              <w:bottom w:w="80" w:type="dxa"/>
              <w:right w:w="120" w:type="dxa"/>
            </w:tcMar>
            <w:vAlign w:val="center"/>
          </w:tcPr>
          <w:p w14:paraId="6DF519DA" w14:textId="77777777" w:rsidR="003260CB" w:rsidRDefault="003260CB" w:rsidP="003260CB">
            <w:pPr>
              <w:jc w:val="center"/>
            </w:pPr>
            <w:r>
              <w:rPr>
                <w:sz w:val="18"/>
                <w:szCs w:val="18"/>
              </w:rPr>
              <w:t>3.2.2 Decision-making</w:t>
            </w:r>
          </w:p>
        </w:tc>
        <w:tc>
          <w:tcPr>
            <w:tcW w:w="1001" w:type="dxa"/>
            <w:shd w:val="clear" w:color="auto" w:fill="B4DE8B"/>
            <w:tcMar>
              <w:top w:w="80" w:type="dxa"/>
              <w:left w:w="120" w:type="dxa"/>
              <w:bottom w:w="80" w:type="dxa"/>
              <w:right w:w="120" w:type="dxa"/>
            </w:tcMar>
            <w:vAlign w:val="center"/>
          </w:tcPr>
          <w:p w14:paraId="6EEDBE26" w14:textId="273D545C" w:rsidR="003260CB" w:rsidRDefault="003260CB" w:rsidP="003260CB">
            <w:pPr>
              <w:jc w:val="center"/>
            </w:pPr>
            <w:r>
              <w:rPr>
                <w:sz w:val="18"/>
                <w:szCs w:val="18"/>
              </w:rPr>
              <w:t>≥80</w:t>
            </w:r>
          </w:p>
        </w:tc>
        <w:tc>
          <w:tcPr>
            <w:tcW w:w="980" w:type="dxa"/>
            <w:tcBorders>
              <w:bottom w:val="single" w:sz="4" w:space="0" w:color="auto"/>
            </w:tcBorders>
            <w:shd w:val="clear" w:color="auto" w:fill="B4DE8B"/>
            <w:tcMar>
              <w:top w:w="80" w:type="dxa"/>
              <w:left w:w="120" w:type="dxa"/>
              <w:bottom w:w="80" w:type="dxa"/>
              <w:right w:w="120" w:type="dxa"/>
            </w:tcMar>
            <w:vAlign w:val="center"/>
          </w:tcPr>
          <w:p w14:paraId="31A49EAF"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7F61F807" w14:textId="77777777" w:rsidR="00C549FD" w:rsidRDefault="00C549FD" w:rsidP="00C549FD">
            <w:pPr>
              <w:rPr>
                <w:sz w:val="18"/>
                <w:szCs w:val="18"/>
              </w:rPr>
            </w:pPr>
            <w:r>
              <w:rPr>
                <w:sz w:val="18"/>
                <w:szCs w:val="18"/>
              </w:rPr>
              <w:t>T</w:t>
            </w:r>
            <w:r w:rsidRPr="00C549FD">
              <w:rPr>
                <w:sz w:val="18"/>
                <w:szCs w:val="18"/>
              </w:rPr>
              <w:t>he decision-making framework is well established under the LGPAS and operationalized through NOM-039-SAG/PESC-2003, the Carta Nacional Pesquera (CNP), and the Fishery Management Pla</w:t>
            </w:r>
            <w:r>
              <w:rPr>
                <w:sz w:val="18"/>
                <w:szCs w:val="18"/>
              </w:rPr>
              <w:t>n</w:t>
            </w:r>
            <w:r w:rsidRPr="00C549FD">
              <w:rPr>
                <w:sz w:val="18"/>
                <w:szCs w:val="18"/>
              </w:rPr>
              <w:t>. I</w:t>
            </w:r>
            <w:r>
              <w:rPr>
                <w:sz w:val="18"/>
                <w:szCs w:val="18"/>
              </w:rPr>
              <w:t>MIPAS</w:t>
            </w:r>
            <w:r w:rsidRPr="00C549FD">
              <w:rPr>
                <w:sz w:val="18"/>
                <w:szCs w:val="18"/>
              </w:rPr>
              <w:t xml:space="preserve"> develops technical analyses </w:t>
            </w:r>
            <w:r>
              <w:rPr>
                <w:sz w:val="18"/>
                <w:szCs w:val="18"/>
              </w:rPr>
              <w:t>a</w:t>
            </w:r>
            <w:r w:rsidRPr="00C549FD">
              <w:rPr>
                <w:sz w:val="18"/>
                <w:szCs w:val="18"/>
              </w:rPr>
              <w:t xml:space="preserve">nd provides scientific recommendations, while CONAPESCA enacts and formalizes measures such as minimum sizes, protection of ovigerous females, trap specifications, effort controls, and seasonal closures through publication in the Diario </w:t>
            </w:r>
            <w:proofErr w:type="spellStart"/>
            <w:r w:rsidRPr="00C549FD">
              <w:rPr>
                <w:sz w:val="18"/>
                <w:szCs w:val="18"/>
              </w:rPr>
              <w:t>Oficial</w:t>
            </w:r>
            <w:proofErr w:type="spellEnd"/>
            <w:r w:rsidRPr="00C549FD">
              <w:rPr>
                <w:sz w:val="18"/>
                <w:szCs w:val="18"/>
              </w:rPr>
              <w:t xml:space="preserve"> de la </w:t>
            </w:r>
            <w:proofErr w:type="spellStart"/>
            <w:r w:rsidRPr="00C549FD">
              <w:rPr>
                <w:sz w:val="18"/>
                <w:szCs w:val="18"/>
              </w:rPr>
              <w:t>Federación</w:t>
            </w:r>
            <w:proofErr w:type="spellEnd"/>
            <w:r w:rsidRPr="00C549FD">
              <w:rPr>
                <w:sz w:val="18"/>
                <w:szCs w:val="18"/>
              </w:rPr>
              <w:t xml:space="preserve"> (DOF). Stakeholder participation is facilitated through documented meetings with industry, cooperatives, and state authorities. This structured, multi-institutional process meets SG80 at scoring issue. </w:t>
            </w:r>
          </w:p>
          <w:p w14:paraId="6640376C" w14:textId="77777777" w:rsidR="00C549FD" w:rsidRDefault="00C549FD" w:rsidP="00C549FD">
            <w:pPr>
              <w:rPr>
                <w:sz w:val="18"/>
                <w:szCs w:val="18"/>
              </w:rPr>
            </w:pPr>
          </w:p>
          <w:p w14:paraId="3716786E" w14:textId="6C752CAF" w:rsidR="00C549FD" w:rsidRPr="00C549FD" w:rsidRDefault="00C549FD" w:rsidP="00C549FD">
            <w:pPr>
              <w:rPr>
                <w:sz w:val="18"/>
                <w:szCs w:val="18"/>
              </w:rPr>
            </w:pPr>
            <w:r w:rsidRPr="00C549FD">
              <w:rPr>
                <w:sz w:val="18"/>
                <w:szCs w:val="18"/>
              </w:rPr>
              <w:t>Precautionary measures including general closures during peak reproductive periods and female-only closures in early July reflect the integration of INAPESCA's technical opinions. SG80 is met, though the absence of systematically documented post-implementation evaluation and public reporting of outcomes prevents SG100 from being reached.</w:t>
            </w:r>
          </w:p>
          <w:p w14:paraId="13686230" w14:textId="5E5637AD" w:rsidR="003260CB" w:rsidRDefault="00C549FD" w:rsidP="00C549FD">
            <w:r>
              <w:rPr>
                <w:sz w:val="18"/>
                <w:szCs w:val="18"/>
              </w:rPr>
              <w:t>Finally,</w:t>
            </w:r>
            <w:r w:rsidRPr="00C549FD">
              <w:rPr>
                <w:sz w:val="18"/>
                <w:szCs w:val="18"/>
              </w:rPr>
              <w:t xml:space="preserve"> disputes in the fishery, </w:t>
            </w:r>
            <w:r>
              <w:rPr>
                <w:sz w:val="18"/>
                <w:szCs w:val="18"/>
              </w:rPr>
              <w:t>are handled</w:t>
            </w:r>
            <w:r w:rsidRPr="00C549FD">
              <w:rPr>
                <w:sz w:val="18"/>
                <w:szCs w:val="18"/>
              </w:rPr>
              <w:t xml:space="preserve"> </w:t>
            </w:r>
            <w:r>
              <w:rPr>
                <w:sz w:val="18"/>
                <w:szCs w:val="18"/>
              </w:rPr>
              <w:t>via the</w:t>
            </w:r>
            <w:r w:rsidRPr="00C549FD">
              <w:rPr>
                <w:sz w:val="18"/>
                <w:szCs w:val="18"/>
              </w:rPr>
              <w:t xml:space="preserve"> Ley Federal de Procedimiento Administrativ</w:t>
            </w:r>
            <w:r>
              <w:rPr>
                <w:sz w:val="18"/>
                <w:szCs w:val="18"/>
              </w:rPr>
              <w:t>o and</w:t>
            </w:r>
            <w:r w:rsidRPr="00C549FD">
              <w:rPr>
                <w:sz w:val="18"/>
                <w:szCs w:val="18"/>
              </w:rPr>
              <w:t xml:space="preserve"> the federal court system. However, evidence of ongoing IUU fishing — including landing of </w:t>
            </w:r>
            <w:r w:rsidRPr="00C549FD">
              <w:rPr>
                <w:sz w:val="18"/>
                <w:szCs w:val="18"/>
              </w:rPr>
              <w:lastRenderedPageBreak/>
              <w:t xml:space="preserve">undersized crabs, use of traps beyond permitted limits, and activity during seasonal closures — indicates that the management system has not demonstrated timely and effective corrective responses to known, recurring compliance </w:t>
            </w:r>
            <w:r w:rsidR="009A2B2C" w:rsidRPr="00C549FD">
              <w:rPr>
                <w:sz w:val="18"/>
                <w:szCs w:val="18"/>
              </w:rPr>
              <w:t>issues</w:t>
            </w:r>
            <w:r>
              <w:rPr>
                <w:sz w:val="18"/>
                <w:szCs w:val="18"/>
              </w:rPr>
              <w:t>, so SG100 is not met.</w:t>
            </w:r>
          </w:p>
        </w:tc>
      </w:tr>
      <w:tr w:rsidR="0087346B" w14:paraId="548C4AC3" w14:textId="77777777" w:rsidTr="00EC3E28">
        <w:tc>
          <w:tcPr>
            <w:tcW w:w="1001" w:type="dxa"/>
            <w:vMerge/>
            <w:tcMar>
              <w:top w:w="80" w:type="dxa"/>
              <w:left w:w="120" w:type="dxa"/>
              <w:bottom w:w="80" w:type="dxa"/>
              <w:right w:w="120" w:type="dxa"/>
            </w:tcMar>
            <w:vAlign w:val="center"/>
          </w:tcPr>
          <w:p w14:paraId="5350E8FE" w14:textId="65145815" w:rsidR="003260CB" w:rsidRDefault="003260CB" w:rsidP="003260CB">
            <w:pPr>
              <w:jc w:val="center"/>
            </w:pPr>
          </w:p>
        </w:tc>
        <w:tc>
          <w:tcPr>
            <w:tcW w:w="1298" w:type="dxa"/>
            <w:vMerge/>
            <w:tcMar>
              <w:top w:w="80" w:type="dxa"/>
              <w:left w:w="120" w:type="dxa"/>
              <w:bottom w:w="80" w:type="dxa"/>
              <w:right w:w="120" w:type="dxa"/>
            </w:tcMar>
            <w:vAlign w:val="center"/>
          </w:tcPr>
          <w:p w14:paraId="62074BD0" w14:textId="1BD5BC25" w:rsidR="003260CB" w:rsidRDefault="003260CB" w:rsidP="003260CB">
            <w:pPr>
              <w:jc w:val="center"/>
            </w:pPr>
          </w:p>
        </w:tc>
        <w:tc>
          <w:tcPr>
            <w:tcW w:w="1385" w:type="dxa"/>
            <w:tcMar>
              <w:top w:w="80" w:type="dxa"/>
              <w:left w:w="120" w:type="dxa"/>
              <w:bottom w:w="80" w:type="dxa"/>
              <w:right w:w="120" w:type="dxa"/>
            </w:tcMar>
            <w:vAlign w:val="center"/>
          </w:tcPr>
          <w:p w14:paraId="4CF447D9" w14:textId="77777777" w:rsidR="003260CB" w:rsidRDefault="003260CB" w:rsidP="003260CB">
            <w:pPr>
              <w:jc w:val="center"/>
            </w:pPr>
            <w:r>
              <w:rPr>
                <w:sz w:val="18"/>
                <w:szCs w:val="18"/>
              </w:rPr>
              <w:t>3.2.3 Compliance &amp; Enforcement</w:t>
            </w:r>
          </w:p>
        </w:tc>
        <w:tc>
          <w:tcPr>
            <w:tcW w:w="1001" w:type="dxa"/>
            <w:shd w:val="clear" w:color="auto" w:fill="B4DE8B"/>
            <w:tcMar>
              <w:top w:w="80" w:type="dxa"/>
              <w:left w:w="120" w:type="dxa"/>
              <w:bottom w:w="80" w:type="dxa"/>
              <w:right w:w="120" w:type="dxa"/>
            </w:tcMar>
            <w:vAlign w:val="center"/>
          </w:tcPr>
          <w:p w14:paraId="52752F24" w14:textId="22E2FCBB" w:rsidR="003260CB" w:rsidRDefault="003260CB" w:rsidP="003260CB">
            <w:pPr>
              <w:jc w:val="center"/>
            </w:pPr>
            <w:r>
              <w:rPr>
                <w:sz w:val="18"/>
                <w:szCs w:val="18"/>
              </w:rPr>
              <w:t>≥80</w:t>
            </w:r>
          </w:p>
        </w:tc>
        <w:tc>
          <w:tcPr>
            <w:tcW w:w="980" w:type="dxa"/>
            <w:shd w:val="clear" w:color="auto" w:fill="FFEE64"/>
            <w:tcMar>
              <w:top w:w="80" w:type="dxa"/>
              <w:left w:w="120" w:type="dxa"/>
              <w:bottom w:w="80" w:type="dxa"/>
              <w:right w:w="120" w:type="dxa"/>
            </w:tcMar>
            <w:vAlign w:val="center"/>
          </w:tcPr>
          <w:p w14:paraId="749E53B6" w14:textId="1969F1E8" w:rsidR="003260CB" w:rsidRDefault="00F318A8" w:rsidP="003260CB">
            <w:pPr>
              <w:jc w:val="center"/>
            </w:pPr>
            <w:r>
              <w:t>60-79</w:t>
            </w:r>
          </w:p>
        </w:tc>
        <w:tc>
          <w:tcPr>
            <w:tcW w:w="8010" w:type="dxa"/>
            <w:tcMar>
              <w:top w:w="80" w:type="dxa"/>
              <w:left w:w="120" w:type="dxa"/>
              <w:bottom w:w="80" w:type="dxa"/>
              <w:right w:w="120" w:type="dxa"/>
            </w:tcMar>
          </w:tcPr>
          <w:p w14:paraId="216E8964" w14:textId="77777777" w:rsidR="0056527E" w:rsidRDefault="00E35791" w:rsidP="00E35791">
            <w:pPr>
              <w:rPr>
                <w:sz w:val="18"/>
                <w:szCs w:val="18"/>
              </w:rPr>
            </w:pPr>
            <w:r w:rsidRPr="00E35791">
              <w:rPr>
                <w:sz w:val="18"/>
                <w:szCs w:val="18"/>
              </w:rPr>
              <w:t>A formal MCS system exists under CONAPESCA's General Directorate of Inspection and Surveillance, covering vessel inspections at sea, road checkpoints at landing sites, and plant inspections.</w:t>
            </w:r>
            <w:r>
              <w:rPr>
                <w:sz w:val="18"/>
                <w:szCs w:val="18"/>
              </w:rPr>
              <w:t xml:space="preserve"> In addition, the </w:t>
            </w:r>
            <w:r w:rsidRPr="00E35791">
              <w:rPr>
                <w:sz w:val="18"/>
                <w:szCs w:val="18"/>
              </w:rPr>
              <w:t xml:space="preserve">NOM-039-PESC-2003 and the 2014 Fishery Management Plan provide the regulatory basis for </w:t>
            </w:r>
            <w:r>
              <w:rPr>
                <w:sz w:val="18"/>
                <w:szCs w:val="18"/>
              </w:rPr>
              <w:t xml:space="preserve">an effective </w:t>
            </w:r>
            <w:r w:rsidRPr="00E35791">
              <w:rPr>
                <w:sz w:val="18"/>
                <w:szCs w:val="18"/>
              </w:rPr>
              <w:t>enforcement</w:t>
            </w:r>
            <w:r>
              <w:rPr>
                <w:sz w:val="18"/>
                <w:szCs w:val="18"/>
              </w:rPr>
              <w:t xml:space="preserve"> plan. The fishery has a</w:t>
            </w:r>
            <w:r w:rsidRPr="00E35791">
              <w:rPr>
                <w:sz w:val="18"/>
                <w:szCs w:val="18"/>
              </w:rPr>
              <w:t xml:space="preserve"> seasonal closure (May 1–July 10) is in effect since 2013, providing a clear temporal enforcement window.</w:t>
            </w:r>
            <w:r>
              <w:rPr>
                <w:sz w:val="18"/>
                <w:szCs w:val="18"/>
              </w:rPr>
              <w:t xml:space="preserve"> Managers have in place </w:t>
            </w:r>
            <w:r w:rsidRPr="00E35791">
              <w:rPr>
                <w:sz w:val="18"/>
                <w:szCs w:val="18"/>
              </w:rPr>
              <w:t>a 24-hour public reporting line for illegal activities</w:t>
            </w:r>
            <w:r>
              <w:rPr>
                <w:sz w:val="18"/>
                <w:szCs w:val="18"/>
              </w:rPr>
              <w:t xml:space="preserve"> and t</w:t>
            </w:r>
            <w:r w:rsidRPr="00E35791">
              <w:rPr>
                <w:sz w:val="18"/>
                <w:szCs w:val="18"/>
              </w:rPr>
              <w:t xml:space="preserve">he </w:t>
            </w:r>
            <w:proofErr w:type="spellStart"/>
            <w:r w:rsidRPr="00E35791">
              <w:rPr>
                <w:sz w:val="18"/>
                <w:szCs w:val="18"/>
              </w:rPr>
              <w:t>Comité</w:t>
            </w:r>
            <w:proofErr w:type="spellEnd"/>
            <w:r w:rsidRPr="00E35791">
              <w:rPr>
                <w:sz w:val="18"/>
                <w:szCs w:val="18"/>
              </w:rPr>
              <w:t xml:space="preserve"> Sistema </w:t>
            </w:r>
            <w:proofErr w:type="spellStart"/>
            <w:r w:rsidRPr="00E35791">
              <w:rPr>
                <w:sz w:val="18"/>
                <w:szCs w:val="18"/>
              </w:rPr>
              <w:t>Producto</w:t>
            </w:r>
            <w:proofErr w:type="spellEnd"/>
            <w:r w:rsidRPr="00E35791">
              <w:rPr>
                <w:sz w:val="18"/>
                <w:szCs w:val="18"/>
              </w:rPr>
              <w:t xml:space="preserve"> </w:t>
            </w:r>
            <w:proofErr w:type="spellStart"/>
            <w:r w:rsidRPr="00E35791">
              <w:rPr>
                <w:sz w:val="18"/>
                <w:szCs w:val="18"/>
              </w:rPr>
              <w:t>Jaiba</w:t>
            </w:r>
            <w:proofErr w:type="spellEnd"/>
            <w:r w:rsidRPr="00E35791">
              <w:rPr>
                <w:sz w:val="18"/>
                <w:szCs w:val="18"/>
              </w:rPr>
              <w:t xml:space="preserve"> (CSP) </w:t>
            </w:r>
            <w:r>
              <w:rPr>
                <w:sz w:val="18"/>
                <w:szCs w:val="18"/>
              </w:rPr>
              <w:t xml:space="preserve">have in place actions aim to increase a </w:t>
            </w:r>
            <w:r w:rsidRPr="00E35791">
              <w:rPr>
                <w:sz w:val="18"/>
                <w:szCs w:val="18"/>
              </w:rPr>
              <w:t xml:space="preserve">compliance </w:t>
            </w:r>
            <w:r>
              <w:rPr>
                <w:sz w:val="18"/>
                <w:szCs w:val="18"/>
              </w:rPr>
              <w:t>culture with their members.</w:t>
            </w:r>
            <w:r w:rsidR="0056527E">
              <w:rPr>
                <w:sz w:val="18"/>
                <w:szCs w:val="18"/>
              </w:rPr>
              <w:t xml:space="preserve"> E</w:t>
            </w:r>
            <w:r>
              <w:rPr>
                <w:sz w:val="18"/>
                <w:szCs w:val="18"/>
              </w:rPr>
              <w:t xml:space="preserve">nforcement </w:t>
            </w:r>
            <w:r w:rsidRPr="00E35791">
              <w:rPr>
                <w:sz w:val="18"/>
                <w:szCs w:val="18"/>
              </w:rPr>
              <w:t>operations in 2025 resulted in seizures of over 4,200 tons of illegally caught product, showing that the sanctioning system does operate at some level.</w:t>
            </w:r>
            <w:r>
              <w:rPr>
                <w:sz w:val="18"/>
                <w:szCs w:val="18"/>
              </w:rPr>
              <w:t xml:space="preserve"> </w:t>
            </w:r>
          </w:p>
          <w:p w14:paraId="23EEBFD1" w14:textId="77777777" w:rsidR="0056527E" w:rsidRDefault="0056527E" w:rsidP="00E35791">
            <w:pPr>
              <w:rPr>
                <w:sz w:val="18"/>
                <w:szCs w:val="18"/>
              </w:rPr>
            </w:pPr>
          </w:p>
          <w:p w14:paraId="59977DBC" w14:textId="7AC30CC2" w:rsidR="00E35791" w:rsidRPr="00E35791" w:rsidRDefault="0056527E" w:rsidP="00E35791">
            <w:pPr>
              <w:rPr>
                <w:sz w:val="18"/>
                <w:szCs w:val="18"/>
              </w:rPr>
            </w:pPr>
            <w:r>
              <w:rPr>
                <w:sz w:val="18"/>
                <w:szCs w:val="18"/>
              </w:rPr>
              <w:t xml:space="preserve">However, </w:t>
            </w:r>
            <w:r w:rsidRPr="00E35791">
              <w:rPr>
                <w:sz w:val="18"/>
                <w:szCs w:val="18"/>
              </w:rPr>
              <w:t xml:space="preserve">CONAPESCA's enforcement budget </w:t>
            </w:r>
            <w:r>
              <w:rPr>
                <w:sz w:val="18"/>
                <w:szCs w:val="18"/>
              </w:rPr>
              <w:t>has raised</w:t>
            </w:r>
            <w:r w:rsidRPr="00E35791">
              <w:rPr>
                <w:sz w:val="18"/>
                <w:szCs w:val="18"/>
              </w:rPr>
              <w:t xml:space="preserve"> concerns about coverage given ~2,193 vessels and 4,400 fishers active across Sonora and Sinaloa.</w:t>
            </w:r>
            <w:r>
              <w:rPr>
                <w:sz w:val="18"/>
                <w:szCs w:val="18"/>
              </w:rPr>
              <w:t xml:space="preserve"> T</w:t>
            </w:r>
            <w:r w:rsidR="00E35791">
              <w:rPr>
                <w:sz w:val="18"/>
                <w:szCs w:val="18"/>
              </w:rPr>
              <w:t>here is n</w:t>
            </w:r>
            <w:r w:rsidR="00E35791" w:rsidRPr="00E35791">
              <w:rPr>
                <w:sz w:val="18"/>
                <w:szCs w:val="18"/>
              </w:rPr>
              <w:t>o fishery-specific data on sanctions issued, fines applied, or prosecutions resulting from violations in the Sonora/Sinaloa crab fishery.</w:t>
            </w:r>
            <w:r>
              <w:rPr>
                <w:sz w:val="18"/>
                <w:szCs w:val="18"/>
              </w:rPr>
              <w:t xml:space="preserve"> </w:t>
            </w:r>
            <w:r w:rsidR="00D64000">
              <w:rPr>
                <w:sz w:val="18"/>
                <w:szCs w:val="18"/>
              </w:rPr>
              <w:t>Overall, s</w:t>
            </w:r>
            <w:r w:rsidR="00E35791" w:rsidRPr="00E35791">
              <w:rPr>
                <w:sz w:val="18"/>
                <w:szCs w:val="18"/>
              </w:rPr>
              <w:t>anctions are legally established and applied in some form</w:t>
            </w:r>
            <w:r w:rsidR="00D64000">
              <w:rPr>
                <w:sz w:val="18"/>
                <w:szCs w:val="18"/>
              </w:rPr>
              <w:t>, but it is unclear if these</w:t>
            </w:r>
            <w:r w:rsidR="00E35791" w:rsidRPr="00E35791">
              <w:rPr>
                <w:sz w:val="18"/>
                <w:szCs w:val="18"/>
              </w:rPr>
              <w:t xml:space="preserve"> are consistently applied</w:t>
            </w:r>
            <w:r w:rsidR="00D64000">
              <w:rPr>
                <w:sz w:val="18"/>
                <w:szCs w:val="18"/>
              </w:rPr>
              <w:t xml:space="preserve">, since there </w:t>
            </w:r>
            <w:r w:rsidR="00E35791" w:rsidRPr="00E35791">
              <w:rPr>
                <w:sz w:val="18"/>
                <w:szCs w:val="18"/>
              </w:rPr>
              <w:t>is no documented evidence of deterrent effect specifically for this fishery</w:t>
            </w:r>
            <w:r w:rsidR="00D64000">
              <w:rPr>
                <w:sz w:val="18"/>
                <w:szCs w:val="18"/>
              </w:rPr>
              <w:t>.</w:t>
            </w:r>
            <w:r w:rsidR="00F318A8">
              <w:rPr>
                <w:sz w:val="18"/>
                <w:szCs w:val="18"/>
              </w:rPr>
              <w:t xml:space="preserve"> </w:t>
            </w:r>
            <w:r>
              <w:rPr>
                <w:sz w:val="18"/>
                <w:szCs w:val="18"/>
              </w:rPr>
              <w:t>Finally, t</w:t>
            </w:r>
            <w:r w:rsidR="00E35791" w:rsidRPr="00E35791">
              <w:rPr>
                <w:sz w:val="18"/>
                <w:szCs w:val="18"/>
              </w:rPr>
              <w:t>he</w:t>
            </w:r>
            <w:r w:rsidR="009F2168">
              <w:rPr>
                <w:sz w:val="18"/>
                <w:szCs w:val="18"/>
              </w:rPr>
              <w:t xml:space="preserve"> status of the</w:t>
            </w:r>
            <w:r w:rsidR="00E35791" w:rsidRPr="00E35791">
              <w:rPr>
                <w:sz w:val="18"/>
                <w:szCs w:val="18"/>
              </w:rPr>
              <w:t xml:space="preserve"> stock</w:t>
            </w:r>
            <w:r w:rsidR="009F2168">
              <w:rPr>
                <w:sz w:val="18"/>
                <w:szCs w:val="18"/>
              </w:rPr>
              <w:t>s could</w:t>
            </w:r>
            <w:r w:rsidR="00E35791" w:rsidRPr="00E35791">
              <w:rPr>
                <w:sz w:val="18"/>
                <w:szCs w:val="18"/>
              </w:rPr>
              <w:t xml:space="preserve"> suggest</w:t>
            </w:r>
            <w:r w:rsidR="009F2168">
              <w:rPr>
                <w:sz w:val="18"/>
                <w:szCs w:val="18"/>
              </w:rPr>
              <w:t xml:space="preserve"> </w:t>
            </w:r>
            <w:r w:rsidR="00E35791" w:rsidRPr="00E35791">
              <w:rPr>
                <w:sz w:val="18"/>
                <w:szCs w:val="18"/>
              </w:rPr>
              <w:t>that even if compliance is imperfect, it is not yet leading to resource collapse — indicating the management measures may be working to a sufficient degree at the population level.</w:t>
            </w:r>
            <w:r w:rsidR="009F2168">
              <w:rPr>
                <w:sz w:val="18"/>
                <w:szCs w:val="18"/>
              </w:rPr>
              <w:t xml:space="preserve"> </w:t>
            </w:r>
          </w:p>
          <w:p w14:paraId="282F4274" w14:textId="77777777" w:rsidR="009F2168" w:rsidRDefault="009F2168" w:rsidP="00E35791">
            <w:pPr>
              <w:rPr>
                <w:sz w:val="18"/>
                <w:szCs w:val="18"/>
              </w:rPr>
            </w:pPr>
          </w:p>
          <w:p w14:paraId="78FE72F0" w14:textId="51BD2503" w:rsidR="003260CB" w:rsidRPr="009F2168" w:rsidRDefault="009F2168" w:rsidP="003260CB">
            <w:pPr>
              <w:rPr>
                <w:sz w:val="18"/>
                <w:szCs w:val="18"/>
              </w:rPr>
            </w:pPr>
            <w:r>
              <w:rPr>
                <w:sz w:val="18"/>
                <w:szCs w:val="18"/>
              </w:rPr>
              <w:t>Overall, a</w:t>
            </w:r>
            <w:r w:rsidR="00E35791" w:rsidRPr="00E35791">
              <w:rPr>
                <w:sz w:val="18"/>
                <w:szCs w:val="18"/>
              </w:rPr>
              <w:t xml:space="preserve">ll SG60 scoring issues are </w:t>
            </w:r>
            <w:r w:rsidR="00F318A8" w:rsidRPr="00E35791">
              <w:rPr>
                <w:sz w:val="18"/>
                <w:szCs w:val="18"/>
              </w:rPr>
              <w:t>met,</w:t>
            </w:r>
            <w:r w:rsidR="00F318A8">
              <w:rPr>
                <w:sz w:val="18"/>
                <w:szCs w:val="18"/>
              </w:rPr>
              <w:t xml:space="preserve"> however</w:t>
            </w:r>
            <w:r w:rsidR="00E35791" w:rsidRPr="00E35791">
              <w:rPr>
                <w:sz w:val="18"/>
                <w:szCs w:val="18"/>
              </w:rPr>
              <w:t>, multiple SG80 scoring issues are not met, particularly the consistent application of sanctions and the absence of evidence ruling out systematic non-compliance.</w:t>
            </w:r>
            <w:r w:rsidR="0056527E">
              <w:rPr>
                <w:sz w:val="18"/>
                <w:szCs w:val="18"/>
              </w:rPr>
              <w:t xml:space="preserve"> At</w:t>
            </w:r>
            <w:r w:rsidR="00E35791" w:rsidRPr="00E35791">
              <w:rPr>
                <w:sz w:val="18"/>
                <w:szCs w:val="18"/>
              </w:rPr>
              <w:t xml:space="preserve"> minimum</w:t>
            </w:r>
            <w:r w:rsidR="0056527E">
              <w:rPr>
                <w:sz w:val="18"/>
                <w:szCs w:val="18"/>
              </w:rPr>
              <w:t xml:space="preserve">, </w:t>
            </w:r>
            <w:r w:rsidR="00E35791" w:rsidRPr="00E35791">
              <w:rPr>
                <w:sz w:val="18"/>
                <w:szCs w:val="18"/>
              </w:rPr>
              <w:t xml:space="preserve">an MCS system exists, enforcement mechanisms are legally established, and there are active stakeholder engagement structures — but the system falls materially short of SG80 on multiple scoring issues. A slight upward adjustment to 65 may be warranted given the positive signals from co-management (CSP/CSPS), FIP-driven compliance improvements, and the fact that the stock is not currently overfished (suggesting the regulatory framework is having some effect). However, the documented funding inadequacy, </w:t>
            </w:r>
            <w:r w:rsidR="00547642">
              <w:rPr>
                <w:sz w:val="18"/>
                <w:szCs w:val="18"/>
              </w:rPr>
              <w:t xml:space="preserve">and </w:t>
            </w:r>
            <w:r w:rsidR="00E35791" w:rsidRPr="00E35791">
              <w:rPr>
                <w:sz w:val="18"/>
                <w:szCs w:val="18"/>
              </w:rPr>
              <w:t>lack of independent scrutiny</w:t>
            </w:r>
            <w:r w:rsidR="00547642">
              <w:rPr>
                <w:sz w:val="18"/>
                <w:szCs w:val="18"/>
              </w:rPr>
              <w:t xml:space="preserve"> </w:t>
            </w:r>
            <w:r w:rsidR="00E35791" w:rsidRPr="00E35791">
              <w:rPr>
                <w:sz w:val="18"/>
                <w:szCs w:val="18"/>
              </w:rPr>
              <w:t>weigh heavily against a higher score.</w:t>
            </w:r>
          </w:p>
        </w:tc>
      </w:tr>
      <w:tr w:rsidR="0087346B" w14:paraId="4018C7FD" w14:textId="77777777" w:rsidTr="00EC3E28">
        <w:tc>
          <w:tcPr>
            <w:tcW w:w="1001" w:type="dxa"/>
            <w:vMerge/>
            <w:tcMar>
              <w:top w:w="80" w:type="dxa"/>
              <w:left w:w="120" w:type="dxa"/>
              <w:bottom w:w="80" w:type="dxa"/>
              <w:right w:w="120" w:type="dxa"/>
            </w:tcMar>
            <w:vAlign w:val="center"/>
          </w:tcPr>
          <w:p w14:paraId="251CF222" w14:textId="648C0A23" w:rsidR="003260CB" w:rsidRDefault="003260CB" w:rsidP="003260CB">
            <w:pPr>
              <w:jc w:val="center"/>
            </w:pPr>
          </w:p>
        </w:tc>
        <w:tc>
          <w:tcPr>
            <w:tcW w:w="1298" w:type="dxa"/>
            <w:vMerge/>
            <w:tcMar>
              <w:top w:w="80" w:type="dxa"/>
              <w:left w:w="120" w:type="dxa"/>
              <w:bottom w:w="80" w:type="dxa"/>
              <w:right w:w="120" w:type="dxa"/>
            </w:tcMar>
            <w:vAlign w:val="center"/>
          </w:tcPr>
          <w:p w14:paraId="6281CD47" w14:textId="76FB8F22" w:rsidR="003260CB" w:rsidRDefault="003260CB" w:rsidP="003260CB">
            <w:pPr>
              <w:jc w:val="center"/>
            </w:pPr>
          </w:p>
        </w:tc>
        <w:tc>
          <w:tcPr>
            <w:tcW w:w="1385" w:type="dxa"/>
            <w:tcMar>
              <w:top w:w="80" w:type="dxa"/>
              <w:left w:w="120" w:type="dxa"/>
              <w:bottom w:w="80" w:type="dxa"/>
              <w:right w:w="120" w:type="dxa"/>
            </w:tcMar>
            <w:vAlign w:val="center"/>
          </w:tcPr>
          <w:p w14:paraId="28AD0F36" w14:textId="018BF319" w:rsidR="003260CB" w:rsidRDefault="003260CB" w:rsidP="003260CB">
            <w:pPr>
              <w:jc w:val="center"/>
            </w:pPr>
            <w:r>
              <w:rPr>
                <w:sz w:val="18"/>
                <w:szCs w:val="18"/>
              </w:rPr>
              <w:t>3.2.4 Management Performance Eval</w:t>
            </w:r>
            <w:r w:rsidR="00C77E4A">
              <w:rPr>
                <w:sz w:val="18"/>
                <w:szCs w:val="18"/>
              </w:rPr>
              <w:t>uation</w:t>
            </w:r>
          </w:p>
        </w:tc>
        <w:tc>
          <w:tcPr>
            <w:tcW w:w="1001" w:type="dxa"/>
            <w:shd w:val="clear" w:color="auto" w:fill="B4DE8B"/>
            <w:tcMar>
              <w:top w:w="80" w:type="dxa"/>
              <w:left w:w="120" w:type="dxa"/>
              <w:bottom w:w="80" w:type="dxa"/>
              <w:right w:w="120" w:type="dxa"/>
            </w:tcMar>
            <w:vAlign w:val="center"/>
          </w:tcPr>
          <w:p w14:paraId="122D4C1C" w14:textId="3984F699" w:rsidR="003260CB" w:rsidRDefault="003260CB" w:rsidP="003260CB">
            <w:pPr>
              <w:jc w:val="center"/>
            </w:pPr>
            <w:r>
              <w:rPr>
                <w:sz w:val="18"/>
                <w:szCs w:val="18"/>
              </w:rPr>
              <w:t>≥80</w:t>
            </w:r>
          </w:p>
        </w:tc>
        <w:tc>
          <w:tcPr>
            <w:tcW w:w="980" w:type="dxa"/>
            <w:shd w:val="clear" w:color="auto" w:fill="B4DE8B"/>
            <w:tcMar>
              <w:top w:w="80" w:type="dxa"/>
              <w:left w:w="120" w:type="dxa"/>
              <w:bottom w:w="80" w:type="dxa"/>
              <w:right w:w="120" w:type="dxa"/>
            </w:tcMar>
            <w:vAlign w:val="center"/>
          </w:tcPr>
          <w:p w14:paraId="6ECD7834" w14:textId="77777777" w:rsidR="003260CB" w:rsidRDefault="003260CB" w:rsidP="003260CB">
            <w:pPr>
              <w:jc w:val="center"/>
            </w:pPr>
            <w:r>
              <w:rPr>
                <w:sz w:val="18"/>
                <w:szCs w:val="18"/>
              </w:rPr>
              <w:t>≥80</w:t>
            </w:r>
          </w:p>
        </w:tc>
        <w:tc>
          <w:tcPr>
            <w:tcW w:w="8010" w:type="dxa"/>
            <w:tcMar>
              <w:top w:w="80" w:type="dxa"/>
              <w:left w:w="120" w:type="dxa"/>
              <w:bottom w:w="80" w:type="dxa"/>
              <w:right w:w="120" w:type="dxa"/>
            </w:tcMar>
          </w:tcPr>
          <w:p w14:paraId="063216DD" w14:textId="201BD7C8" w:rsidR="000A03F8" w:rsidRPr="000A03F8" w:rsidRDefault="000A03F8" w:rsidP="000A03F8">
            <w:pPr>
              <w:rPr>
                <w:sz w:val="18"/>
                <w:szCs w:val="18"/>
              </w:rPr>
            </w:pPr>
            <w:r>
              <w:rPr>
                <w:sz w:val="18"/>
                <w:szCs w:val="18"/>
              </w:rPr>
              <w:t>The management system has in place m</w:t>
            </w:r>
            <w:r w:rsidRPr="000A03F8">
              <w:rPr>
                <w:sz w:val="18"/>
                <w:szCs w:val="18"/>
              </w:rPr>
              <w:t xml:space="preserve">echanisms </w:t>
            </w:r>
            <w:r>
              <w:rPr>
                <w:sz w:val="18"/>
                <w:szCs w:val="18"/>
              </w:rPr>
              <w:t>that assess the different elements of the fishery. IMIPAS writes</w:t>
            </w:r>
            <w:r w:rsidRPr="000A03F8">
              <w:rPr>
                <w:sz w:val="18"/>
                <w:szCs w:val="18"/>
              </w:rPr>
              <w:t xml:space="preserve"> technical reports on stock status (e.g., size/sex structure, CPUE, reproductive timing), </w:t>
            </w:r>
            <w:r>
              <w:rPr>
                <w:sz w:val="18"/>
                <w:szCs w:val="18"/>
              </w:rPr>
              <w:t>that directly</w:t>
            </w:r>
            <w:r w:rsidRPr="000A03F8">
              <w:rPr>
                <w:sz w:val="18"/>
                <w:szCs w:val="18"/>
              </w:rPr>
              <w:t xml:space="preserve"> inform </w:t>
            </w:r>
            <w:r>
              <w:rPr>
                <w:sz w:val="18"/>
                <w:szCs w:val="18"/>
              </w:rPr>
              <w:t>off seasons</w:t>
            </w:r>
            <w:r w:rsidRPr="000A03F8">
              <w:rPr>
                <w:sz w:val="18"/>
                <w:szCs w:val="18"/>
              </w:rPr>
              <w:t xml:space="preserve">. The </w:t>
            </w:r>
            <w:r>
              <w:rPr>
                <w:sz w:val="18"/>
                <w:szCs w:val="18"/>
              </w:rPr>
              <w:t>National Fisheries Chart</w:t>
            </w:r>
            <w:r w:rsidRPr="000A03F8">
              <w:rPr>
                <w:sz w:val="18"/>
                <w:szCs w:val="18"/>
              </w:rPr>
              <w:t xml:space="preserve"> also provides periodic updates and diagnostic information that can be used to evaluate parts of the management system</w:t>
            </w:r>
            <w:r>
              <w:rPr>
                <w:sz w:val="18"/>
                <w:szCs w:val="18"/>
              </w:rPr>
              <w:t>. In addition, the</w:t>
            </w:r>
            <w:r w:rsidRPr="000A03F8">
              <w:rPr>
                <w:sz w:val="18"/>
                <w:szCs w:val="18"/>
              </w:rPr>
              <w:t xml:space="preserve"> NOM-039</w:t>
            </w:r>
            <w:r>
              <w:rPr>
                <w:sz w:val="18"/>
                <w:szCs w:val="18"/>
              </w:rPr>
              <w:t>,</w:t>
            </w:r>
            <w:r w:rsidRPr="000A03F8">
              <w:rPr>
                <w:sz w:val="18"/>
                <w:szCs w:val="18"/>
              </w:rPr>
              <w:t xml:space="preserve"> which undergo periodic review by </w:t>
            </w:r>
            <w:r>
              <w:rPr>
                <w:sz w:val="18"/>
                <w:szCs w:val="18"/>
              </w:rPr>
              <w:t>managers and stakeholders</w:t>
            </w:r>
            <w:r w:rsidRPr="000A03F8">
              <w:rPr>
                <w:sz w:val="18"/>
                <w:szCs w:val="18"/>
              </w:rPr>
              <w:t xml:space="preserve"> demonstrate</w:t>
            </w:r>
            <w:r>
              <w:rPr>
                <w:sz w:val="18"/>
                <w:szCs w:val="18"/>
              </w:rPr>
              <w:t xml:space="preserve">s </w:t>
            </w:r>
            <w:r w:rsidRPr="000A03F8">
              <w:rPr>
                <w:sz w:val="18"/>
                <w:szCs w:val="18"/>
              </w:rPr>
              <w:t>that the fishery-specific management system is formally reviewed and updated. These processes show responsiveness to biological, social, and economic concerns raised by stakeholders.</w:t>
            </w:r>
          </w:p>
          <w:p w14:paraId="51E26D70" w14:textId="77777777" w:rsidR="000A03F8" w:rsidRDefault="000A03F8" w:rsidP="000A03F8">
            <w:pPr>
              <w:rPr>
                <w:sz w:val="18"/>
                <w:szCs w:val="18"/>
              </w:rPr>
            </w:pPr>
          </w:p>
          <w:p w14:paraId="179512FD" w14:textId="77777777" w:rsidR="000A03F8" w:rsidRDefault="000A03F8" w:rsidP="000A03F8">
            <w:pPr>
              <w:rPr>
                <w:sz w:val="18"/>
                <w:szCs w:val="18"/>
              </w:rPr>
            </w:pPr>
            <w:r w:rsidRPr="000A03F8">
              <w:rPr>
                <w:sz w:val="18"/>
                <w:szCs w:val="18"/>
              </w:rPr>
              <w:t xml:space="preserve">However, while the system allows for periodic evaluation and regulatory amendments, the timeliness and systematic use of evaluation results is variable. </w:t>
            </w:r>
            <w:r>
              <w:rPr>
                <w:sz w:val="18"/>
                <w:szCs w:val="18"/>
              </w:rPr>
              <w:t xml:space="preserve">Also, </w:t>
            </w:r>
            <w:r w:rsidRPr="000A03F8">
              <w:rPr>
                <w:sz w:val="18"/>
                <w:szCs w:val="18"/>
              </w:rPr>
              <w:t xml:space="preserve">evidence of a </w:t>
            </w:r>
            <w:r w:rsidRPr="000A03F8">
              <w:rPr>
                <w:sz w:val="18"/>
                <w:szCs w:val="18"/>
              </w:rPr>
              <w:lastRenderedPageBreak/>
              <w:t>comprehensive evaluation framework that systematically reviews all parts of the fishery- specific management system</w:t>
            </w:r>
            <w:r>
              <w:rPr>
                <w:sz w:val="18"/>
                <w:szCs w:val="18"/>
              </w:rPr>
              <w:t xml:space="preserve"> is lacking. </w:t>
            </w:r>
          </w:p>
          <w:p w14:paraId="4DD29844" w14:textId="77777777" w:rsidR="000A03F8" w:rsidRDefault="000A03F8" w:rsidP="000A03F8">
            <w:pPr>
              <w:rPr>
                <w:sz w:val="18"/>
                <w:szCs w:val="18"/>
              </w:rPr>
            </w:pPr>
          </w:p>
          <w:p w14:paraId="5B895F45" w14:textId="7BA6ED7C" w:rsidR="003260CB" w:rsidRDefault="000A03F8" w:rsidP="000A03F8">
            <w:r>
              <w:rPr>
                <w:sz w:val="18"/>
                <w:szCs w:val="18"/>
              </w:rPr>
              <w:t>Overall,</w:t>
            </w:r>
            <w:r w:rsidRPr="000A03F8">
              <w:rPr>
                <w:sz w:val="18"/>
                <w:szCs w:val="18"/>
              </w:rPr>
              <w:t xml:space="preserve"> SG60 and SG80 are met: the fishery-specific management system is regularly reviewed and there is some evidence results are used. </w:t>
            </w:r>
            <w:r>
              <w:rPr>
                <w:sz w:val="18"/>
                <w:szCs w:val="18"/>
              </w:rPr>
              <w:t>However, n</w:t>
            </w:r>
            <w:r w:rsidR="003260CB">
              <w:rPr>
                <w:sz w:val="18"/>
                <w:szCs w:val="18"/>
              </w:rPr>
              <w:t>o comprehensive evaluation of all parts; feedback loops</w:t>
            </w:r>
            <w:r>
              <w:rPr>
                <w:sz w:val="18"/>
                <w:szCs w:val="18"/>
              </w:rPr>
              <w:t xml:space="preserve"> are</w:t>
            </w:r>
            <w:r w:rsidR="003260CB">
              <w:rPr>
                <w:sz w:val="18"/>
                <w:szCs w:val="18"/>
              </w:rPr>
              <w:t xml:space="preserve"> not consistently documented</w:t>
            </w:r>
            <w:r>
              <w:rPr>
                <w:sz w:val="18"/>
                <w:szCs w:val="18"/>
              </w:rPr>
              <w:t xml:space="preserve"> for these reasons</w:t>
            </w:r>
            <w:r w:rsidR="003260CB">
              <w:rPr>
                <w:sz w:val="18"/>
                <w:szCs w:val="18"/>
              </w:rPr>
              <w:t xml:space="preserve"> SG100 </w:t>
            </w:r>
            <w:r>
              <w:rPr>
                <w:sz w:val="18"/>
                <w:szCs w:val="18"/>
              </w:rPr>
              <w:t>is n</w:t>
            </w:r>
            <w:r w:rsidR="003260CB">
              <w:rPr>
                <w:sz w:val="18"/>
                <w:szCs w:val="18"/>
              </w:rPr>
              <w:t>ot met.</w:t>
            </w:r>
          </w:p>
        </w:tc>
      </w:tr>
    </w:tbl>
    <w:p w14:paraId="7F51F578" w14:textId="46C49FE5" w:rsidR="00695D3F" w:rsidRDefault="00000000">
      <w:pPr>
        <w:pBdr>
          <w:bottom w:val="single" w:sz="6" w:space="1" w:color="2E75B6"/>
        </w:pBdr>
        <w:spacing w:before="200" w:after="80"/>
        <w:rPr>
          <w:b/>
          <w:bCs/>
          <w:color w:val="auto"/>
          <w:sz w:val="24"/>
          <w:szCs w:val="24"/>
        </w:rPr>
      </w:pPr>
      <w:r w:rsidRPr="00EC3E28">
        <w:rPr>
          <w:b/>
          <w:bCs/>
          <w:color w:val="auto"/>
          <w:sz w:val="24"/>
          <w:szCs w:val="24"/>
        </w:rPr>
        <w:lastRenderedPageBreak/>
        <w:t xml:space="preserve">Environmental </w:t>
      </w:r>
      <w:r w:rsidR="002F6D1E">
        <w:rPr>
          <w:b/>
          <w:bCs/>
          <w:color w:val="auto"/>
          <w:sz w:val="24"/>
          <w:szCs w:val="24"/>
        </w:rPr>
        <w:t>w</w:t>
      </w:r>
      <w:r w:rsidRPr="00EC3E28">
        <w:rPr>
          <w:b/>
          <w:bCs/>
          <w:color w:val="auto"/>
          <w:sz w:val="24"/>
          <w:szCs w:val="24"/>
        </w:rPr>
        <w:t xml:space="preserve">orkplan </w:t>
      </w:r>
      <w:r w:rsidR="002F6D1E">
        <w:rPr>
          <w:b/>
          <w:bCs/>
          <w:color w:val="auto"/>
          <w:sz w:val="24"/>
          <w:szCs w:val="24"/>
        </w:rPr>
        <w:t>r</w:t>
      </w:r>
      <w:r w:rsidRPr="00EC3E28">
        <w:rPr>
          <w:b/>
          <w:bCs/>
          <w:color w:val="auto"/>
          <w:sz w:val="24"/>
          <w:szCs w:val="24"/>
        </w:rPr>
        <w:t>esults</w:t>
      </w:r>
    </w:p>
    <w:tbl>
      <w:tblPr>
        <w:tblW w:w="13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29"/>
        <w:gridCol w:w="2160"/>
        <w:gridCol w:w="2070"/>
        <w:gridCol w:w="7020"/>
      </w:tblGrid>
      <w:tr w:rsidR="00695D3F" w14:paraId="3D948B5A" w14:textId="77777777" w:rsidTr="00E277E2">
        <w:trPr>
          <w:tblHeader/>
        </w:trPr>
        <w:tc>
          <w:tcPr>
            <w:tcW w:w="2429"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14:paraId="0642FE00" w14:textId="77777777" w:rsidR="00695D3F" w:rsidRDefault="00000000" w:rsidP="00EC3E28">
            <w:pPr>
              <w:jc w:val="center"/>
            </w:pPr>
            <w:r>
              <w:rPr>
                <w:b/>
                <w:bCs/>
                <w:color w:val="FFFFFF"/>
                <w:sz w:val="18"/>
                <w:szCs w:val="18"/>
              </w:rPr>
              <w:t>Result / Progress</w:t>
            </w:r>
          </w:p>
        </w:tc>
        <w:tc>
          <w:tcPr>
            <w:tcW w:w="216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14:paraId="5316EDC9" w14:textId="77777777" w:rsidR="00695D3F" w:rsidRDefault="00000000" w:rsidP="00EC3E28">
            <w:pPr>
              <w:jc w:val="center"/>
            </w:pPr>
            <w:r>
              <w:rPr>
                <w:b/>
                <w:bCs/>
                <w:color w:val="FFFFFF"/>
                <w:sz w:val="18"/>
                <w:szCs w:val="18"/>
              </w:rPr>
              <w:t>Related Workplan Action</w:t>
            </w:r>
          </w:p>
        </w:tc>
        <w:tc>
          <w:tcPr>
            <w:tcW w:w="207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14:paraId="31AD232B" w14:textId="77777777" w:rsidR="00695D3F" w:rsidRDefault="00000000" w:rsidP="00EC3E28">
            <w:pPr>
              <w:jc w:val="center"/>
            </w:pPr>
            <w:r>
              <w:rPr>
                <w:b/>
                <w:bCs/>
                <w:color w:val="FFFFFF"/>
                <w:sz w:val="18"/>
                <w:szCs w:val="18"/>
              </w:rPr>
              <w:t>Related MSC PIs</w:t>
            </w:r>
          </w:p>
        </w:tc>
        <w:tc>
          <w:tcPr>
            <w:tcW w:w="7020" w:type="dxa"/>
            <w:tcBorders>
              <w:top w:val="single" w:sz="1" w:space="0" w:color="2E75B6"/>
              <w:left w:val="single" w:sz="1" w:space="0" w:color="2E75B6"/>
              <w:bottom w:val="single" w:sz="1" w:space="0" w:color="2E75B6"/>
              <w:right w:val="single" w:sz="1" w:space="0" w:color="2E75B6"/>
            </w:tcBorders>
            <w:shd w:val="clear" w:color="auto" w:fill="2E75B6"/>
            <w:tcMar>
              <w:top w:w="80" w:type="dxa"/>
              <w:left w:w="120" w:type="dxa"/>
              <w:bottom w:w="80" w:type="dxa"/>
              <w:right w:w="120" w:type="dxa"/>
            </w:tcMar>
            <w:vAlign w:val="center"/>
          </w:tcPr>
          <w:p w14:paraId="5A2AF8B8" w14:textId="77777777" w:rsidR="00695D3F" w:rsidRDefault="00000000" w:rsidP="00EC3E28">
            <w:pPr>
              <w:jc w:val="center"/>
            </w:pPr>
            <w:r>
              <w:rPr>
                <w:b/>
                <w:bCs/>
                <w:color w:val="FFFFFF"/>
                <w:sz w:val="18"/>
                <w:szCs w:val="18"/>
              </w:rPr>
              <w:t>Explanation</w:t>
            </w:r>
          </w:p>
        </w:tc>
      </w:tr>
      <w:tr w:rsidR="00695D3F" w14:paraId="3ACA91B1" w14:textId="77777777" w:rsidTr="00E277E2">
        <w:tc>
          <w:tcPr>
            <w:tcW w:w="24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6B2D3BD" w14:textId="77777777" w:rsidR="00695D3F" w:rsidRDefault="00000000" w:rsidP="00EC3E28">
            <w:pPr>
              <w:jc w:val="center"/>
            </w:pPr>
            <w:r>
              <w:rPr>
                <w:sz w:val="18"/>
                <w:szCs w:val="18"/>
              </w:rPr>
              <w:t>Stock assessment updated with new reference points; peer-reviewed methodology confirmed.</w:t>
            </w:r>
          </w:p>
        </w:tc>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571BD8C" w14:textId="77777777" w:rsidR="00695D3F" w:rsidRDefault="00000000" w:rsidP="00EC3E28">
            <w:pPr>
              <w:jc w:val="center"/>
            </w:pPr>
            <w:r>
              <w:rPr>
                <w:sz w:val="18"/>
                <w:szCs w:val="18"/>
              </w:rPr>
              <w:t>Action 1 — Harvest Strategy (Tasks 1.1–1.4 complete; 1.5–1.7 ongoing)</w:t>
            </w:r>
          </w:p>
        </w:tc>
        <w:tc>
          <w:tcPr>
            <w:tcW w:w="207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7816D10" w14:textId="77777777" w:rsidR="00695D3F" w:rsidRDefault="00000000" w:rsidP="00EC3E28">
            <w:pPr>
              <w:jc w:val="center"/>
            </w:pPr>
            <w:r>
              <w:rPr>
                <w:sz w:val="18"/>
                <w:szCs w:val="18"/>
              </w:rPr>
              <w:t>1.1.1, 1.1.2, 1.2.1, 1.2.2, 1.2.3, 1.2.4</w:t>
            </w:r>
          </w:p>
        </w:tc>
        <w:tc>
          <w:tcPr>
            <w:tcW w:w="70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B41EA69" w14:textId="77777777" w:rsidR="00695D3F" w:rsidRDefault="00000000" w:rsidP="00EC3E28">
            <w:pPr>
              <w:jc w:val="center"/>
            </w:pPr>
            <w:r>
              <w:rPr>
                <w:sz w:val="18"/>
                <w:szCs w:val="18"/>
              </w:rPr>
              <w:t>Balmori-Ramirez et al. (2024) updated stock assessment published applying Catch-MSY and dynamic biomass models. IMIPAS (2024a, 2024b) technical reports for Sonora and Nayarit estimate B/BMSY ≈ 1.0 and F/FMSY ≤ 1.0. Reference points defined but not yet formally adopted into management regulations. HCRs remain generic and conceptual (CBA = Biomass × FMSY × Buffer) without automated rule-based triggers. Promoting HCRs to fishery participants (Task 1.7) not yet completed.</w:t>
            </w:r>
          </w:p>
        </w:tc>
      </w:tr>
      <w:tr w:rsidR="00695D3F" w14:paraId="1A41C52A" w14:textId="77777777" w:rsidTr="00E277E2">
        <w:tc>
          <w:tcPr>
            <w:tcW w:w="24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843FB16" w14:textId="77777777" w:rsidR="00695D3F" w:rsidRDefault="00000000" w:rsidP="00EC3E28">
            <w:pPr>
              <w:jc w:val="center"/>
            </w:pPr>
            <w:r>
              <w:rPr>
                <w:sz w:val="18"/>
                <w:szCs w:val="18"/>
              </w:rPr>
              <w:t>Data collection protocol agreed; limited monitoring implemented at selected sites.</w:t>
            </w:r>
          </w:p>
        </w:tc>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042EEB" w14:textId="77777777" w:rsidR="00695D3F" w:rsidRDefault="00000000" w:rsidP="00EC3E28">
            <w:pPr>
              <w:jc w:val="center"/>
            </w:pPr>
            <w:r>
              <w:rPr>
                <w:sz w:val="18"/>
                <w:szCs w:val="18"/>
              </w:rPr>
              <w:t>Action 2 — Data Collection Program (partial completion)</w:t>
            </w:r>
          </w:p>
        </w:tc>
        <w:tc>
          <w:tcPr>
            <w:tcW w:w="207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288C27D" w14:textId="77777777" w:rsidR="00695D3F" w:rsidRDefault="00000000" w:rsidP="00EC3E28">
            <w:pPr>
              <w:jc w:val="center"/>
            </w:pPr>
            <w:r>
              <w:rPr>
                <w:sz w:val="18"/>
                <w:szCs w:val="18"/>
              </w:rPr>
              <w:t>1.2.3, 2.1.3, 2.2.3, 2.3.3, 2.4.3, 2.5.3</w:t>
            </w:r>
          </w:p>
        </w:tc>
        <w:tc>
          <w:tcPr>
            <w:tcW w:w="70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39A1C71" w14:textId="77777777" w:rsidR="00695D3F" w:rsidRDefault="00000000" w:rsidP="00EC3E28">
            <w:pPr>
              <w:jc w:val="center"/>
            </w:pPr>
            <w:r>
              <w:rPr>
                <w:sz w:val="18"/>
                <w:szCs w:val="18"/>
              </w:rPr>
              <w:t>A standardized data collection methodology was agreed during the 2019 workshop. Scattered monitoring in some locations (e.g., Puerto Peñasco bycatch monitoring report, Loaiza-Villanueva 2020). However, a continuous, systematic, UoA-wide fishery-dependent and fishery-independent data collection program has not been fully implemented. Key gaps remain: no representative bycatch data across the whole UoA, no ghost fishing monitoring, no fishery-independent abundance indices. This is the most critical outstanding action for achieving ≥80 scores across multiple PIs.</w:t>
            </w:r>
          </w:p>
        </w:tc>
      </w:tr>
      <w:tr w:rsidR="00695D3F" w14:paraId="4CC6A0AE" w14:textId="77777777" w:rsidTr="00E277E2">
        <w:tc>
          <w:tcPr>
            <w:tcW w:w="24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83592E1" w14:textId="77777777" w:rsidR="00695D3F" w:rsidRDefault="00000000" w:rsidP="00EC3E28">
            <w:pPr>
              <w:jc w:val="center"/>
            </w:pPr>
            <w:r>
              <w:rPr>
                <w:sz w:val="18"/>
                <w:szCs w:val="18"/>
              </w:rPr>
              <w:t>Pink snail confirmed as primary main species; stock status evaluated. Biodegradable trap promotion initiated.</w:t>
            </w:r>
          </w:p>
        </w:tc>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A50AB89" w14:textId="77777777" w:rsidR="00695D3F" w:rsidRDefault="00000000" w:rsidP="00EC3E28">
            <w:pPr>
              <w:jc w:val="center"/>
            </w:pPr>
            <w:r>
              <w:rPr>
                <w:sz w:val="18"/>
                <w:szCs w:val="18"/>
              </w:rPr>
              <w:t>Action 3 — Ecosystem Impacts (partial completion; Tasks 3.3–3.4 ongoing)</w:t>
            </w:r>
          </w:p>
        </w:tc>
        <w:tc>
          <w:tcPr>
            <w:tcW w:w="207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3D192E4" w14:textId="77777777" w:rsidR="00695D3F" w:rsidRDefault="00000000" w:rsidP="00EC3E28">
            <w:pPr>
              <w:jc w:val="center"/>
            </w:pPr>
            <w:r>
              <w:rPr>
                <w:sz w:val="18"/>
                <w:szCs w:val="18"/>
              </w:rPr>
              <w:t>2.1.1, 2.2.1, 2.2.2, 2.3.1, 2.4.1, 2.5.1, 2.5.2</w:t>
            </w:r>
          </w:p>
        </w:tc>
        <w:tc>
          <w:tcPr>
            <w:tcW w:w="70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9FD12CB" w14:textId="77777777" w:rsidR="00695D3F" w:rsidRDefault="00000000" w:rsidP="00EC3E28">
            <w:pPr>
              <w:jc w:val="center"/>
            </w:pPr>
            <w:r>
              <w:rPr>
                <w:sz w:val="18"/>
                <w:szCs w:val="18"/>
              </w:rPr>
              <w:t xml:space="preserve">Primary main species confirmed as Chinese pink snail (P. erythrostomus); FIP stock analysis (Morales-Azpeitia, 2025) and IMIPAS reports demonstrate stock is around MSY. Minor primary species include C. mysticetus (MSC certified) and M. </w:t>
            </w:r>
            <w:proofErr w:type="spellStart"/>
            <w:r>
              <w:rPr>
                <w:sz w:val="18"/>
                <w:szCs w:val="18"/>
              </w:rPr>
              <w:t>nigritus</w:t>
            </w:r>
            <w:proofErr w:type="spellEnd"/>
            <w:r>
              <w:rPr>
                <w:sz w:val="18"/>
                <w:szCs w:val="18"/>
              </w:rPr>
              <w:t xml:space="preserve"> (status undetermined in Sinaloa). Collapsible trap design promotes biodegradable materials. Ghost fishing monitoring program not established. Formal evaluation of impacts on ETP species (seahorse) and habitats (spatial overlap, compliance with protected area regulations) not completed. A trophic model of the fishery's ecosystem has not been developed.</w:t>
            </w:r>
          </w:p>
        </w:tc>
      </w:tr>
      <w:tr w:rsidR="00695D3F" w14:paraId="04071956" w14:textId="77777777" w:rsidTr="00E277E2">
        <w:tc>
          <w:tcPr>
            <w:tcW w:w="2429"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B0F101E" w14:textId="77777777" w:rsidR="00695D3F" w:rsidRDefault="00000000" w:rsidP="00EC3E28">
            <w:pPr>
              <w:jc w:val="center"/>
            </w:pPr>
            <w:r>
              <w:rPr>
                <w:sz w:val="18"/>
                <w:szCs w:val="18"/>
              </w:rPr>
              <w:t>Compliance and enforcement: systematic non-compliance identified as critical barrier.</w:t>
            </w:r>
          </w:p>
        </w:tc>
        <w:tc>
          <w:tcPr>
            <w:tcW w:w="2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BEA5818" w14:textId="77777777" w:rsidR="00695D3F" w:rsidRDefault="00000000" w:rsidP="00EC3E28">
            <w:pPr>
              <w:jc w:val="center"/>
            </w:pPr>
            <w:r>
              <w:rPr>
                <w:sz w:val="18"/>
                <w:szCs w:val="18"/>
              </w:rPr>
              <w:t>Cross-cutting (not an explicit workplan action — new action recommended)</w:t>
            </w:r>
          </w:p>
        </w:tc>
        <w:tc>
          <w:tcPr>
            <w:tcW w:w="207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8425AAC" w14:textId="77777777" w:rsidR="00695D3F" w:rsidRDefault="00000000" w:rsidP="00EC3E28">
            <w:pPr>
              <w:jc w:val="center"/>
            </w:pPr>
            <w:r>
              <w:rPr>
                <w:sz w:val="18"/>
                <w:szCs w:val="18"/>
              </w:rPr>
              <w:t>3.2.3</w:t>
            </w:r>
          </w:p>
        </w:tc>
        <w:tc>
          <w:tcPr>
            <w:tcW w:w="70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49D5D09" w14:textId="77777777" w:rsidR="00695D3F" w:rsidRDefault="00000000" w:rsidP="00EC3E28">
            <w:pPr>
              <w:jc w:val="center"/>
            </w:pPr>
            <w:r>
              <w:rPr>
                <w:sz w:val="18"/>
                <w:szCs w:val="18"/>
              </w:rPr>
              <w:t xml:space="preserve">SCS scored PI 3.2.3 (Compliance &amp; Enforcement) at &lt;60 — the only PI below the SG60 threshold. Evidence includes widespread IUU fishing: landing of undersized crabs, exceeding trap limits, fishing during closures. Government officials report current production at ~60% of historical levels partly due to IUU activity. CONAPESCA Sinaloa data (Jan 2024–Sep 2025) shows active enforcement (895 aquatic patrols, 705 inspection reports, 2,990 gears seized) but </w:t>
            </w:r>
            <w:proofErr w:type="spellStart"/>
            <w:r>
              <w:rPr>
                <w:sz w:val="18"/>
                <w:szCs w:val="18"/>
              </w:rPr>
              <w:t>jaiba</w:t>
            </w:r>
            <w:proofErr w:type="spellEnd"/>
            <w:r>
              <w:rPr>
                <w:sz w:val="18"/>
                <w:szCs w:val="18"/>
              </w:rPr>
              <w:t>-specific compliance data are absent. A dedicated compliance improvement action is recommended as a new FIP priority.</w:t>
            </w:r>
          </w:p>
        </w:tc>
      </w:tr>
    </w:tbl>
    <w:p w14:paraId="4B9A7C37" w14:textId="77777777" w:rsidR="00695D3F" w:rsidRPr="00EC3E28" w:rsidRDefault="00000000">
      <w:pPr>
        <w:pBdr>
          <w:bottom w:val="single" w:sz="6" w:space="1" w:color="2E75B6"/>
        </w:pBdr>
        <w:spacing w:before="200" w:after="80"/>
        <w:rPr>
          <w:color w:val="auto"/>
        </w:rPr>
      </w:pPr>
      <w:r w:rsidRPr="00EC3E28">
        <w:rPr>
          <w:b/>
          <w:bCs/>
          <w:color w:val="auto"/>
          <w:sz w:val="24"/>
          <w:szCs w:val="24"/>
        </w:rPr>
        <w:lastRenderedPageBreak/>
        <w:t>Recommendations</w:t>
      </w:r>
    </w:p>
    <w:p w14:paraId="009C373B" w14:textId="56B0226A" w:rsidR="00695D3F" w:rsidRDefault="009E1402">
      <w:pPr>
        <w:spacing w:before="100" w:after="100"/>
      </w:pPr>
      <w:r>
        <w:t>Priority actions for the FIP:</w:t>
      </w:r>
    </w:p>
    <w:p w14:paraId="03FF7F78" w14:textId="0AE36EE1" w:rsidR="00695D3F" w:rsidRPr="009D7157" w:rsidRDefault="00000000">
      <w:pPr>
        <w:pStyle w:val="Ttulo2"/>
        <w:rPr>
          <w:color w:val="000000" w:themeColor="text1"/>
          <w:sz w:val="20"/>
          <w:szCs w:val="20"/>
        </w:rPr>
      </w:pPr>
      <w:r w:rsidRPr="009D7157">
        <w:rPr>
          <w:color w:val="000000" w:themeColor="text1"/>
          <w:sz w:val="20"/>
          <w:szCs w:val="20"/>
        </w:rPr>
        <w:t xml:space="preserve">Priority 1 — Formalize </w:t>
      </w:r>
      <w:r w:rsidR="009D7157" w:rsidRPr="009D7157">
        <w:rPr>
          <w:color w:val="000000" w:themeColor="text1"/>
          <w:sz w:val="20"/>
          <w:szCs w:val="20"/>
        </w:rPr>
        <w:t>HCR</w:t>
      </w:r>
      <w:r w:rsidRPr="009D7157">
        <w:rPr>
          <w:color w:val="000000" w:themeColor="text1"/>
          <w:sz w:val="20"/>
          <w:szCs w:val="20"/>
        </w:rPr>
        <w:t xml:space="preserve"> and </w:t>
      </w:r>
      <w:r w:rsidR="009D7157" w:rsidRPr="009D7157">
        <w:rPr>
          <w:color w:val="000000" w:themeColor="text1"/>
          <w:sz w:val="20"/>
          <w:szCs w:val="20"/>
        </w:rPr>
        <w:t>seek the a</w:t>
      </w:r>
      <w:r w:rsidRPr="009D7157">
        <w:rPr>
          <w:color w:val="000000" w:themeColor="text1"/>
          <w:sz w:val="20"/>
          <w:szCs w:val="20"/>
        </w:rPr>
        <w:t>dopt</w:t>
      </w:r>
      <w:r w:rsidR="009D7157" w:rsidRPr="009D7157">
        <w:rPr>
          <w:color w:val="000000" w:themeColor="text1"/>
          <w:sz w:val="20"/>
          <w:szCs w:val="20"/>
        </w:rPr>
        <w:t>ion of</w:t>
      </w:r>
      <w:r w:rsidRPr="009D7157">
        <w:rPr>
          <w:color w:val="000000" w:themeColor="text1"/>
          <w:sz w:val="20"/>
          <w:szCs w:val="20"/>
        </w:rPr>
        <w:t xml:space="preserve"> </w:t>
      </w:r>
      <w:r w:rsidR="009D7157" w:rsidRPr="009D7157">
        <w:rPr>
          <w:color w:val="000000" w:themeColor="text1"/>
          <w:sz w:val="20"/>
          <w:szCs w:val="20"/>
        </w:rPr>
        <w:t>r</w:t>
      </w:r>
      <w:r w:rsidRPr="009D7157">
        <w:rPr>
          <w:color w:val="000000" w:themeColor="text1"/>
          <w:sz w:val="20"/>
          <w:szCs w:val="20"/>
        </w:rPr>
        <w:t xml:space="preserve">eference </w:t>
      </w:r>
      <w:r w:rsidR="009D7157" w:rsidRPr="009D7157">
        <w:rPr>
          <w:color w:val="000000" w:themeColor="text1"/>
          <w:sz w:val="20"/>
          <w:szCs w:val="20"/>
        </w:rPr>
        <w:t>p</w:t>
      </w:r>
      <w:r w:rsidRPr="009D7157">
        <w:rPr>
          <w:color w:val="000000" w:themeColor="text1"/>
          <w:sz w:val="20"/>
          <w:szCs w:val="20"/>
        </w:rPr>
        <w:t>oints (PI 1.2.1, 1.2.2)</w:t>
      </w:r>
    </w:p>
    <w:p w14:paraId="7BC9D870" w14:textId="618BB648" w:rsidR="00695D3F" w:rsidRDefault="009D7157">
      <w:pPr>
        <w:spacing w:before="100" w:after="100"/>
      </w:pPr>
      <w:r>
        <w:t>Transition from conceptual reference points to formally adopted, pre-agreed harvest control rules embedded in regulatory instruments. Specific recommendations:</w:t>
      </w:r>
    </w:p>
    <w:p w14:paraId="09812EB9" w14:textId="4E8D30DE" w:rsidR="00695D3F" w:rsidRDefault="00000000" w:rsidP="009D7157">
      <w:pPr>
        <w:pStyle w:val="Prrafodelista"/>
        <w:numPr>
          <w:ilvl w:val="0"/>
          <w:numId w:val="1"/>
        </w:numPr>
        <w:spacing w:before="60" w:after="60"/>
        <w:ind w:left="450" w:hanging="450"/>
      </w:pPr>
      <w:r>
        <w:t xml:space="preserve">Work with </w:t>
      </w:r>
      <w:r w:rsidR="009E1402">
        <w:t>managers</w:t>
      </w:r>
      <w:r>
        <w:t xml:space="preserve"> to incorporate the Balmori-Ramirez et al. (2024) BMSY, FMSY reference points into the CNP and/or Fishery Management Plan update.</w:t>
      </w:r>
    </w:p>
    <w:p w14:paraId="3BEA2BD3" w14:textId="199886FF" w:rsidR="00695D3F" w:rsidRDefault="00000000" w:rsidP="009D7157">
      <w:pPr>
        <w:pStyle w:val="Prrafodelista"/>
        <w:numPr>
          <w:ilvl w:val="0"/>
          <w:numId w:val="1"/>
        </w:numPr>
        <w:spacing w:before="60" w:after="60"/>
        <w:ind w:left="450" w:hanging="450"/>
      </w:pPr>
      <w:r>
        <w:t>Define explicit HCRs: specify the management actions triggered if CPUE, biomass, or catch indices fall below defined thresholds (e.g., TAC reduction, effort freeze, emergency closure).</w:t>
      </w:r>
    </w:p>
    <w:p w14:paraId="21A01578" w14:textId="77777777" w:rsidR="00695D3F" w:rsidRDefault="00000000" w:rsidP="009D7157">
      <w:pPr>
        <w:pStyle w:val="Prrafodelista"/>
        <w:numPr>
          <w:ilvl w:val="0"/>
          <w:numId w:val="1"/>
        </w:numPr>
        <w:spacing w:before="60" w:after="60"/>
        <w:ind w:left="450" w:hanging="450"/>
      </w:pPr>
      <w:r>
        <w:t>Commission an independent external peer review of the 2024 stock assessment to advance PI 1.2.4 toward SG80.</w:t>
      </w:r>
    </w:p>
    <w:p w14:paraId="156471F1" w14:textId="77777777" w:rsidR="00695D3F" w:rsidRDefault="00000000" w:rsidP="009D7157">
      <w:pPr>
        <w:pStyle w:val="Prrafodelista"/>
        <w:numPr>
          <w:ilvl w:val="0"/>
          <w:numId w:val="1"/>
        </w:numPr>
        <w:spacing w:before="60" w:after="60"/>
        <w:ind w:left="450" w:hanging="450"/>
      </w:pPr>
      <w:r>
        <w:t>Initiate a Management Strategy Evaluation (MSE) or simulation testing exercise to demonstrate the harvest strategy's robustness to uncertainty.</w:t>
      </w:r>
    </w:p>
    <w:p w14:paraId="4973D9C1" w14:textId="26297E54" w:rsidR="00695D3F" w:rsidRPr="009D7157" w:rsidRDefault="00000000">
      <w:pPr>
        <w:pStyle w:val="Ttulo2"/>
        <w:rPr>
          <w:color w:val="000000" w:themeColor="text1"/>
          <w:sz w:val="20"/>
          <w:szCs w:val="20"/>
        </w:rPr>
      </w:pPr>
      <w:r w:rsidRPr="009D7157">
        <w:rPr>
          <w:color w:val="000000" w:themeColor="text1"/>
          <w:sz w:val="20"/>
          <w:szCs w:val="20"/>
        </w:rPr>
        <w:t xml:space="preserve">Priority 2 </w:t>
      </w:r>
      <w:r w:rsidR="009D7157" w:rsidRPr="009D7157">
        <w:rPr>
          <w:color w:val="000000" w:themeColor="text1"/>
          <w:sz w:val="20"/>
          <w:szCs w:val="20"/>
        </w:rPr>
        <w:t>Expand the</w:t>
      </w:r>
      <w:r w:rsidRPr="009D7157">
        <w:rPr>
          <w:color w:val="000000" w:themeColor="text1"/>
          <w:sz w:val="20"/>
          <w:szCs w:val="20"/>
        </w:rPr>
        <w:t xml:space="preserve"> </w:t>
      </w:r>
      <w:r w:rsidR="009D7157" w:rsidRPr="009D7157">
        <w:rPr>
          <w:color w:val="000000" w:themeColor="text1"/>
          <w:sz w:val="20"/>
          <w:szCs w:val="20"/>
        </w:rPr>
        <w:t>d</w:t>
      </w:r>
      <w:r w:rsidRPr="009D7157">
        <w:rPr>
          <w:color w:val="000000" w:themeColor="text1"/>
          <w:sz w:val="20"/>
          <w:szCs w:val="20"/>
        </w:rPr>
        <w:t xml:space="preserve">ata </w:t>
      </w:r>
      <w:r w:rsidR="009D7157" w:rsidRPr="009D7157">
        <w:rPr>
          <w:color w:val="000000" w:themeColor="text1"/>
          <w:sz w:val="20"/>
          <w:szCs w:val="20"/>
        </w:rPr>
        <w:t>c</w:t>
      </w:r>
      <w:r w:rsidRPr="009D7157">
        <w:rPr>
          <w:color w:val="000000" w:themeColor="text1"/>
          <w:sz w:val="20"/>
          <w:szCs w:val="20"/>
        </w:rPr>
        <w:t xml:space="preserve">ollection </w:t>
      </w:r>
      <w:r w:rsidR="009D7157" w:rsidRPr="009D7157">
        <w:rPr>
          <w:color w:val="000000" w:themeColor="text1"/>
          <w:sz w:val="20"/>
          <w:szCs w:val="20"/>
        </w:rPr>
        <w:t>p</w:t>
      </w:r>
      <w:r w:rsidRPr="009D7157">
        <w:rPr>
          <w:color w:val="000000" w:themeColor="text1"/>
          <w:sz w:val="20"/>
          <w:szCs w:val="20"/>
        </w:rPr>
        <w:t>rogram (PI 1.2.3, 2.2.3, 2.3.3, 2.4.3, 2.5.3)</w:t>
      </w:r>
    </w:p>
    <w:p w14:paraId="7C75AB95" w14:textId="23FEE8EE" w:rsidR="00695D3F" w:rsidRDefault="00000000">
      <w:pPr>
        <w:spacing w:before="100" w:after="100"/>
      </w:pPr>
      <w:r>
        <w:t xml:space="preserve">The data collection program must be operationalized UoA-wide to address </w:t>
      </w:r>
      <w:r w:rsidR="009D7157">
        <w:t xml:space="preserve">the </w:t>
      </w:r>
      <w:r>
        <w:t>information gap:</w:t>
      </w:r>
    </w:p>
    <w:p w14:paraId="4944779A" w14:textId="35428AF4" w:rsidR="00695D3F" w:rsidRDefault="009E1402" w:rsidP="009D7157">
      <w:pPr>
        <w:pStyle w:val="Prrafodelista"/>
        <w:numPr>
          <w:ilvl w:val="0"/>
          <w:numId w:val="1"/>
        </w:numPr>
        <w:spacing w:before="60" w:after="60"/>
        <w:ind w:left="450" w:hanging="450"/>
      </w:pPr>
      <w:r>
        <w:t>Execute the standardized monitoring protocol across all major production areas in Sonora and Sinaloa, with at-sea observer coverage or fisher logbook systems generating continuous, representative data.</w:t>
      </w:r>
    </w:p>
    <w:p w14:paraId="62AD2E2D" w14:textId="5028DED5" w:rsidR="00695D3F" w:rsidRDefault="00000000" w:rsidP="009D7157">
      <w:pPr>
        <w:pStyle w:val="Prrafodelista"/>
        <w:numPr>
          <w:ilvl w:val="0"/>
          <w:numId w:val="1"/>
        </w:numPr>
        <w:spacing w:before="60" w:after="60"/>
        <w:ind w:left="450" w:hanging="450"/>
      </w:pPr>
      <w:r>
        <w:t>Establish a ghost fishing monitoring program</w:t>
      </w:r>
      <w:r w:rsidR="00E34C28">
        <w:t xml:space="preserve">, collect data regarding gear loss numbers, and </w:t>
      </w:r>
      <w:r>
        <w:t>recovery/retrieval data</w:t>
      </w:r>
      <w:r w:rsidR="008C7D76">
        <w:t>,</w:t>
      </w:r>
      <w:r>
        <w:t xml:space="preserve"> and map overlap</w:t>
      </w:r>
      <w:r w:rsidR="008C7D76">
        <w:t>s</w:t>
      </w:r>
      <w:r>
        <w:t xml:space="preserve"> </w:t>
      </w:r>
      <w:r w:rsidR="008C7D76">
        <w:t>between</w:t>
      </w:r>
      <w:r>
        <w:t xml:space="preserve"> fishing grounds </w:t>
      </w:r>
      <w:r w:rsidR="008C7D76">
        <w:t>and</w:t>
      </w:r>
      <w:r>
        <w:t xml:space="preserve"> sensitive habitats.</w:t>
      </w:r>
    </w:p>
    <w:p w14:paraId="28D16F62" w14:textId="36569A3D" w:rsidR="00695D3F" w:rsidRDefault="00000000" w:rsidP="009D7157">
      <w:pPr>
        <w:pStyle w:val="Prrafodelista"/>
        <w:numPr>
          <w:ilvl w:val="0"/>
          <w:numId w:val="1"/>
        </w:numPr>
        <w:spacing w:before="60" w:after="60"/>
        <w:ind w:left="450" w:hanging="450"/>
      </w:pPr>
      <w:r>
        <w:t xml:space="preserve">Collect GPS-based fishing location data to quantify </w:t>
      </w:r>
      <w:r w:rsidR="008C7D76">
        <w:t xml:space="preserve">the </w:t>
      </w:r>
      <w:r>
        <w:t>spatial extent of gear interaction with habitats.</w:t>
      </w:r>
    </w:p>
    <w:p w14:paraId="05AABFD2" w14:textId="17CBC826" w:rsidR="00695D3F" w:rsidRDefault="00000000" w:rsidP="009D7157">
      <w:pPr>
        <w:pStyle w:val="Prrafodelista"/>
        <w:numPr>
          <w:ilvl w:val="0"/>
          <w:numId w:val="1"/>
        </w:numPr>
        <w:spacing w:before="60" w:after="60"/>
        <w:ind w:left="450" w:hanging="450"/>
      </w:pPr>
      <w:r>
        <w:t>Continue and expand the genetic and metapopulation analys</w:t>
      </w:r>
      <w:r w:rsidR="008C7D76">
        <w:t>e</w:t>
      </w:r>
      <w:r>
        <w:t>s (Sinaloa side) to resolve stock</w:t>
      </w:r>
      <w:r w:rsidR="008C7D76">
        <w:t>-</w:t>
      </w:r>
      <w:r>
        <w:t>structure uncertainties for the harvest strategy.</w:t>
      </w:r>
    </w:p>
    <w:p w14:paraId="028D9E21" w14:textId="4D8D4173" w:rsidR="00695D3F" w:rsidRPr="009D7157" w:rsidRDefault="00000000">
      <w:pPr>
        <w:pStyle w:val="Ttulo2"/>
        <w:rPr>
          <w:color w:val="000000" w:themeColor="text1"/>
          <w:sz w:val="20"/>
          <w:szCs w:val="20"/>
        </w:rPr>
      </w:pPr>
      <w:r w:rsidRPr="009D7157">
        <w:rPr>
          <w:color w:val="000000" w:themeColor="text1"/>
          <w:sz w:val="20"/>
          <w:szCs w:val="20"/>
        </w:rPr>
        <w:t xml:space="preserve">Priority 3 — </w:t>
      </w:r>
      <w:r w:rsidR="009D7157" w:rsidRPr="009D7157">
        <w:rPr>
          <w:color w:val="000000" w:themeColor="text1"/>
          <w:sz w:val="20"/>
          <w:szCs w:val="20"/>
        </w:rPr>
        <w:t>Generate evidence of effective c</w:t>
      </w:r>
      <w:r w:rsidRPr="009D7157">
        <w:rPr>
          <w:color w:val="000000" w:themeColor="text1"/>
          <w:sz w:val="20"/>
          <w:szCs w:val="20"/>
        </w:rPr>
        <w:t xml:space="preserve">ompliance and </w:t>
      </w:r>
      <w:r w:rsidR="009D7157" w:rsidRPr="009D7157">
        <w:rPr>
          <w:color w:val="000000" w:themeColor="text1"/>
          <w:sz w:val="20"/>
          <w:szCs w:val="20"/>
        </w:rPr>
        <w:t>e</w:t>
      </w:r>
      <w:r w:rsidRPr="009D7157">
        <w:rPr>
          <w:color w:val="000000" w:themeColor="text1"/>
          <w:sz w:val="20"/>
          <w:szCs w:val="20"/>
        </w:rPr>
        <w:t>nforcement (PI 3.2.3)</w:t>
      </w:r>
    </w:p>
    <w:p w14:paraId="0DF80C5E" w14:textId="70F9C924" w:rsidR="00695D3F" w:rsidRDefault="00000000">
      <w:pPr>
        <w:spacing w:before="100" w:after="100"/>
      </w:pPr>
      <w:r>
        <w:t>PI 3.2.3 represents the most significant barrier to MSC certification readiness. A dedicated compliance action is recommended:</w:t>
      </w:r>
    </w:p>
    <w:p w14:paraId="7FFF2459" w14:textId="1163CF85" w:rsidR="00695D3F" w:rsidRDefault="00000000" w:rsidP="009D7157">
      <w:pPr>
        <w:pStyle w:val="Prrafodelista"/>
        <w:numPr>
          <w:ilvl w:val="0"/>
          <w:numId w:val="1"/>
        </w:numPr>
        <w:spacing w:before="60" w:after="60"/>
        <w:ind w:left="450" w:hanging="450"/>
      </w:pPr>
      <w:r>
        <w:t>Engage CONAPESCA and SEMAR to develop a</w:t>
      </w:r>
      <w:r w:rsidR="00C77E4A">
        <w:t xml:space="preserve"> fishery</w:t>
      </w:r>
      <w:r>
        <w:t>-specific monitoring, control, and surveillance (MCS) plan with measurable targets and reporting frequency.</w:t>
      </w:r>
    </w:p>
    <w:p w14:paraId="7A2275FF" w14:textId="77777777" w:rsidR="00695D3F" w:rsidRDefault="00000000" w:rsidP="009D7157">
      <w:pPr>
        <w:pStyle w:val="Prrafodelista"/>
        <w:numPr>
          <w:ilvl w:val="0"/>
          <w:numId w:val="1"/>
        </w:numPr>
        <w:spacing w:before="60" w:after="60"/>
        <w:ind w:left="450" w:hanging="450"/>
      </w:pPr>
      <w:r>
        <w:t>Promote and support the formation and operation of community surveillance committees (</w:t>
      </w:r>
      <w:proofErr w:type="spellStart"/>
      <w:r>
        <w:t>vigilancia</w:t>
      </w:r>
      <w:proofErr w:type="spellEnd"/>
      <w:r>
        <w:t xml:space="preserve"> </w:t>
      </w:r>
      <w:proofErr w:type="spellStart"/>
      <w:r>
        <w:t>comunitaria</w:t>
      </w:r>
      <w:proofErr w:type="spellEnd"/>
      <w:r>
        <w:t>) in Kino Bay and other key production regions.</w:t>
      </w:r>
    </w:p>
    <w:p w14:paraId="1715A7A8" w14:textId="486D9F98" w:rsidR="00695D3F" w:rsidRDefault="00000000" w:rsidP="009D7157">
      <w:pPr>
        <w:pStyle w:val="Prrafodelista"/>
        <w:numPr>
          <w:ilvl w:val="0"/>
          <w:numId w:val="1"/>
        </w:numPr>
        <w:spacing w:before="60" w:after="60"/>
        <w:ind w:left="450" w:hanging="450"/>
      </w:pPr>
      <w:r>
        <w:t xml:space="preserve">Establish a traceability system (e.g., electronic logbooks, </w:t>
      </w:r>
      <w:proofErr w:type="spellStart"/>
      <w:r>
        <w:t>Avisos</w:t>
      </w:r>
      <w:proofErr w:type="spellEnd"/>
      <w:r>
        <w:t xml:space="preserve"> de </w:t>
      </w:r>
      <w:proofErr w:type="spellStart"/>
      <w:r>
        <w:t>arribo</w:t>
      </w:r>
      <w:proofErr w:type="spellEnd"/>
      <w:r>
        <w:t xml:space="preserve"> improvements) to generate </w:t>
      </w:r>
      <w:proofErr w:type="spellStart"/>
      <w:r>
        <w:t>jaiba</w:t>
      </w:r>
      <w:proofErr w:type="spellEnd"/>
      <w:r>
        <w:t xml:space="preserve">-specific compliance data </w:t>
      </w:r>
      <w:r w:rsidR="009D7157">
        <w:t>for</w:t>
      </w:r>
      <w:r>
        <w:t xml:space="preserve"> report</w:t>
      </w:r>
      <w:r w:rsidR="009D7157">
        <w:t>ing</w:t>
      </w:r>
      <w:r>
        <w:t xml:space="preserve"> to FisheryProgress.</w:t>
      </w:r>
    </w:p>
    <w:p w14:paraId="34CDA0CA" w14:textId="77777777" w:rsidR="00695D3F" w:rsidRDefault="00000000" w:rsidP="009D7157">
      <w:pPr>
        <w:pStyle w:val="Prrafodelista"/>
        <w:numPr>
          <w:ilvl w:val="0"/>
          <w:numId w:val="1"/>
        </w:numPr>
        <w:spacing w:before="60" w:after="60"/>
        <w:ind w:left="450" w:hanging="450"/>
      </w:pPr>
      <w:r>
        <w:t>Advocate for consistent sanction application and document enforcement outcomes for the FIP record.</w:t>
      </w:r>
    </w:p>
    <w:p w14:paraId="4F9E272B" w14:textId="32C5484B" w:rsidR="00695D3F" w:rsidRPr="009D7157" w:rsidRDefault="00000000">
      <w:pPr>
        <w:pStyle w:val="Ttulo2"/>
        <w:rPr>
          <w:color w:val="000000" w:themeColor="text1"/>
          <w:sz w:val="20"/>
          <w:szCs w:val="20"/>
        </w:rPr>
      </w:pPr>
      <w:r w:rsidRPr="009D7157">
        <w:rPr>
          <w:color w:val="000000" w:themeColor="text1"/>
          <w:sz w:val="20"/>
          <w:szCs w:val="20"/>
        </w:rPr>
        <w:t xml:space="preserve">Priority 4 — ETP, </w:t>
      </w:r>
      <w:r w:rsidR="009D7157">
        <w:rPr>
          <w:color w:val="000000" w:themeColor="text1"/>
          <w:sz w:val="20"/>
          <w:szCs w:val="20"/>
        </w:rPr>
        <w:t>h</w:t>
      </w:r>
      <w:r w:rsidRPr="009D7157">
        <w:rPr>
          <w:color w:val="000000" w:themeColor="text1"/>
          <w:sz w:val="20"/>
          <w:szCs w:val="20"/>
        </w:rPr>
        <w:t xml:space="preserve">abitats, and </w:t>
      </w:r>
      <w:r w:rsidR="009D7157">
        <w:rPr>
          <w:color w:val="000000" w:themeColor="text1"/>
          <w:sz w:val="20"/>
          <w:szCs w:val="20"/>
        </w:rPr>
        <w:t>e</w:t>
      </w:r>
      <w:r w:rsidRPr="009D7157">
        <w:rPr>
          <w:color w:val="000000" w:themeColor="text1"/>
          <w:sz w:val="20"/>
          <w:szCs w:val="20"/>
        </w:rPr>
        <w:t xml:space="preserve">cosystem </w:t>
      </w:r>
      <w:r w:rsidR="009D7157">
        <w:rPr>
          <w:color w:val="000000" w:themeColor="text1"/>
          <w:sz w:val="20"/>
          <w:szCs w:val="20"/>
        </w:rPr>
        <w:t>a</w:t>
      </w:r>
      <w:r w:rsidRPr="009D7157">
        <w:rPr>
          <w:color w:val="000000" w:themeColor="text1"/>
          <w:sz w:val="20"/>
          <w:szCs w:val="20"/>
        </w:rPr>
        <w:t>ctions (PI 2.3.2, 2.4.2, 2.5.3)</w:t>
      </w:r>
    </w:p>
    <w:p w14:paraId="2FFD7EBA" w14:textId="77777777" w:rsidR="00695D3F" w:rsidRDefault="00000000" w:rsidP="009D7157">
      <w:pPr>
        <w:pStyle w:val="Prrafodelista"/>
        <w:numPr>
          <w:ilvl w:val="0"/>
          <w:numId w:val="1"/>
        </w:numPr>
        <w:spacing w:before="60" w:after="60"/>
        <w:ind w:left="450" w:hanging="450"/>
      </w:pPr>
      <w:r>
        <w:t>Develop a trophic model of the crab fishery's role in the Gulf of California ecosystem to inform ecosystem-level scoring.</w:t>
      </w:r>
    </w:p>
    <w:p w14:paraId="2AF36EA1" w14:textId="77777777" w:rsidR="00695D3F" w:rsidRDefault="00000000" w:rsidP="009D7157">
      <w:pPr>
        <w:pStyle w:val="Prrafodelista"/>
        <w:numPr>
          <w:ilvl w:val="0"/>
          <w:numId w:val="1"/>
        </w:numPr>
        <w:spacing w:before="60" w:after="60"/>
        <w:ind w:left="450" w:hanging="450"/>
      </w:pPr>
      <w:r>
        <w:t>Update the fishery impact study (catch composition and bycatch) to produce current, UoA-representative information that can replace the 2012 Balmori et al. dataset as the primary evidence base.</w:t>
      </w:r>
    </w:p>
    <w:p w14:paraId="57E7D949" w14:textId="77777777" w:rsidR="00695D3F" w:rsidRDefault="00000000" w:rsidP="009D7157">
      <w:pPr>
        <w:pStyle w:val="Prrafodelista"/>
        <w:numPr>
          <w:ilvl w:val="0"/>
          <w:numId w:val="1"/>
        </w:numPr>
        <w:spacing w:before="60" w:after="60"/>
        <w:ind w:left="450" w:hanging="450"/>
      </w:pPr>
      <w:r>
        <w:lastRenderedPageBreak/>
        <w:t>Promote the update of the Fishery Management Plan to include specific habitat protection measures and update the 2014 FMP (no revisions reported since publication).</w:t>
      </w:r>
    </w:p>
    <w:p w14:paraId="7487AFF4" w14:textId="5BA407CD" w:rsidR="00695D3F" w:rsidRPr="009D7157" w:rsidRDefault="00000000">
      <w:pPr>
        <w:pStyle w:val="Ttulo2"/>
        <w:rPr>
          <w:color w:val="000000" w:themeColor="text1"/>
          <w:sz w:val="20"/>
          <w:szCs w:val="20"/>
        </w:rPr>
      </w:pPr>
      <w:r w:rsidRPr="009D7157">
        <w:rPr>
          <w:color w:val="000000" w:themeColor="text1"/>
          <w:sz w:val="20"/>
          <w:szCs w:val="20"/>
        </w:rPr>
        <w:t xml:space="preserve">Priority 5 — NOM Update and </w:t>
      </w:r>
      <w:r w:rsidR="009D7157">
        <w:rPr>
          <w:color w:val="000000" w:themeColor="text1"/>
          <w:sz w:val="20"/>
          <w:szCs w:val="20"/>
        </w:rPr>
        <w:t>g</w:t>
      </w:r>
      <w:r w:rsidRPr="009D7157">
        <w:rPr>
          <w:color w:val="000000" w:themeColor="text1"/>
          <w:sz w:val="20"/>
          <w:szCs w:val="20"/>
        </w:rPr>
        <w:t xml:space="preserve">overnance </w:t>
      </w:r>
      <w:r w:rsidR="009D7157">
        <w:rPr>
          <w:color w:val="000000" w:themeColor="text1"/>
          <w:sz w:val="20"/>
          <w:szCs w:val="20"/>
        </w:rPr>
        <w:t>s</w:t>
      </w:r>
      <w:r w:rsidRPr="009D7157">
        <w:rPr>
          <w:color w:val="000000" w:themeColor="text1"/>
          <w:sz w:val="20"/>
          <w:szCs w:val="20"/>
        </w:rPr>
        <w:t>trengthening (PI 3.2.1, 3.2.2)</w:t>
      </w:r>
    </w:p>
    <w:p w14:paraId="1476117D" w14:textId="396D96AA" w:rsidR="00695D3F" w:rsidRDefault="00000000" w:rsidP="009D7157">
      <w:pPr>
        <w:pStyle w:val="Prrafodelista"/>
        <w:numPr>
          <w:ilvl w:val="0"/>
          <w:numId w:val="1"/>
        </w:numPr>
        <w:spacing w:before="60" w:after="60"/>
        <w:ind w:left="450" w:hanging="450"/>
      </w:pPr>
      <w:r>
        <w:t>Push for completion of the NOM-039-PESC-2003 amendment process.</w:t>
      </w:r>
    </w:p>
    <w:p w14:paraId="1089A6D4" w14:textId="77777777" w:rsidR="00695D3F" w:rsidRDefault="00000000" w:rsidP="009D7157">
      <w:pPr>
        <w:pStyle w:val="Prrafodelista"/>
        <w:numPr>
          <w:ilvl w:val="0"/>
          <w:numId w:val="1"/>
        </w:numPr>
        <w:spacing w:before="60" w:after="60"/>
        <w:ind w:left="450" w:hanging="450"/>
      </w:pPr>
      <w:r>
        <w:t xml:space="preserve">Promote the creation and formal installation of the </w:t>
      </w:r>
      <w:proofErr w:type="spellStart"/>
      <w:r>
        <w:t>Comité</w:t>
      </w:r>
      <w:proofErr w:type="spellEnd"/>
      <w:r>
        <w:t xml:space="preserve"> </w:t>
      </w:r>
      <w:proofErr w:type="spellStart"/>
      <w:r>
        <w:t>Consultivo</w:t>
      </w:r>
      <w:proofErr w:type="spellEnd"/>
      <w:r>
        <w:t xml:space="preserve"> de </w:t>
      </w:r>
      <w:proofErr w:type="spellStart"/>
      <w:r>
        <w:t>Manejo</w:t>
      </w:r>
      <w:proofErr w:type="spellEnd"/>
      <w:r>
        <w:t xml:space="preserve"> y </w:t>
      </w:r>
      <w:proofErr w:type="spellStart"/>
      <w:r>
        <w:t>Ordenamiento</w:t>
      </w:r>
      <w:proofErr w:type="spellEnd"/>
      <w:r>
        <w:t xml:space="preserve"> </w:t>
      </w:r>
      <w:proofErr w:type="spellStart"/>
      <w:r>
        <w:t>Pesquero</w:t>
      </w:r>
      <w:proofErr w:type="spellEnd"/>
      <w:r>
        <w:t xml:space="preserve"> for </w:t>
      </w:r>
      <w:proofErr w:type="spellStart"/>
      <w:r>
        <w:t>jaiba</w:t>
      </w:r>
      <w:proofErr w:type="spellEnd"/>
      <w:r>
        <w:t xml:space="preserve"> del </w:t>
      </w:r>
      <w:proofErr w:type="spellStart"/>
      <w:r>
        <w:t>Pacífico</w:t>
      </w:r>
      <w:proofErr w:type="spellEnd"/>
      <w:r>
        <w:t xml:space="preserve"> (currently programmed but not yet installed).</w:t>
      </w:r>
    </w:p>
    <w:p w14:paraId="0BD1D242" w14:textId="3C39DBA3" w:rsidR="00695D3F" w:rsidRDefault="00000000" w:rsidP="009D7157">
      <w:pPr>
        <w:pStyle w:val="Prrafodelista"/>
        <w:numPr>
          <w:ilvl w:val="0"/>
          <w:numId w:val="1"/>
        </w:numPr>
        <w:spacing w:before="60" w:after="60"/>
        <w:ind w:left="450" w:hanging="450"/>
      </w:pPr>
      <w:r>
        <w:t>Update the catch composition and bycatch impact study to cover Sinaloa areas.</w:t>
      </w:r>
    </w:p>
    <w:p w14:paraId="0B7BED25" w14:textId="77777777" w:rsidR="00695D3F" w:rsidRDefault="00000000" w:rsidP="009D7157">
      <w:pPr>
        <w:pStyle w:val="Prrafodelista"/>
        <w:numPr>
          <w:ilvl w:val="0"/>
          <w:numId w:val="1"/>
        </w:numPr>
        <w:spacing w:before="60" w:after="60"/>
        <w:ind w:left="450" w:hanging="450"/>
      </w:pPr>
      <w:r>
        <w:t>Establish Total Allowable Catches based on the reference points defined in the 2024 assessment and promote inclusion in the next CNP update cycle.</w:t>
      </w:r>
    </w:p>
    <w:p w14:paraId="53093C5C" w14:textId="77777777" w:rsidR="009D7157" w:rsidRDefault="009D7157">
      <w:pPr>
        <w:pBdr>
          <w:bottom w:val="single" w:sz="6" w:space="1" w:color="2E75B6"/>
        </w:pBdr>
        <w:spacing w:before="200" w:after="80"/>
        <w:rPr>
          <w:b/>
          <w:bCs/>
          <w:color w:val="1F4E79"/>
          <w:sz w:val="24"/>
          <w:szCs w:val="24"/>
        </w:rPr>
        <w:sectPr w:rsidR="009D7157" w:rsidSect="00EC3E28">
          <w:headerReference w:type="default" r:id="rId12"/>
          <w:footerReference w:type="default" r:id="rId13"/>
          <w:pgSz w:w="15840" w:h="12240" w:orient="landscape"/>
          <w:pgMar w:top="1080" w:right="1080" w:bottom="1080" w:left="1080" w:header="708" w:footer="708" w:gutter="0"/>
          <w:cols w:space="720"/>
          <w:docGrid w:linePitch="360"/>
        </w:sectPr>
      </w:pPr>
    </w:p>
    <w:p w14:paraId="2C455CA4" w14:textId="3C3D018E" w:rsidR="00695D3F" w:rsidRPr="000C6625" w:rsidRDefault="00000000">
      <w:pPr>
        <w:pBdr>
          <w:bottom w:val="single" w:sz="6" w:space="1" w:color="2E75B6"/>
        </w:pBdr>
        <w:spacing w:before="200" w:after="80"/>
        <w:rPr>
          <w:lang w:val="es-ES"/>
        </w:rPr>
      </w:pPr>
      <w:proofErr w:type="spellStart"/>
      <w:r w:rsidRPr="000C6625">
        <w:rPr>
          <w:b/>
          <w:bCs/>
          <w:color w:val="1F4E79"/>
          <w:sz w:val="24"/>
          <w:szCs w:val="24"/>
          <w:lang w:val="es-ES"/>
        </w:rPr>
        <w:lastRenderedPageBreak/>
        <w:t>References</w:t>
      </w:r>
      <w:proofErr w:type="spellEnd"/>
    </w:p>
    <w:p w14:paraId="7BFFBBE4" w14:textId="77777777" w:rsidR="00695D3F" w:rsidRPr="009D7157" w:rsidRDefault="00000000" w:rsidP="009D7157">
      <w:pPr>
        <w:spacing w:before="100" w:after="100"/>
        <w:ind w:left="450" w:hanging="450"/>
        <w:rPr>
          <w:i/>
          <w:iCs/>
          <w:lang w:val="es-ES"/>
        </w:rPr>
      </w:pPr>
      <w:r w:rsidRPr="000C6625">
        <w:rPr>
          <w:i/>
          <w:iCs/>
          <w:lang w:val="es-ES"/>
        </w:rPr>
        <w:t xml:space="preserve">Balmori, A.; J. Torre; M. Rojo and R. Loaiza. </w:t>
      </w:r>
      <w:r w:rsidRPr="009D7157">
        <w:rPr>
          <w:i/>
          <w:iCs/>
          <w:lang w:val="es-ES"/>
        </w:rPr>
        <w:t>2012. La fauna de acompañamiento de jaiba en el Golfo de California (Sonora y Sinaloa). COBI A.C./INAPESCA/CEDO A.C. 24 p.</w:t>
      </w:r>
    </w:p>
    <w:p w14:paraId="1CD82280" w14:textId="47DA840A" w:rsidR="00695D3F" w:rsidRPr="009D7157" w:rsidRDefault="00000000" w:rsidP="009D7157">
      <w:pPr>
        <w:spacing w:before="100" w:after="100"/>
        <w:ind w:left="450" w:hanging="450"/>
        <w:rPr>
          <w:i/>
          <w:iCs/>
        </w:rPr>
      </w:pPr>
      <w:r w:rsidRPr="009D7157">
        <w:rPr>
          <w:i/>
          <w:iCs/>
          <w:lang w:val="es-ES"/>
        </w:rPr>
        <w:t>Balmori-</w:t>
      </w:r>
      <w:proofErr w:type="spellStart"/>
      <w:r w:rsidRPr="009D7157">
        <w:rPr>
          <w:i/>
          <w:iCs/>
          <w:lang w:val="es-ES"/>
        </w:rPr>
        <w:t>Ramirez</w:t>
      </w:r>
      <w:proofErr w:type="spellEnd"/>
      <w:r w:rsidRPr="009D7157">
        <w:rPr>
          <w:i/>
          <w:iCs/>
          <w:lang w:val="es-ES"/>
        </w:rPr>
        <w:t>, A., Rivera Parra, G.I., Garc</w:t>
      </w:r>
      <w:r w:rsidR="009D7157" w:rsidRPr="009D7157">
        <w:rPr>
          <w:i/>
          <w:iCs/>
          <w:lang w:val="es-ES"/>
        </w:rPr>
        <w:t>í</w:t>
      </w:r>
      <w:r w:rsidRPr="009D7157">
        <w:rPr>
          <w:i/>
          <w:iCs/>
          <w:lang w:val="es-ES"/>
        </w:rPr>
        <w:t xml:space="preserve">a-Caudillo, J.M., and Morales-Azpeitia, R. 2024. </w:t>
      </w:r>
      <w:r w:rsidRPr="009D7157">
        <w:rPr>
          <w:i/>
          <w:iCs/>
        </w:rPr>
        <w:t>Update to evaluation and estimation of reference points for the crab stocks (Callinectes spp.) from the Gulf of California and west coast of Baja California Sur, Mexico.</w:t>
      </w:r>
    </w:p>
    <w:p w14:paraId="2AB047F7" w14:textId="77777777" w:rsidR="00695D3F" w:rsidRPr="009D7157" w:rsidRDefault="00000000" w:rsidP="009D7157">
      <w:pPr>
        <w:spacing w:before="100" w:after="100"/>
        <w:ind w:left="450" w:hanging="450"/>
        <w:rPr>
          <w:i/>
          <w:iCs/>
          <w:lang w:val="es-ES"/>
        </w:rPr>
      </w:pPr>
      <w:r w:rsidRPr="009D7157">
        <w:rPr>
          <w:i/>
          <w:iCs/>
          <w:lang w:val="es-ES"/>
        </w:rPr>
        <w:t>DOF 2014. Acuerdo por el que se da a conocer el Plan de Manejo Pesquero de Jaiba (</w:t>
      </w:r>
      <w:proofErr w:type="spellStart"/>
      <w:r w:rsidRPr="009D7157">
        <w:rPr>
          <w:i/>
          <w:iCs/>
          <w:lang w:val="es-ES"/>
        </w:rPr>
        <w:t>Callinectes</w:t>
      </w:r>
      <w:proofErr w:type="spellEnd"/>
      <w:r w:rsidRPr="009D7157">
        <w:rPr>
          <w:i/>
          <w:iCs/>
          <w:lang w:val="es-ES"/>
        </w:rPr>
        <w:t xml:space="preserve"> </w:t>
      </w:r>
      <w:proofErr w:type="spellStart"/>
      <w:r w:rsidRPr="009D7157">
        <w:rPr>
          <w:i/>
          <w:iCs/>
          <w:lang w:val="es-ES"/>
        </w:rPr>
        <w:t>spp</w:t>
      </w:r>
      <w:proofErr w:type="spellEnd"/>
      <w:r w:rsidRPr="009D7157">
        <w:rPr>
          <w:i/>
          <w:iCs/>
          <w:lang w:val="es-ES"/>
        </w:rPr>
        <w:t>.) de Sinaloa y Sonora. 15 Julio 2014.</w:t>
      </w:r>
    </w:p>
    <w:p w14:paraId="47C5A2CD" w14:textId="77777777" w:rsidR="00695D3F" w:rsidRPr="009D7157" w:rsidRDefault="00000000" w:rsidP="009D7157">
      <w:pPr>
        <w:spacing w:before="100" w:after="100"/>
        <w:ind w:left="450" w:hanging="450"/>
        <w:rPr>
          <w:i/>
          <w:iCs/>
          <w:lang w:val="es-ES"/>
        </w:rPr>
      </w:pPr>
      <w:r w:rsidRPr="009D7157">
        <w:rPr>
          <w:i/>
          <w:iCs/>
          <w:lang w:val="es-ES"/>
        </w:rPr>
        <w:t>DOF 2019. Proyecto de Modificación a la Norma Oficial Mexicana NOM-039-PESC-2003. 25/11/2019.</w:t>
      </w:r>
    </w:p>
    <w:p w14:paraId="040364AC" w14:textId="77777777" w:rsidR="00695D3F" w:rsidRPr="009D7157" w:rsidRDefault="00000000" w:rsidP="009D7157">
      <w:pPr>
        <w:spacing w:before="100" w:after="100"/>
        <w:ind w:left="450" w:hanging="450"/>
        <w:rPr>
          <w:i/>
          <w:iCs/>
          <w:lang w:val="es-ES"/>
        </w:rPr>
      </w:pPr>
      <w:r w:rsidRPr="009D7157">
        <w:rPr>
          <w:i/>
          <w:iCs/>
          <w:lang w:val="es-ES"/>
        </w:rPr>
        <w:t>DOF 2023. ACUERDO mediante el cual se da a conocer la actualización de la Carta Nacional Pesquera. 21 julio 2023.</w:t>
      </w:r>
    </w:p>
    <w:p w14:paraId="1139D7EE" w14:textId="7D958EA5" w:rsidR="00695D3F" w:rsidRPr="009D7157" w:rsidRDefault="00000000" w:rsidP="009D7157">
      <w:pPr>
        <w:spacing w:before="100" w:after="100"/>
        <w:ind w:left="450" w:hanging="450"/>
        <w:rPr>
          <w:i/>
          <w:iCs/>
          <w:lang w:val="es-ES"/>
        </w:rPr>
      </w:pPr>
      <w:r w:rsidRPr="009D7157">
        <w:rPr>
          <w:i/>
          <w:iCs/>
          <w:lang w:val="es-ES"/>
        </w:rPr>
        <w:t xml:space="preserve">IMIPAS 2024a. Informe técnico sobre el estatus, </w:t>
      </w:r>
      <w:r w:rsidR="009D7157" w:rsidRPr="009D7157">
        <w:rPr>
          <w:i/>
          <w:iCs/>
          <w:lang w:val="es-ES"/>
        </w:rPr>
        <w:t xml:space="preserve">la </w:t>
      </w:r>
      <w:r w:rsidRPr="009D7157">
        <w:rPr>
          <w:i/>
          <w:iCs/>
          <w:lang w:val="es-ES"/>
        </w:rPr>
        <w:t>productividad y</w:t>
      </w:r>
      <w:r w:rsidR="009D7157" w:rsidRPr="009D7157">
        <w:rPr>
          <w:i/>
          <w:iCs/>
          <w:lang w:val="es-ES"/>
        </w:rPr>
        <w:t xml:space="preserve"> las</w:t>
      </w:r>
      <w:r w:rsidRPr="009D7157">
        <w:rPr>
          <w:i/>
          <w:iCs/>
          <w:lang w:val="es-ES"/>
        </w:rPr>
        <w:t xml:space="preserve"> recomendaciones de manejo de la pesquería de jaiba en Sonora. 20pp.</w:t>
      </w:r>
    </w:p>
    <w:p w14:paraId="731D76D6" w14:textId="2C69C22E" w:rsidR="00695D3F" w:rsidRPr="009D7157" w:rsidRDefault="00000000" w:rsidP="009D7157">
      <w:pPr>
        <w:spacing w:before="100" w:after="100"/>
        <w:ind w:left="450" w:hanging="450"/>
        <w:rPr>
          <w:i/>
          <w:iCs/>
          <w:lang w:val="es-ES"/>
        </w:rPr>
      </w:pPr>
      <w:r w:rsidRPr="009D7157">
        <w:rPr>
          <w:i/>
          <w:iCs/>
          <w:lang w:val="es-ES"/>
        </w:rPr>
        <w:t xml:space="preserve">IMIPAS 2024b. Informe técnico sobre el estatus, productividad y recomendaciones de manejo de la pesquería de </w:t>
      </w:r>
      <w:r w:rsidR="009D7157" w:rsidRPr="009D7157">
        <w:rPr>
          <w:i/>
          <w:iCs/>
          <w:lang w:val="es-ES"/>
        </w:rPr>
        <w:t>j</w:t>
      </w:r>
      <w:r w:rsidRPr="009D7157">
        <w:rPr>
          <w:i/>
          <w:iCs/>
          <w:lang w:val="es-ES"/>
        </w:rPr>
        <w:t>aiba de Nayarit. 17pp.</w:t>
      </w:r>
    </w:p>
    <w:p w14:paraId="4C64E47B" w14:textId="09A5162C" w:rsidR="00695D3F" w:rsidRPr="009D7157" w:rsidRDefault="00000000" w:rsidP="009D7157">
      <w:pPr>
        <w:spacing w:before="100" w:after="100"/>
        <w:ind w:left="450" w:hanging="450"/>
        <w:rPr>
          <w:i/>
          <w:iCs/>
          <w:lang w:val="es-ES"/>
        </w:rPr>
      </w:pPr>
      <w:r w:rsidRPr="009D7157">
        <w:rPr>
          <w:i/>
          <w:iCs/>
          <w:lang w:val="es-ES"/>
        </w:rPr>
        <w:t xml:space="preserve">Loaiza-Villanueva, R. 2020. Reporte preliminar. Programa de monitoreo de la fauna de acompañamiento en la pesquería de </w:t>
      </w:r>
      <w:r w:rsidR="009D7157" w:rsidRPr="009D7157">
        <w:rPr>
          <w:i/>
          <w:iCs/>
          <w:lang w:val="es-ES"/>
        </w:rPr>
        <w:t>j</w:t>
      </w:r>
      <w:r w:rsidRPr="009D7157">
        <w:rPr>
          <w:i/>
          <w:iCs/>
          <w:lang w:val="es-ES"/>
        </w:rPr>
        <w:t>aiba en el corredor biológico-pesquero Puerto Peñasco–Puerto Lobos, Sonora, México.</w:t>
      </w:r>
    </w:p>
    <w:p w14:paraId="559E1C5F" w14:textId="77777777" w:rsidR="00695D3F" w:rsidRPr="009D7157" w:rsidRDefault="00000000" w:rsidP="009D7157">
      <w:pPr>
        <w:spacing w:before="100" w:after="100"/>
        <w:ind w:left="450" w:hanging="450"/>
        <w:rPr>
          <w:i/>
          <w:iCs/>
          <w:lang w:val="es-ES"/>
        </w:rPr>
      </w:pPr>
      <w:r w:rsidRPr="009D7157">
        <w:rPr>
          <w:i/>
          <w:iCs/>
          <w:lang w:val="es-ES"/>
        </w:rPr>
        <w:t>Morales-Azpeitia, R. 2025. Análisis del estatus de explotación del recurso caracol chino rosa (</w:t>
      </w:r>
      <w:proofErr w:type="spellStart"/>
      <w:r w:rsidRPr="009D7157">
        <w:rPr>
          <w:i/>
          <w:iCs/>
          <w:lang w:val="es-ES"/>
        </w:rPr>
        <w:t>Phyllonotus</w:t>
      </w:r>
      <w:proofErr w:type="spellEnd"/>
      <w:r w:rsidRPr="009D7157">
        <w:rPr>
          <w:i/>
          <w:iCs/>
          <w:lang w:val="es-ES"/>
        </w:rPr>
        <w:t xml:space="preserve"> </w:t>
      </w:r>
      <w:proofErr w:type="spellStart"/>
      <w:r w:rsidRPr="009D7157">
        <w:rPr>
          <w:i/>
          <w:iCs/>
          <w:lang w:val="es-ES"/>
        </w:rPr>
        <w:t>erythrostoma</w:t>
      </w:r>
      <w:proofErr w:type="spellEnd"/>
      <w:r w:rsidRPr="009D7157">
        <w:rPr>
          <w:i/>
          <w:iCs/>
          <w:lang w:val="es-ES"/>
        </w:rPr>
        <w:t>) en el litoral del norte de Sinaloa y litoral de Sonora, Golfo de California, México.</w:t>
      </w:r>
    </w:p>
    <w:p w14:paraId="2DB3529D" w14:textId="77777777" w:rsidR="00695D3F" w:rsidRPr="009D7157" w:rsidRDefault="00000000" w:rsidP="009D7157">
      <w:pPr>
        <w:spacing w:before="100" w:after="100"/>
        <w:ind w:left="450" w:hanging="450"/>
        <w:rPr>
          <w:i/>
          <w:iCs/>
        </w:rPr>
      </w:pPr>
      <w:r w:rsidRPr="009D7157">
        <w:rPr>
          <w:i/>
          <w:iCs/>
          <w:lang w:val="es-ES"/>
        </w:rPr>
        <w:t>Rivera-Parra, G., Balmori-</w:t>
      </w:r>
      <w:proofErr w:type="spellStart"/>
      <w:r w:rsidRPr="009D7157">
        <w:rPr>
          <w:i/>
          <w:iCs/>
          <w:lang w:val="es-ES"/>
        </w:rPr>
        <w:t>Ramirez</w:t>
      </w:r>
      <w:proofErr w:type="spellEnd"/>
      <w:r w:rsidRPr="009D7157">
        <w:rPr>
          <w:i/>
          <w:iCs/>
          <w:lang w:val="es-ES"/>
        </w:rPr>
        <w:t>, A., Garcia-Caudillo, J.M., and Morales-Azpeitia, R. 2022. Evaluación y estimación de puntos de referencia para las poblaciones de cangrejos (</w:t>
      </w:r>
      <w:proofErr w:type="spellStart"/>
      <w:r w:rsidRPr="009D7157">
        <w:rPr>
          <w:i/>
          <w:iCs/>
          <w:lang w:val="es-ES"/>
        </w:rPr>
        <w:t>Callinectes</w:t>
      </w:r>
      <w:proofErr w:type="spellEnd"/>
      <w:r w:rsidRPr="009D7157">
        <w:rPr>
          <w:i/>
          <w:iCs/>
          <w:lang w:val="es-ES"/>
        </w:rPr>
        <w:t xml:space="preserve"> </w:t>
      </w:r>
      <w:proofErr w:type="spellStart"/>
      <w:r w:rsidRPr="009D7157">
        <w:rPr>
          <w:i/>
          <w:iCs/>
          <w:lang w:val="es-ES"/>
        </w:rPr>
        <w:t>spp</w:t>
      </w:r>
      <w:proofErr w:type="spellEnd"/>
      <w:r w:rsidRPr="009D7157">
        <w:rPr>
          <w:i/>
          <w:iCs/>
          <w:lang w:val="es-ES"/>
        </w:rPr>
        <w:t xml:space="preserve">.) del Golfo de California, México. </w:t>
      </w:r>
      <w:r w:rsidRPr="009D7157">
        <w:rPr>
          <w:i/>
          <w:iCs/>
        </w:rPr>
        <w:t>Ciencia Pesquera (2022) 30(1-2): 9-23.</w:t>
      </w:r>
    </w:p>
    <w:p w14:paraId="53750C4D" w14:textId="77777777" w:rsidR="00695D3F" w:rsidRDefault="00000000" w:rsidP="009D7157">
      <w:pPr>
        <w:spacing w:before="100" w:after="100"/>
        <w:ind w:left="450" w:hanging="450"/>
        <w:rPr>
          <w:i/>
          <w:iCs/>
        </w:rPr>
      </w:pPr>
      <w:r w:rsidRPr="009D7157">
        <w:rPr>
          <w:i/>
          <w:iCs/>
        </w:rPr>
        <w:t>SCS Global Services. 2025. Mexico Gulf of California swimming crab (Callinectes bellicosus, Callinectes arcuatus) fishery — Pre-Assessment Report. December 2025. Emeryville, CA.</w:t>
      </w:r>
    </w:p>
    <w:p w14:paraId="5BCFC952" w14:textId="79C33E83" w:rsidR="00E34C28" w:rsidRPr="009D7157" w:rsidRDefault="00E34C28" w:rsidP="009D7157">
      <w:pPr>
        <w:spacing w:before="100" w:after="100"/>
        <w:ind w:left="450" w:hanging="450"/>
        <w:rPr>
          <w:i/>
          <w:iCs/>
        </w:rPr>
      </w:pPr>
      <w:r w:rsidRPr="00E34C28">
        <w:rPr>
          <w:i/>
          <w:iCs/>
        </w:rPr>
        <w:t>Stevens,</w:t>
      </w:r>
      <w:r>
        <w:rPr>
          <w:i/>
          <w:iCs/>
        </w:rPr>
        <w:t xml:space="preserve"> B.</w:t>
      </w:r>
      <w:r w:rsidRPr="00E34C28">
        <w:rPr>
          <w:i/>
          <w:iCs/>
        </w:rPr>
        <w:t xml:space="preserve"> The ups and downs of traps: environmental impacts, entanglement, mitigation, and the future of trap fishing for crustaceans and fish, ICES Journal of Marine Science, Volume 78, Issue 2, March 2021, Pages 584–596, https://doi.org/10.1093/icesjms/fsaa135</w:t>
      </w:r>
    </w:p>
    <w:p w14:paraId="4C65D9D0" w14:textId="77777777" w:rsidR="00695D3F" w:rsidRPr="009D7157" w:rsidRDefault="00000000" w:rsidP="009D7157">
      <w:pPr>
        <w:spacing w:before="100" w:after="100"/>
        <w:ind w:left="450" w:hanging="450"/>
        <w:rPr>
          <w:i/>
          <w:iCs/>
        </w:rPr>
      </w:pPr>
      <w:r w:rsidRPr="009D7157">
        <w:rPr>
          <w:i/>
          <w:iCs/>
        </w:rPr>
        <w:t>Torre-Cosio, J. 2002. Inventory, monitoring, and impact assessment of marine biodiversity in the Seri Indian Territory, Gulf of California. Ph.D. dissertation. University of Arizona.</w:t>
      </w:r>
    </w:p>
    <w:sectPr w:rsidR="00695D3F" w:rsidRPr="009D7157" w:rsidSect="00EC3E28">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260B" w14:textId="77777777" w:rsidR="001B51D3" w:rsidRDefault="001B51D3">
      <w:r>
        <w:separator/>
      </w:r>
    </w:p>
  </w:endnote>
  <w:endnote w:type="continuationSeparator" w:id="0">
    <w:p w14:paraId="1105A5A8" w14:textId="77777777" w:rsidR="001B51D3" w:rsidRDefault="001B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3D7E" w14:textId="77777777" w:rsidR="00695D3F" w:rsidRDefault="00000000">
    <w:pPr>
      <w:pBdr>
        <w:top w:val="single" w:sz="4" w:space="1" w:color="2E75B6"/>
      </w:pBdr>
      <w:jc w:val="right"/>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F932FD">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E7E99" w14:textId="77777777" w:rsidR="001B51D3" w:rsidRDefault="001B51D3">
      <w:r>
        <w:separator/>
      </w:r>
    </w:p>
  </w:footnote>
  <w:footnote w:type="continuationSeparator" w:id="0">
    <w:p w14:paraId="159AE0D2" w14:textId="77777777" w:rsidR="001B51D3" w:rsidRDefault="001B5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0C47" w14:textId="2C500179" w:rsidR="00695D3F" w:rsidRDefault="00695D3F">
    <w:pPr>
      <w:pBdr>
        <w:bottom w:val="single" w:sz="4" w:space="1" w:color="2E75B6"/>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47E2"/>
    <w:multiLevelType w:val="hybridMultilevel"/>
    <w:tmpl w:val="D5D6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002A5"/>
    <w:multiLevelType w:val="hybridMultilevel"/>
    <w:tmpl w:val="20468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E3A35"/>
    <w:multiLevelType w:val="multilevel"/>
    <w:tmpl w:val="8CE0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2432D"/>
    <w:multiLevelType w:val="hybridMultilevel"/>
    <w:tmpl w:val="C0E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060FF"/>
    <w:multiLevelType w:val="multilevel"/>
    <w:tmpl w:val="ACEC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0A6ABB"/>
    <w:multiLevelType w:val="hybridMultilevel"/>
    <w:tmpl w:val="D1A06616"/>
    <w:lvl w:ilvl="0" w:tplc="F63C0968">
      <w:start w:val="1"/>
      <w:numFmt w:val="bullet"/>
      <w:lvlText w:val="•"/>
      <w:lvlJc w:val="left"/>
      <w:pPr>
        <w:ind w:left="720" w:hanging="360"/>
      </w:pPr>
      <w:rPr>
        <w:rFonts w:ascii="Arial" w:eastAsia="Arial" w:hAnsi="Arial" w:cs="Arial"/>
        <w:sz w:val="20"/>
        <w:szCs w:val="20"/>
      </w:rPr>
    </w:lvl>
    <w:lvl w:ilvl="1" w:tplc="24F6398E">
      <w:numFmt w:val="decimal"/>
      <w:lvlText w:val=""/>
      <w:lvlJc w:val="left"/>
    </w:lvl>
    <w:lvl w:ilvl="2" w:tplc="8AC083B2">
      <w:numFmt w:val="decimal"/>
      <w:lvlText w:val=""/>
      <w:lvlJc w:val="left"/>
    </w:lvl>
    <w:lvl w:ilvl="3" w:tplc="E55C8FD6">
      <w:numFmt w:val="decimal"/>
      <w:lvlText w:val=""/>
      <w:lvlJc w:val="left"/>
    </w:lvl>
    <w:lvl w:ilvl="4" w:tplc="9F6EC814">
      <w:numFmt w:val="decimal"/>
      <w:lvlText w:val=""/>
      <w:lvlJc w:val="left"/>
    </w:lvl>
    <w:lvl w:ilvl="5" w:tplc="54B409F4">
      <w:numFmt w:val="decimal"/>
      <w:lvlText w:val=""/>
      <w:lvlJc w:val="left"/>
    </w:lvl>
    <w:lvl w:ilvl="6" w:tplc="4C223344">
      <w:numFmt w:val="decimal"/>
      <w:lvlText w:val=""/>
      <w:lvlJc w:val="left"/>
    </w:lvl>
    <w:lvl w:ilvl="7" w:tplc="2CD2FA78">
      <w:numFmt w:val="decimal"/>
      <w:lvlText w:val=""/>
      <w:lvlJc w:val="left"/>
    </w:lvl>
    <w:lvl w:ilvl="8" w:tplc="5E765738">
      <w:numFmt w:val="decimal"/>
      <w:lvlText w:val=""/>
      <w:lvlJc w:val="left"/>
    </w:lvl>
  </w:abstractNum>
  <w:abstractNum w:abstractNumId="6" w15:restartNumberingAfterBreak="0">
    <w:nsid w:val="4F9003CC"/>
    <w:multiLevelType w:val="multilevel"/>
    <w:tmpl w:val="8B70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BC7E8B"/>
    <w:multiLevelType w:val="hybridMultilevel"/>
    <w:tmpl w:val="E60ABC2A"/>
    <w:lvl w:ilvl="0" w:tplc="139C95F0">
      <w:start w:val="1"/>
      <w:numFmt w:val="bullet"/>
      <w:lvlText w:val="●"/>
      <w:lvlJc w:val="left"/>
      <w:pPr>
        <w:ind w:left="720" w:hanging="360"/>
      </w:pPr>
    </w:lvl>
    <w:lvl w:ilvl="1" w:tplc="94D07DB8">
      <w:start w:val="1"/>
      <w:numFmt w:val="bullet"/>
      <w:lvlText w:val="○"/>
      <w:lvlJc w:val="left"/>
      <w:pPr>
        <w:ind w:left="1440" w:hanging="360"/>
      </w:pPr>
    </w:lvl>
    <w:lvl w:ilvl="2" w:tplc="71066C74">
      <w:start w:val="1"/>
      <w:numFmt w:val="bullet"/>
      <w:lvlText w:val="■"/>
      <w:lvlJc w:val="left"/>
      <w:pPr>
        <w:ind w:left="2160" w:hanging="360"/>
      </w:pPr>
    </w:lvl>
    <w:lvl w:ilvl="3" w:tplc="1A7A40FC">
      <w:start w:val="1"/>
      <w:numFmt w:val="bullet"/>
      <w:lvlText w:val="●"/>
      <w:lvlJc w:val="left"/>
      <w:pPr>
        <w:ind w:left="2880" w:hanging="360"/>
      </w:pPr>
    </w:lvl>
    <w:lvl w:ilvl="4" w:tplc="54B4D35C">
      <w:start w:val="1"/>
      <w:numFmt w:val="bullet"/>
      <w:lvlText w:val="○"/>
      <w:lvlJc w:val="left"/>
      <w:pPr>
        <w:ind w:left="3600" w:hanging="360"/>
      </w:pPr>
    </w:lvl>
    <w:lvl w:ilvl="5" w:tplc="2EA026C4">
      <w:start w:val="1"/>
      <w:numFmt w:val="bullet"/>
      <w:lvlText w:val="■"/>
      <w:lvlJc w:val="left"/>
      <w:pPr>
        <w:ind w:left="4320" w:hanging="360"/>
      </w:pPr>
    </w:lvl>
    <w:lvl w:ilvl="6" w:tplc="7DE4123A">
      <w:start w:val="1"/>
      <w:numFmt w:val="bullet"/>
      <w:lvlText w:val="●"/>
      <w:lvlJc w:val="left"/>
      <w:pPr>
        <w:ind w:left="5040" w:hanging="360"/>
      </w:pPr>
    </w:lvl>
    <w:lvl w:ilvl="7" w:tplc="B8169614">
      <w:start w:val="1"/>
      <w:numFmt w:val="bullet"/>
      <w:lvlText w:val="●"/>
      <w:lvlJc w:val="left"/>
      <w:pPr>
        <w:ind w:left="5760" w:hanging="360"/>
      </w:pPr>
    </w:lvl>
    <w:lvl w:ilvl="8" w:tplc="E588220E">
      <w:start w:val="1"/>
      <w:numFmt w:val="bullet"/>
      <w:lvlText w:val="●"/>
      <w:lvlJc w:val="left"/>
      <w:pPr>
        <w:ind w:left="6480" w:hanging="360"/>
      </w:pPr>
    </w:lvl>
  </w:abstractNum>
  <w:abstractNum w:abstractNumId="8" w15:restartNumberingAfterBreak="0">
    <w:nsid w:val="6F17215D"/>
    <w:multiLevelType w:val="hybridMultilevel"/>
    <w:tmpl w:val="648A8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FA21D6"/>
    <w:multiLevelType w:val="multilevel"/>
    <w:tmpl w:val="7EBC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829396">
    <w:abstractNumId w:val="7"/>
    <w:lvlOverride w:ilvl="0">
      <w:startOverride w:val="1"/>
    </w:lvlOverride>
  </w:num>
  <w:num w:numId="2" w16cid:durableId="1968001895">
    <w:abstractNumId w:val="2"/>
  </w:num>
  <w:num w:numId="3" w16cid:durableId="254634370">
    <w:abstractNumId w:val="6"/>
  </w:num>
  <w:num w:numId="4" w16cid:durableId="1868059521">
    <w:abstractNumId w:val="9"/>
  </w:num>
  <w:num w:numId="5" w16cid:durableId="1418943856">
    <w:abstractNumId w:val="4"/>
  </w:num>
  <w:num w:numId="6" w16cid:durableId="1197695059">
    <w:abstractNumId w:val="0"/>
  </w:num>
  <w:num w:numId="7" w16cid:durableId="1201237697">
    <w:abstractNumId w:val="1"/>
  </w:num>
  <w:num w:numId="8" w16cid:durableId="834298051">
    <w:abstractNumId w:val="8"/>
  </w:num>
  <w:num w:numId="9" w16cid:durableId="829832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197"/>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D3F"/>
    <w:rsid w:val="000A03F8"/>
    <w:rsid w:val="000A1872"/>
    <w:rsid w:val="000C6625"/>
    <w:rsid w:val="00182E7C"/>
    <w:rsid w:val="001B51D3"/>
    <w:rsid w:val="002424F3"/>
    <w:rsid w:val="00247906"/>
    <w:rsid w:val="00284E62"/>
    <w:rsid w:val="002A7A49"/>
    <w:rsid w:val="002B4FAD"/>
    <w:rsid w:val="002D5BAA"/>
    <w:rsid w:val="002F6D1E"/>
    <w:rsid w:val="00325AF5"/>
    <w:rsid w:val="003260CB"/>
    <w:rsid w:val="00360EA2"/>
    <w:rsid w:val="00382B1E"/>
    <w:rsid w:val="003F09AA"/>
    <w:rsid w:val="00450B6B"/>
    <w:rsid w:val="004811B9"/>
    <w:rsid w:val="004B0D2F"/>
    <w:rsid w:val="004C598E"/>
    <w:rsid w:val="004F7BBC"/>
    <w:rsid w:val="00547642"/>
    <w:rsid w:val="00561708"/>
    <w:rsid w:val="0056527E"/>
    <w:rsid w:val="00573F93"/>
    <w:rsid w:val="005D0330"/>
    <w:rsid w:val="00617935"/>
    <w:rsid w:val="006210C9"/>
    <w:rsid w:val="00695D3F"/>
    <w:rsid w:val="00713F69"/>
    <w:rsid w:val="00722ED3"/>
    <w:rsid w:val="007E6971"/>
    <w:rsid w:val="00802875"/>
    <w:rsid w:val="0087346B"/>
    <w:rsid w:val="00882C85"/>
    <w:rsid w:val="008A6415"/>
    <w:rsid w:val="008C4662"/>
    <w:rsid w:val="008C7D76"/>
    <w:rsid w:val="0090246F"/>
    <w:rsid w:val="009A2B2C"/>
    <w:rsid w:val="009B275E"/>
    <w:rsid w:val="009D7157"/>
    <w:rsid w:val="009E1402"/>
    <w:rsid w:val="009F2168"/>
    <w:rsid w:val="00A0607E"/>
    <w:rsid w:val="00A64FB9"/>
    <w:rsid w:val="00AA0F1F"/>
    <w:rsid w:val="00AA2208"/>
    <w:rsid w:val="00AA3363"/>
    <w:rsid w:val="00AA6C79"/>
    <w:rsid w:val="00AC222C"/>
    <w:rsid w:val="00AD270F"/>
    <w:rsid w:val="00B15C41"/>
    <w:rsid w:val="00B25669"/>
    <w:rsid w:val="00B3645F"/>
    <w:rsid w:val="00B50C02"/>
    <w:rsid w:val="00B65856"/>
    <w:rsid w:val="00C549FD"/>
    <w:rsid w:val="00C74AD0"/>
    <w:rsid w:val="00C77E4A"/>
    <w:rsid w:val="00CA26C3"/>
    <w:rsid w:val="00CE1228"/>
    <w:rsid w:val="00CF68C0"/>
    <w:rsid w:val="00D62E55"/>
    <w:rsid w:val="00D64000"/>
    <w:rsid w:val="00D820A1"/>
    <w:rsid w:val="00DE3366"/>
    <w:rsid w:val="00DF6AC5"/>
    <w:rsid w:val="00E277E2"/>
    <w:rsid w:val="00E34C28"/>
    <w:rsid w:val="00E35791"/>
    <w:rsid w:val="00E44081"/>
    <w:rsid w:val="00E54E9D"/>
    <w:rsid w:val="00EC3E28"/>
    <w:rsid w:val="00ED4D3C"/>
    <w:rsid w:val="00F167BD"/>
    <w:rsid w:val="00F2676C"/>
    <w:rsid w:val="00F318A8"/>
    <w:rsid w:val="00F46B94"/>
    <w:rsid w:val="00F8184B"/>
    <w:rsid w:val="00F83CE4"/>
    <w:rsid w:val="00F91D79"/>
    <w:rsid w:val="00F932FD"/>
    <w:rsid w:val="00FB2D3A"/>
    <w:rsid w:val="00FB3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788B"/>
  <w15:docId w15:val="{EAFFC34B-19E3-5B40-AB24-D7E11BC0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20" w:after="160"/>
      <w:outlineLvl w:val="0"/>
    </w:pPr>
    <w:rPr>
      <w:b/>
      <w:bCs/>
      <w:color w:val="1F4E79"/>
      <w:sz w:val="28"/>
      <w:szCs w:val="28"/>
    </w:rPr>
  </w:style>
  <w:style w:type="paragraph" w:styleId="Ttulo2">
    <w:name w:val="heading 2"/>
    <w:uiPriority w:val="9"/>
    <w:unhideWhenUsed/>
    <w:qFormat/>
    <w:pPr>
      <w:spacing w:before="240" w:after="120"/>
      <w:outlineLvl w:val="1"/>
    </w:pPr>
    <w:rPr>
      <w:b/>
      <w:bCs/>
      <w:color w:val="2E75B6"/>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Strong1">
    <w:name w:val="Strong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CA26C3"/>
    <w:pPr>
      <w:tabs>
        <w:tab w:val="center" w:pos="4680"/>
        <w:tab w:val="right" w:pos="9360"/>
      </w:tabs>
    </w:pPr>
  </w:style>
  <w:style w:type="character" w:customStyle="1" w:styleId="EncabezadoCar">
    <w:name w:val="Encabezado Car"/>
    <w:basedOn w:val="Fuentedeprrafopredeter"/>
    <w:link w:val="Encabezado"/>
    <w:uiPriority w:val="99"/>
    <w:rsid w:val="00CA26C3"/>
  </w:style>
  <w:style w:type="paragraph" w:styleId="Piedepgina">
    <w:name w:val="footer"/>
    <w:basedOn w:val="Normal"/>
    <w:link w:val="PiedepginaCar"/>
    <w:uiPriority w:val="99"/>
    <w:unhideWhenUsed/>
    <w:rsid w:val="00CA26C3"/>
    <w:pPr>
      <w:tabs>
        <w:tab w:val="center" w:pos="4680"/>
        <w:tab w:val="right" w:pos="9360"/>
      </w:tabs>
    </w:pPr>
  </w:style>
  <w:style w:type="character" w:customStyle="1" w:styleId="PiedepginaCar">
    <w:name w:val="Pie de página Car"/>
    <w:basedOn w:val="Fuentedeprrafopredeter"/>
    <w:link w:val="Piedepgina"/>
    <w:uiPriority w:val="99"/>
    <w:rsid w:val="00CA26C3"/>
  </w:style>
  <w:style w:type="paragraph" w:styleId="NormalWeb">
    <w:name w:val="Normal (Web)"/>
    <w:basedOn w:val="Normal"/>
    <w:uiPriority w:val="99"/>
    <w:semiHidden/>
    <w:unhideWhenUsed/>
    <w:rsid w:val="00A0607E"/>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7283</Words>
  <Characters>40059</Characters>
  <Application>Microsoft Office Word</Application>
  <DocSecurity>0</DocSecurity>
  <Lines>333</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Juan M. Garcia Caudillo</cp:lastModifiedBy>
  <cp:revision>2</cp:revision>
  <dcterms:created xsi:type="dcterms:W3CDTF">2026-06-24T20:20:00Z</dcterms:created>
  <dcterms:modified xsi:type="dcterms:W3CDTF">2026-06-24T20:20:00Z</dcterms:modified>
</cp:coreProperties>
</file>