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44FD" w14:textId="77C56753" w:rsidR="00AE3CBD" w:rsidRPr="00A471C2" w:rsidRDefault="006D057C" w:rsidP="00657543">
      <w:pPr>
        <w:pStyle w:val="Heading1"/>
        <w:jc w:val="center"/>
        <w:rPr>
          <w:rFonts w:cstheme="majorHAnsi"/>
          <w:lang w:val="en-US"/>
        </w:rPr>
      </w:pPr>
      <w:r w:rsidRPr="00A471C2">
        <w:rPr>
          <w:rFonts w:cstheme="majorHAnsi"/>
          <w:lang w:val="en-US"/>
        </w:rPr>
        <w:t xml:space="preserve">Position Statement </w:t>
      </w:r>
      <w:r w:rsidR="00BE38AE" w:rsidRPr="00A471C2">
        <w:rPr>
          <w:rFonts w:cstheme="majorHAnsi"/>
          <w:lang w:val="en-US"/>
        </w:rPr>
        <w:t>f</w:t>
      </w:r>
      <w:r w:rsidRPr="00A471C2">
        <w:rPr>
          <w:rFonts w:cstheme="majorHAnsi"/>
          <w:lang w:val="en-US"/>
        </w:rPr>
        <w:t>or</w:t>
      </w:r>
      <w:r w:rsidR="00BE38AE" w:rsidRPr="00A471C2">
        <w:rPr>
          <w:rFonts w:cstheme="majorHAnsi"/>
          <w:lang w:val="en-US"/>
        </w:rPr>
        <w:t xml:space="preserve"> </w:t>
      </w:r>
      <w:r w:rsidR="008D38BB" w:rsidRPr="00A471C2">
        <w:rPr>
          <w:rFonts w:cstheme="majorHAnsi"/>
          <w:lang w:val="en-US"/>
        </w:rPr>
        <w:t>WCPFC</w:t>
      </w:r>
      <w:r w:rsidR="00657543" w:rsidRPr="00A471C2">
        <w:rPr>
          <w:rFonts w:cstheme="majorHAnsi"/>
          <w:lang w:val="en-US"/>
        </w:rPr>
        <w:t xml:space="preserve"> Annual Commission Meeting</w:t>
      </w:r>
      <w:r w:rsidRPr="00A471C2">
        <w:rPr>
          <w:rFonts w:cstheme="majorHAnsi"/>
          <w:lang w:val="en-US"/>
        </w:rPr>
        <w:t xml:space="preserve"> 202</w:t>
      </w:r>
      <w:r w:rsidR="0013386F" w:rsidRPr="00A471C2">
        <w:rPr>
          <w:rFonts w:cstheme="majorHAnsi"/>
          <w:lang w:val="en-US"/>
        </w:rPr>
        <w:t>5</w:t>
      </w:r>
      <w:r w:rsidR="00657543" w:rsidRPr="00A471C2">
        <w:rPr>
          <w:rFonts w:cstheme="majorHAnsi"/>
          <w:lang w:val="en-US"/>
        </w:rPr>
        <w:t xml:space="preserve"> </w:t>
      </w:r>
    </w:p>
    <w:p w14:paraId="10F3A37C" w14:textId="7AED1E43" w:rsidR="006D057C" w:rsidRPr="00A471C2" w:rsidRDefault="0013386F" w:rsidP="00A471C2">
      <w:pPr>
        <w:pStyle w:val="Heading1"/>
        <w:jc w:val="center"/>
        <w:rPr>
          <w:rFonts w:cstheme="majorHAnsi"/>
        </w:rPr>
      </w:pPr>
      <w:r w:rsidRPr="00A471C2">
        <w:rPr>
          <w:rFonts w:cstheme="majorHAnsi"/>
        </w:rPr>
        <w:t>1-5</w:t>
      </w:r>
      <w:r w:rsidR="00657543" w:rsidRPr="00A471C2">
        <w:rPr>
          <w:rFonts w:cstheme="majorHAnsi"/>
        </w:rPr>
        <w:t xml:space="preserve"> December 202</w:t>
      </w:r>
      <w:r w:rsidRPr="00A471C2">
        <w:rPr>
          <w:rFonts w:cstheme="majorHAnsi"/>
        </w:rPr>
        <w:t>5</w:t>
      </w:r>
    </w:p>
    <w:p w14:paraId="4037F0D9" w14:textId="563B1964" w:rsidR="00DB6582" w:rsidRPr="00A471C2" w:rsidRDefault="006D057C" w:rsidP="006B6EA1">
      <w:pPr>
        <w:pStyle w:val="Heading3"/>
        <w:spacing w:after="240" w:line="276" w:lineRule="auto"/>
        <w:jc w:val="center"/>
        <w:rPr>
          <w:rFonts w:cstheme="majorHAnsi"/>
          <w:lang w:val="en-US"/>
        </w:rPr>
      </w:pPr>
      <w:r w:rsidRPr="00A471C2">
        <w:rPr>
          <w:rFonts w:cstheme="majorHAnsi"/>
          <w:lang w:val="en-US"/>
        </w:rPr>
        <w:t xml:space="preserve">Drafted with agreement from all FIP Participants </w:t>
      </w:r>
      <w:r w:rsidR="00DB6582" w:rsidRPr="00A471C2">
        <w:rPr>
          <w:rFonts w:cstheme="majorHAnsi"/>
          <w:lang w:val="en-US"/>
        </w:rPr>
        <w:t>–</w:t>
      </w:r>
      <w:r w:rsidRPr="00A471C2">
        <w:rPr>
          <w:rFonts w:cstheme="majorHAnsi"/>
          <w:lang w:val="en-US"/>
        </w:rPr>
        <w:t xml:space="preserve"> </w:t>
      </w:r>
      <w:r w:rsidR="00DB6582" w:rsidRPr="00A471C2">
        <w:rPr>
          <w:rFonts w:cstheme="majorHAnsi"/>
          <w:lang w:val="en-US"/>
        </w:rPr>
        <w:t>November 202</w:t>
      </w:r>
      <w:r w:rsidR="00A471C2">
        <w:rPr>
          <w:rFonts w:cstheme="majorHAnsi"/>
          <w:lang w:val="en-US"/>
        </w:rPr>
        <w:t>5</w:t>
      </w:r>
    </w:p>
    <w:p w14:paraId="7B2AE1D5" w14:textId="5CE9C219" w:rsidR="006B6EA1" w:rsidRPr="00C91CCA" w:rsidRDefault="002D5AD5" w:rsidP="001B65D3">
      <w:pPr>
        <w:spacing w:line="276" w:lineRule="auto"/>
        <w:jc w:val="both"/>
        <w:rPr>
          <w:rFonts w:cstheme="minorHAnsi"/>
        </w:rPr>
      </w:pPr>
      <w:r w:rsidRPr="00C91CCA">
        <w:rPr>
          <w:rFonts w:cstheme="minorHAnsi"/>
        </w:rPr>
        <w:t>The vessel owners and industry participants of this FIP submit this letter to request additional support from CCMs for the measures that will further tuna conservation at the Commission meeting beginning 1 December 2025. There are several critical measures and issues that require immediate attention by the WCPFC this year, and others that need to be advanced in 2026. We strongly urge WCPFC acts in December 2025 to ensure that Recommendations that are about to partially or fully expire continue to be effective in 2026. Other priority issues are listed below:</w:t>
      </w:r>
      <w:r w:rsidR="00DB6582" w:rsidRPr="00C91CCA">
        <w:rPr>
          <w:rFonts w:cstheme="minorHAnsi"/>
        </w:rPr>
        <w:t xml:space="preserve"> </w:t>
      </w:r>
    </w:p>
    <w:p w14:paraId="785F56AB" w14:textId="77777777" w:rsidR="00546D0F" w:rsidRPr="00C91CCA" w:rsidRDefault="00546D0F" w:rsidP="001B65D3">
      <w:pPr>
        <w:spacing w:line="276" w:lineRule="auto"/>
        <w:jc w:val="both"/>
        <w:rPr>
          <w:rFonts w:cstheme="minorHAnsi"/>
          <w:b/>
          <w:bCs/>
        </w:rPr>
      </w:pPr>
      <w:r w:rsidRPr="00C91CCA">
        <w:rPr>
          <w:rFonts w:cstheme="minorHAnsi"/>
          <w:b/>
          <w:bCs/>
        </w:rPr>
        <w:t>Compliance Processes</w:t>
      </w:r>
    </w:p>
    <w:p w14:paraId="5E356207" w14:textId="77777777" w:rsidR="002D5AD5" w:rsidRPr="00C91CCA" w:rsidRDefault="002D5AD5" w:rsidP="00A471C2">
      <w:pPr>
        <w:pStyle w:val="NormalWeb"/>
        <w:numPr>
          <w:ilvl w:val="0"/>
          <w:numId w:val="31"/>
        </w:numPr>
        <w:rPr>
          <w:rFonts w:asciiTheme="minorHAnsi" w:hAnsiTheme="minorHAnsi" w:cstheme="minorHAnsi"/>
          <w:sz w:val="22"/>
          <w:szCs w:val="22"/>
        </w:rPr>
      </w:pPr>
      <w:r w:rsidRPr="00C91CCA">
        <w:rPr>
          <w:rFonts w:asciiTheme="minorHAnsi" w:hAnsiTheme="minorHAnsi" w:cstheme="minorHAnsi"/>
          <w:sz w:val="22"/>
          <w:szCs w:val="22"/>
        </w:rPr>
        <w:t>Review the Commission’s data rules and procedures used in the Compliance Monitoring Scheme (CMS) in 2026 and take this review into account in developing guidelines for the participation of accredited observers in the CMS.</w:t>
      </w:r>
    </w:p>
    <w:p w14:paraId="695AC72A" w14:textId="6DD158A2" w:rsidR="00546D0F" w:rsidRPr="00C91CCA" w:rsidRDefault="00546D0F" w:rsidP="001B65D3">
      <w:pPr>
        <w:spacing w:line="276" w:lineRule="auto"/>
        <w:jc w:val="both"/>
        <w:rPr>
          <w:rFonts w:cstheme="minorHAnsi"/>
          <w:b/>
          <w:bCs/>
        </w:rPr>
      </w:pPr>
      <w:r w:rsidRPr="00C91CCA">
        <w:rPr>
          <w:rFonts w:cstheme="minorHAnsi"/>
          <w:b/>
          <w:bCs/>
        </w:rPr>
        <w:t>Tuna stock conservation</w:t>
      </w:r>
    </w:p>
    <w:p w14:paraId="22237E7C" w14:textId="7F400085" w:rsidR="002D5AD5" w:rsidRPr="00C91CCA" w:rsidRDefault="002D5AD5" w:rsidP="002D5AD5">
      <w:pPr>
        <w:pStyle w:val="ListParagraph"/>
        <w:numPr>
          <w:ilvl w:val="0"/>
          <w:numId w:val="25"/>
        </w:numPr>
        <w:spacing w:line="276" w:lineRule="auto"/>
        <w:jc w:val="both"/>
        <w:rPr>
          <w:rFonts w:cstheme="minorHAnsi"/>
          <w:b/>
          <w:bCs/>
        </w:rPr>
      </w:pPr>
      <w:r w:rsidRPr="00C91CCA">
        <w:rPr>
          <w:rFonts w:cstheme="minorHAnsi"/>
        </w:rPr>
        <w:t>Continue to manage skipjack tuna based on the Management Procedure in place.</w:t>
      </w:r>
    </w:p>
    <w:p w14:paraId="4AEA93E1" w14:textId="3D222D78" w:rsidR="00FE0630" w:rsidRPr="00FE0630" w:rsidRDefault="00FE0630" w:rsidP="002D5AD5">
      <w:pPr>
        <w:pStyle w:val="NormalWeb"/>
        <w:rPr>
          <w:rFonts w:asciiTheme="minorHAnsi" w:hAnsiTheme="minorHAnsi" w:cstheme="minorHAnsi"/>
          <w:b/>
          <w:bCs/>
          <w:sz w:val="22"/>
          <w:szCs w:val="22"/>
        </w:rPr>
      </w:pPr>
      <w:r>
        <w:rPr>
          <w:rFonts w:asciiTheme="minorHAnsi" w:hAnsiTheme="minorHAnsi" w:cstheme="minorHAnsi"/>
          <w:b/>
          <w:bCs/>
          <w:sz w:val="22"/>
          <w:szCs w:val="22"/>
        </w:rPr>
        <w:t>FAD Managements</w:t>
      </w:r>
    </w:p>
    <w:p w14:paraId="26CE86F6" w14:textId="0D1DCA67" w:rsidR="002D5AD5" w:rsidRPr="00C91CCA" w:rsidRDefault="002D5AD5" w:rsidP="002D5AD5">
      <w:pPr>
        <w:pStyle w:val="NormalWeb"/>
        <w:rPr>
          <w:rFonts w:asciiTheme="minorHAnsi" w:hAnsiTheme="minorHAnsi" w:cstheme="minorHAnsi"/>
          <w:sz w:val="22"/>
          <w:szCs w:val="22"/>
        </w:rPr>
      </w:pPr>
      <w:r w:rsidRPr="00C91CCA">
        <w:rPr>
          <w:rFonts w:asciiTheme="minorHAnsi" w:hAnsiTheme="minorHAnsi" w:cstheme="minorHAnsi"/>
          <w:sz w:val="22"/>
          <w:szCs w:val="22"/>
        </w:rPr>
        <w:t>In line with ISSF’s established approach to strengthening FAD management:</w:t>
      </w:r>
    </w:p>
    <w:p w14:paraId="5C1C5DF0" w14:textId="77777777" w:rsidR="002D5AD5" w:rsidRPr="00C91CCA" w:rsidRDefault="002D5AD5" w:rsidP="002D5AD5">
      <w:pPr>
        <w:pStyle w:val="NormalWeb"/>
        <w:numPr>
          <w:ilvl w:val="0"/>
          <w:numId w:val="26"/>
        </w:numPr>
        <w:rPr>
          <w:rFonts w:asciiTheme="minorHAnsi" w:hAnsiTheme="minorHAnsi" w:cstheme="minorHAnsi"/>
          <w:sz w:val="22"/>
          <w:szCs w:val="22"/>
        </w:rPr>
      </w:pPr>
      <w:r w:rsidRPr="00C91CCA">
        <w:rPr>
          <w:rFonts w:asciiTheme="minorHAnsi" w:hAnsiTheme="minorHAnsi" w:cstheme="minorHAnsi"/>
          <w:sz w:val="22"/>
          <w:szCs w:val="22"/>
        </w:rPr>
        <w:t>Establish a timeline for transitioning to 100% biodegradable FADs consistent with the timeline agreed by the IATTC, ICCAT or IOTC.</w:t>
      </w:r>
    </w:p>
    <w:p w14:paraId="474CA078" w14:textId="77777777" w:rsidR="002D5AD5" w:rsidRPr="00C91CCA" w:rsidRDefault="002D5AD5" w:rsidP="002D5AD5">
      <w:pPr>
        <w:pStyle w:val="NormalWeb"/>
        <w:numPr>
          <w:ilvl w:val="0"/>
          <w:numId w:val="26"/>
        </w:numPr>
        <w:rPr>
          <w:rFonts w:asciiTheme="minorHAnsi" w:hAnsiTheme="minorHAnsi" w:cstheme="minorHAnsi"/>
          <w:sz w:val="22"/>
          <w:szCs w:val="22"/>
        </w:rPr>
      </w:pPr>
      <w:r w:rsidRPr="00C91CCA">
        <w:rPr>
          <w:rFonts w:asciiTheme="minorHAnsi" w:hAnsiTheme="minorHAnsi" w:cstheme="minorHAnsi"/>
          <w:sz w:val="22"/>
          <w:szCs w:val="22"/>
        </w:rPr>
        <w:t>Establish a timeline to develop a WCPFC FAD register.</w:t>
      </w:r>
    </w:p>
    <w:p w14:paraId="61B50517" w14:textId="77777777" w:rsidR="002D5AD5" w:rsidRPr="00C91CCA" w:rsidRDefault="002D5AD5" w:rsidP="002D5AD5">
      <w:pPr>
        <w:pStyle w:val="NormalWeb"/>
        <w:numPr>
          <w:ilvl w:val="0"/>
          <w:numId w:val="26"/>
        </w:numPr>
        <w:rPr>
          <w:rFonts w:asciiTheme="minorHAnsi" w:hAnsiTheme="minorHAnsi" w:cstheme="minorHAnsi"/>
          <w:sz w:val="22"/>
          <w:szCs w:val="22"/>
        </w:rPr>
      </w:pPr>
      <w:r w:rsidRPr="00C91CCA">
        <w:rPr>
          <w:rFonts w:asciiTheme="minorHAnsi" w:hAnsiTheme="minorHAnsi" w:cstheme="minorHAnsi"/>
          <w:sz w:val="22"/>
          <w:szCs w:val="22"/>
        </w:rPr>
        <w:t>Develop and adopt a requirement for provision to WCPFC of near real-time FAD position and acoustic biomass records data for scientific use with a maximum time lag of 90 days to protect confidentiality.</w:t>
      </w:r>
    </w:p>
    <w:p w14:paraId="789139F7" w14:textId="77777777" w:rsidR="002D5AD5" w:rsidRPr="00C91CCA" w:rsidRDefault="002D5AD5" w:rsidP="002D5AD5">
      <w:pPr>
        <w:pStyle w:val="NormalWeb"/>
        <w:numPr>
          <w:ilvl w:val="0"/>
          <w:numId w:val="26"/>
        </w:numPr>
        <w:rPr>
          <w:rFonts w:asciiTheme="minorHAnsi" w:hAnsiTheme="minorHAnsi" w:cstheme="minorHAnsi"/>
          <w:sz w:val="22"/>
          <w:szCs w:val="22"/>
        </w:rPr>
      </w:pPr>
      <w:r w:rsidRPr="00C91CCA">
        <w:rPr>
          <w:rFonts w:asciiTheme="minorHAnsi" w:hAnsiTheme="minorHAnsi" w:cstheme="minorHAnsi"/>
          <w:sz w:val="22"/>
          <w:szCs w:val="22"/>
        </w:rPr>
        <w:t>Develop and adopt a FAD marking scheme, including requiring the marking of the buoy and the FAD structure.</w:t>
      </w:r>
    </w:p>
    <w:p w14:paraId="7669A72C" w14:textId="77777777" w:rsidR="002D5AD5" w:rsidRPr="00C91CCA" w:rsidRDefault="002D5AD5" w:rsidP="002D5AD5">
      <w:pPr>
        <w:pStyle w:val="NormalWeb"/>
        <w:numPr>
          <w:ilvl w:val="0"/>
          <w:numId w:val="26"/>
        </w:numPr>
        <w:rPr>
          <w:rFonts w:asciiTheme="minorHAnsi" w:hAnsiTheme="minorHAnsi" w:cstheme="minorHAnsi"/>
          <w:sz w:val="22"/>
          <w:szCs w:val="22"/>
        </w:rPr>
      </w:pPr>
      <w:r w:rsidRPr="00C91CCA">
        <w:rPr>
          <w:rFonts w:asciiTheme="minorHAnsi" w:hAnsiTheme="minorHAnsi" w:cstheme="minorHAnsi"/>
          <w:sz w:val="22"/>
          <w:szCs w:val="22"/>
        </w:rPr>
        <w:t>Develop and adopt clear rules for FAD ownership and for FAD buoy activation and deactivation.</w:t>
      </w:r>
    </w:p>
    <w:p w14:paraId="5F47E004" w14:textId="150DB210" w:rsidR="00CF46E8" w:rsidRPr="00C91CCA" w:rsidRDefault="00CF46E8" w:rsidP="00CF46E8">
      <w:pPr>
        <w:ind w:hanging="2"/>
        <w:rPr>
          <w:rFonts w:cstheme="minorHAnsi"/>
          <w:b/>
          <w:bCs/>
        </w:rPr>
      </w:pPr>
      <w:r w:rsidRPr="00C91CCA">
        <w:rPr>
          <w:rFonts w:cstheme="minorHAnsi"/>
          <w:b/>
          <w:bCs/>
        </w:rPr>
        <w:tab/>
        <w:t>Electronic Monitoring (EM) and Reporting &amp; Observer Coverage</w:t>
      </w:r>
    </w:p>
    <w:p w14:paraId="4670D295" w14:textId="77777777" w:rsidR="002D5AD5" w:rsidRPr="00C91CCA" w:rsidRDefault="002D5AD5" w:rsidP="002D5AD5">
      <w:pPr>
        <w:pStyle w:val="NormalWeb"/>
        <w:numPr>
          <w:ilvl w:val="0"/>
          <w:numId w:val="25"/>
        </w:numPr>
        <w:rPr>
          <w:rFonts w:asciiTheme="minorHAnsi" w:hAnsiTheme="minorHAnsi" w:cstheme="minorHAnsi"/>
          <w:sz w:val="22"/>
          <w:szCs w:val="22"/>
        </w:rPr>
      </w:pPr>
      <w:r w:rsidRPr="00C91CCA">
        <w:rPr>
          <w:rFonts w:asciiTheme="minorHAnsi" w:hAnsiTheme="minorHAnsi" w:cstheme="minorHAnsi"/>
          <w:sz w:val="22"/>
          <w:szCs w:val="22"/>
        </w:rPr>
        <w:t>Increase observer coverage (human and/or electronic in accordance with the adopted minimum EM standards) on large-scale longline vessels to an interim level of 20%.</w:t>
      </w:r>
    </w:p>
    <w:p w14:paraId="18FAD023" w14:textId="23F3B015" w:rsidR="002D5AD5" w:rsidRPr="00C91CCA" w:rsidRDefault="002D5AD5" w:rsidP="00CF46E8">
      <w:pPr>
        <w:ind w:hanging="2"/>
        <w:rPr>
          <w:rFonts w:cstheme="minorHAnsi"/>
          <w:b/>
          <w:bCs/>
        </w:rPr>
      </w:pPr>
      <w:r w:rsidRPr="00C91CCA">
        <w:rPr>
          <w:rFonts w:cstheme="minorHAnsi"/>
          <w:b/>
          <w:bCs/>
        </w:rPr>
        <w:t>Transshipment Regulation and Port State Measures</w:t>
      </w:r>
    </w:p>
    <w:p w14:paraId="11B55ABA" w14:textId="77777777" w:rsidR="002D5AD5" w:rsidRPr="00C91CCA" w:rsidRDefault="002D5AD5" w:rsidP="002D5AD5">
      <w:pPr>
        <w:pStyle w:val="NormalWeb"/>
        <w:rPr>
          <w:rFonts w:asciiTheme="minorHAnsi" w:hAnsiTheme="minorHAnsi" w:cstheme="minorHAnsi"/>
          <w:sz w:val="22"/>
          <w:szCs w:val="22"/>
        </w:rPr>
      </w:pPr>
      <w:r w:rsidRPr="00C91CCA">
        <w:rPr>
          <w:rFonts w:asciiTheme="minorHAnsi" w:hAnsiTheme="minorHAnsi" w:cstheme="minorHAnsi"/>
          <w:sz w:val="22"/>
          <w:szCs w:val="22"/>
        </w:rPr>
        <w:t>Adopt revisions to CMM 2009-06 to strengthen the regulation of at-sea transshipment and to CMM 2017-02 to enhance port State measures implementation:</w:t>
      </w:r>
    </w:p>
    <w:p w14:paraId="58EC0A35" w14:textId="2E3FA96A" w:rsidR="002D5AD5" w:rsidRPr="00FE0630" w:rsidRDefault="002D5AD5" w:rsidP="002D5AD5">
      <w:pPr>
        <w:pStyle w:val="NormalWeb"/>
        <w:rPr>
          <w:rFonts w:asciiTheme="minorHAnsi" w:hAnsiTheme="minorHAnsi" w:cstheme="minorHAnsi"/>
          <w:b/>
          <w:bCs/>
          <w:sz w:val="22"/>
          <w:szCs w:val="22"/>
        </w:rPr>
      </w:pPr>
      <w:r w:rsidRPr="00FE0630">
        <w:rPr>
          <w:rStyle w:val="Strong"/>
          <w:rFonts w:asciiTheme="minorHAnsi" w:hAnsiTheme="minorHAnsi" w:cstheme="minorHAnsi"/>
          <w:b w:val="0"/>
          <w:bCs w:val="0"/>
          <w:sz w:val="22"/>
          <w:szCs w:val="22"/>
        </w:rPr>
        <w:t xml:space="preserve">For CMM 2009-06, improvements, in line with </w:t>
      </w:r>
      <w:hyperlink r:id="rId8" w:history="1">
        <w:r w:rsidRPr="00430E32">
          <w:rPr>
            <w:rStyle w:val="Hyperlink"/>
            <w:rFonts w:asciiTheme="minorHAnsi" w:hAnsiTheme="minorHAnsi" w:cstheme="minorHAnsi"/>
            <w:sz w:val="22"/>
            <w:szCs w:val="22"/>
          </w:rPr>
          <w:t>best practice standards</w:t>
        </w:r>
      </w:hyperlink>
      <w:r w:rsidRPr="00FE0630">
        <w:rPr>
          <w:rStyle w:val="Strong"/>
          <w:rFonts w:asciiTheme="minorHAnsi" w:hAnsiTheme="minorHAnsi" w:cstheme="minorHAnsi"/>
          <w:b w:val="0"/>
          <w:bCs w:val="0"/>
          <w:sz w:val="22"/>
          <w:szCs w:val="22"/>
        </w:rPr>
        <w:t>, include:</w:t>
      </w:r>
    </w:p>
    <w:p w14:paraId="40E19DF4" w14:textId="77777777" w:rsidR="002D5AD5" w:rsidRPr="00C91CCA" w:rsidRDefault="002D5AD5" w:rsidP="002D5AD5">
      <w:pPr>
        <w:pStyle w:val="NormalWeb"/>
        <w:numPr>
          <w:ilvl w:val="0"/>
          <w:numId w:val="27"/>
        </w:numPr>
        <w:rPr>
          <w:rFonts w:asciiTheme="minorHAnsi" w:hAnsiTheme="minorHAnsi" w:cstheme="minorHAnsi"/>
          <w:sz w:val="22"/>
          <w:szCs w:val="22"/>
        </w:rPr>
      </w:pPr>
      <w:r w:rsidRPr="00C91CCA">
        <w:rPr>
          <w:rFonts w:asciiTheme="minorHAnsi" w:hAnsiTheme="minorHAnsi" w:cstheme="minorHAnsi"/>
          <w:sz w:val="22"/>
          <w:szCs w:val="22"/>
        </w:rPr>
        <w:t>Requiring advance notification at least 48 hours prior to any transshipment event to all relevant authorities and the WCPFC Secretariat, including time, location, and quantities on board before transshipment.</w:t>
      </w:r>
    </w:p>
    <w:p w14:paraId="2A756E89" w14:textId="77777777" w:rsidR="002D5AD5" w:rsidRPr="00C91CCA" w:rsidRDefault="002D5AD5" w:rsidP="002D5AD5">
      <w:pPr>
        <w:pStyle w:val="NormalWeb"/>
        <w:numPr>
          <w:ilvl w:val="0"/>
          <w:numId w:val="27"/>
        </w:numPr>
        <w:rPr>
          <w:rFonts w:asciiTheme="minorHAnsi" w:hAnsiTheme="minorHAnsi" w:cstheme="minorHAnsi"/>
          <w:sz w:val="22"/>
          <w:szCs w:val="22"/>
        </w:rPr>
      </w:pPr>
      <w:r w:rsidRPr="00C91CCA">
        <w:rPr>
          <w:rFonts w:asciiTheme="minorHAnsi" w:hAnsiTheme="minorHAnsi" w:cstheme="minorHAnsi"/>
          <w:sz w:val="22"/>
          <w:szCs w:val="22"/>
        </w:rPr>
        <w:t>Requiring the use of AIS, prohibiting transshipments during VMS failures and increasing VMS reporting frequency to support monitoring, control and surveillance activities.</w:t>
      </w:r>
    </w:p>
    <w:p w14:paraId="761E4FE3" w14:textId="77777777" w:rsidR="002D5AD5" w:rsidRPr="00C91CCA" w:rsidRDefault="002D5AD5" w:rsidP="002D5AD5">
      <w:pPr>
        <w:pStyle w:val="NormalWeb"/>
        <w:numPr>
          <w:ilvl w:val="0"/>
          <w:numId w:val="27"/>
        </w:numPr>
        <w:rPr>
          <w:rFonts w:asciiTheme="minorHAnsi" w:hAnsiTheme="minorHAnsi" w:cstheme="minorHAnsi"/>
          <w:sz w:val="22"/>
          <w:szCs w:val="22"/>
        </w:rPr>
      </w:pPr>
      <w:r w:rsidRPr="00C91CCA">
        <w:rPr>
          <w:rFonts w:asciiTheme="minorHAnsi" w:hAnsiTheme="minorHAnsi" w:cstheme="minorHAnsi"/>
          <w:sz w:val="22"/>
          <w:szCs w:val="22"/>
        </w:rPr>
        <w:t>Prohibiting vessels from acting as both donor and receiving vessels.</w:t>
      </w:r>
    </w:p>
    <w:p w14:paraId="03EBBAAB" w14:textId="5D07F652" w:rsidR="002D5AD5" w:rsidRPr="00FE0630" w:rsidRDefault="002D5AD5" w:rsidP="002D5AD5">
      <w:pPr>
        <w:pStyle w:val="NormalWeb"/>
        <w:rPr>
          <w:rFonts w:asciiTheme="minorHAnsi" w:hAnsiTheme="minorHAnsi" w:cstheme="minorHAnsi"/>
          <w:b/>
          <w:bCs/>
          <w:sz w:val="22"/>
          <w:szCs w:val="22"/>
        </w:rPr>
      </w:pPr>
      <w:r w:rsidRPr="00FE0630">
        <w:rPr>
          <w:rStyle w:val="Strong"/>
          <w:rFonts w:asciiTheme="minorHAnsi" w:hAnsiTheme="minorHAnsi" w:cstheme="minorHAnsi"/>
          <w:b w:val="0"/>
          <w:bCs w:val="0"/>
          <w:sz w:val="22"/>
          <w:szCs w:val="22"/>
        </w:rPr>
        <w:t xml:space="preserve">For CMM 2017-02, improvements, in line with </w:t>
      </w:r>
      <w:hyperlink r:id="rId9" w:history="1">
        <w:r w:rsidRPr="00430E32">
          <w:rPr>
            <w:rStyle w:val="Hyperlink"/>
            <w:rFonts w:asciiTheme="minorHAnsi" w:hAnsiTheme="minorHAnsi" w:cstheme="minorHAnsi"/>
            <w:sz w:val="22"/>
            <w:szCs w:val="22"/>
          </w:rPr>
          <w:t>best practice standards</w:t>
        </w:r>
      </w:hyperlink>
      <w:r w:rsidRPr="00FE0630">
        <w:rPr>
          <w:rStyle w:val="Strong"/>
          <w:rFonts w:asciiTheme="minorHAnsi" w:hAnsiTheme="minorHAnsi" w:cstheme="minorHAnsi"/>
          <w:b w:val="0"/>
          <w:bCs w:val="0"/>
          <w:sz w:val="22"/>
          <w:szCs w:val="22"/>
        </w:rPr>
        <w:t>, include:</w:t>
      </w:r>
    </w:p>
    <w:p w14:paraId="0564E7B3" w14:textId="77777777" w:rsidR="002D5AD5" w:rsidRPr="00C91CCA" w:rsidRDefault="002D5AD5" w:rsidP="002D5AD5">
      <w:pPr>
        <w:pStyle w:val="NormalWeb"/>
        <w:numPr>
          <w:ilvl w:val="0"/>
          <w:numId w:val="28"/>
        </w:numPr>
        <w:rPr>
          <w:rFonts w:asciiTheme="minorHAnsi" w:hAnsiTheme="minorHAnsi" w:cstheme="minorHAnsi"/>
          <w:sz w:val="22"/>
          <w:szCs w:val="22"/>
        </w:rPr>
      </w:pPr>
      <w:r w:rsidRPr="00C91CCA">
        <w:rPr>
          <w:rFonts w:asciiTheme="minorHAnsi" w:hAnsiTheme="minorHAnsi" w:cstheme="minorHAnsi"/>
          <w:sz w:val="22"/>
          <w:szCs w:val="22"/>
        </w:rPr>
        <w:t>Requiring advance notice of port entry.</w:t>
      </w:r>
    </w:p>
    <w:p w14:paraId="0B196CA3" w14:textId="77777777" w:rsidR="002D5AD5" w:rsidRPr="00C91CCA" w:rsidRDefault="002D5AD5" w:rsidP="002D5AD5">
      <w:pPr>
        <w:pStyle w:val="NormalWeb"/>
        <w:numPr>
          <w:ilvl w:val="0"/>
          <w:numId w:val="28"/>
        </w:numPr>
        <w:rPr>
          <w:rFonts w:asciiTheme="minorHAnsi" w:hAnsiTheme="minorHAnsi" w:cstheme="minorHAnsi"/>
          <w:sz w:val="22"/>
          <w:szCs w:val="22"/>
        </w:rPr>
      </w:pPr>
      <w:r w:rsidRPr="00C91CCA">
        <w:rPr>
          <w:rFonts w:asciiTheme="minorHAnsi" w:hAnsiTheme="minorHAnsi" w:cstheme="minorHAnsi"/>
          <w:sz w:val="22"/>
          <w:szCs w:val="22"/>
        </w:rPr>
        <w:t>Provisions for denial of port entry and use.</w:t>
      </w:r>
    </w:p>
    <w:p w14:paraId="69695BF0" w14:textId="77777777" w:rsidR="002D5AD5" w:rsidRPr="00C91CCA" w:rsidRDefault="002D5AD5" w:rsidP="002D5AD5">
      <w:pPr>
        <w:pStyle w:val="NormalWeb"/>
        <w:numPr>
          <w:ilvl w:val="0"/>
          <w:numId w:val="28"/>
        </w:numPr>
        <w:rPr>
          <w:rFonts w:asciiTheme="minorHAnsi" w:hAnsiTheme="minorHAnsi" w:cstheme="minorHAnsi"/>
          <w:sz w:val="22"/>
          <w:szCs w:val="22"/>
        </w:rPr>
      </w:pPr>
      <w:r w:rsidRPr="00C91CCA">
        <w:rPr>
          <w:rFonts w:asciiTheme="minorHAnsi" w:hAnsiTheme="minorHAnsi" w:cstheme="minorHAnsi"/>
          <w:sz w:val="22"/>
          <w:szCs w:val="22"/>
        </w:rPr>
        <w:t>Establishing minimum inspection levels.</w:t>
      </w:r>
    </w:p>
    <w:p w14:paraId="28F5EB92" w14:textId="5F5570CB" w:rsidR="00546D0F" w:rsidRPr="00C91CCA" w:rsidRDefault="00546D0F" w:rsidP="006443BE">
      <w:pPr>
        <w:spacing w:line="276" w:lineRule="auto"/>
        <w:jc w:val="both"/>
        <w:rPr>
          <w:rFonts w:cstheme="minorHAnsi"/>
          <w:b/>
          <w:bCs/>
        </w:rPr>
      </w:pPr>
      <w:r w:rsidRPr="00C91CCA">
        <w:rPr>
          <w:rFonts w:cstheme="minorHAnsi"/>
          <w:b/>
          <w:bCs/>
        </w:rPr>
        <w:t>E</w:t>
      </w:r>
      <w:r w:rsidR="00D07537" w:rsidRPr="00C91CCA">
        <w:rPr>
          <w:rFonts w:cstheme="minorHAnsi"/>
          <w:b/>
          <w:bCs/>
        </w:rPr>
        <w:t>ffective</w:t>
      </w:r>
      <w:r w:rsidRPr="00C91CCA">
        <w:rPr>
          <w:rFonts w:cstheme="minorHAnsi"/>
          <w:b/>
          <w:bCs/>
        </w:rPr>
        <w:t xml:space="preserve"> management procedures (Harvest Strategies)</w:t>
      </w:r>
    </w:p>
    <w:p w14:paraId="5A85AE13" w14:textId="0325DDF2" w:rsidR="00C91CCA" w:rsidRPr="00C91CCA" w:rsidRDefault="00C91CCA" w:rsidP="00C91CCA">
      <w:pPr>
        <w:pStyle w:val="ListParagraph"/>
        <w:numPr>
          <w:ilvl w:val="0"/>
          <w:numId w:val="29"/>
        </w:numPr>
        <w:spacing w:line="276" w:lineRule="auto"/>
        <w:jc w:val="both"/>
        <w:rPr>
          <w:rFonts w:cstheme="minorHAnsi"/>
        </w:rPr>
      </w:pPr>
      <w:r w:rsidRPr="00C91CCA">
        <w:rPr>
          <w:rFonts w:cstheme="minorHAnsi"/>
        </w:rPr>
        <w:t xml:space="preserve">Adopt an interim management procedure for South Pacific albacore tuna. </w:t>
      </w:r>
    </w:p>
    <w:p w14:paraId="5F0D00A5" w14:textId="0D13A31A" w:rsidR="00C91CCA" w:rsidRPr="00C91CCA" w:rsidRDefault="00C91CCA" w:rsidP="00C91CCA">
      <w:pPr>
        <w:pStyle w:val="ListParagraph"/>
        <w:numPr>
          <w:ilvl w:val="0"/>
          <w:numId w:val="29"/>
        </w:numPr>
        <w:spacing w:line="276" w:lineRule="auto"/>
        <w:jc w:val="both"/>
        <w:rPr>
          <w:rFonts w:cstheme="minorHAnsi"/>
        </w:rPr>
      </w:pPr>
      <w:r w:rsidRPr="00C91CCA">
        <w:rPr>
          <w:rFonts w:cstheme="minorHAnsi"/>
        </w:rPr>
        <w:t xml:space="preserve">Adopt Target Reference Points and continue to develop management procedures for bigeye and yellowfin. </w:t>
      </w:r>
    </w:p>
    <w:p w14:paraId="692BBB8E" w14:textId="0B26A44E" w:rsidR="00C91CCA" w:rsidRPr="00C91CCA" w:rsidRDefault="00C91CCA" w:rsidP="00C91CCA">
      <w:pPr>
        <w:pStyle w:val="ListParagraph"/>
        <w:numPr>
          <w:ilvl w:val="0"/>
          <w:numId w:val="29"/>
        </w:numPr>
        <w:spacing w:line="276" w:lineRule="auto"/>
        <w:jc w:val="both"/>
        <w:rPr>
          <w:rFonts w:cstheme="minorHAnsi"/>
          <w:b/>
          <w:bCs/>
        </w:rPr>
      </w:pPr>
      <w:r w:rsidRPr="00C91CCA">
        <w:rPr>
          <w:rFonts w:cstheme="minorHAnsi"/>
        </w:rPr>
        <w:t>Request that the Northern Committee recommend Target and Limit Reference Points for Pacific bluefin tuna.</w:t>
      </w:r>
    </w:p>
    <w:p w14:paraId="113EB63E" w14:textId="4E8FEC1A" w:rsidR="00546D0F" w:rsidRPr="00C91CCA" w:rsidRDefault="00546D0F" w:rsidP="00D07537">
      <w:pPr>
        <w:spacing w:line="276" w:lineRule="auto"/>
        <w:jc w:val="both"/>
        <w:rPr>
          <w:rFonts w:cstheme="minorHAnsi"/>
          <w:b/>
          <w:bCs/>
        </w:rPr>
      </w:pPr>
      <w:r w:rsidRPr="00C91CCA">
        <w:rPr>
          <w:rFonts w:cstheme="minorHAnsi"/>
          <w:b/>
          <w:bCs/>
        </w:rPr>
        <w:t>Bycatch mitigation and shark protections</w:t>
      </w:r>
    </w:p>
    <w:p w14:paraId="6842BECC" w14:textId="77777777" w:rsidR="00C91CCA" w:rsidRPr="00C91CCA" w:rsidRDefault="00C91CCA" w:rsidP="00C91CCA">
      <w:pPr>
        <w:pStyle w:val="NormalWeb"/>
        <w:rPr>
          <w:rFonts w:asciiTheme="minorHAnsi" w:hAnsiTheme="minorHAnsi" w:cstheme="minorHAnsi"/>
          <w:sz w:val="22"/>
          <w:szCs w:val="22"/>
        </w:rPr>
      </w:pPr>
      <w:r w:rsidRPr="00C91CCA">
        <w:rPr>
          <w:rFonts w:asciiTheme="minorHAnsi" w:hAnsiTheme="minorHAnsi" w:cstheme="minorHAnsi"/>
          <w:sz w:val="22"/>
          <w:szCs w:val="22"/>
        </w:rPr>
        <w:t>In line with ISSF’s established approach to strengthening bycatch mitigation, shark conservation and non-target species management in tuna fisheries:</w:t>
      </w:r>
    </w:p>
    <w:p w14:paraId="639E90D1" w14:textId="77777777" w:rsidR="00C91CCA" w:rsidRPr="00C91CCA" w:rsidRDefault="00C91CCA" w:rsidP="00C91CCA">
      <w:pPr>
        <w:pStyle w:val="NormalWeb"/>
        <w:numPr>
          <w:ilvl w:val="0"/>
          <w:numId w:val="30"/>
        </w:numPr>
        <w:rPr>
          <w:rFonts w:asciiTheme="minorHAnsi" w:hAnsiTheme="minorHAnsi" w:cstheme="minorHAnsi"/>
          <w:sz w:val="22"/>
          <w:szCs w:val="22"/>
        </w:rPr>
      </w:pPr>
      <w:r w:rsidRPr="00C91CCA">
        <w:rPr>
          <w:rFonts w:asciiTheme="minorHAnsi" w:hAnsiTheme="minorHAnsi" w:cstheme="minorHAnsi"/>
          <w:sz w:val="22"/>
          <w:szCs w:val="22"/>
        </w:rPr>
        <w:t>Adopt a seabird conservation management measure that reflects up-to-date scientific advice on bycatch mitigation best practices.</w:t>
      </w:r>
    </w:p>
    <w:p w14:paraId="6007B142" w14:textId="10AC95E8" w:rsidR="00AE3CBD" w:rsidRPr="00F64AF0" w:rsidRDefault="00C91CCA" w:rsidP="00F64AF0">
      <w:pPr>
        <w:pStyle w:val="NormalWeb"/>
        <w:numPr>
          <w:ilvl w:val="0"/>
          <w:numId w:val="30"/>
        </w:numPr>
        <w:rPr>
          <w:rFonts w:asciiTheme="minorHAnsi" w:hAnsiTheme="minorHAnsi" w:cstheme="minorHAnsi"/>
          <w:sz w:val="22"/>
          <w:szCs w:val="22"/>
        </w:rPr>
      </w:pPr>
      <w:r w:rsidRPr="00C91CCA">
        <w:rPr>
          <w:rFonts w:asciiTheme="minorHAnsi" w:hAnsiTheme="minorHAnsi" w:cstheme="minorHAnsi"/>
          <w:sz w:val="22"/>
          <w:szCs w:val="22"/>
        </w:rPr>
        <w:t>Amend CMM 2024-05 to require that all retained sharks be landed with fins naturally attached without exceptions.</w:t>
      </w:r>
    </w:p>
    <w:p w14:paraId="3A3F3EB0" w14:textId="356E78DF" w:rsidR="006B6EA1" w:rsidRPr="00C91CCA" w:rsidRDefault="006B6EA1" w:rsidP="001B65D3">
      <w:pPr>
        <w:spacing w:line="276" w:lineRule="auto"/>
        <w:jc w:val="both"/>
        <w:rPr>
          <w:rFonts w:cstheme="minorHAnsi"/>
        </w:rPr>
      </w:pPr>
      <w:r w:rsidRPr="00C91CCA">
        <w:rPr>
          <w:rFonts w:cstheme="minorHAnsi"/>
        </w:rPr>
        <w:t xml:space="preserve">For any further information, please </w:t>
      </w:r>
      <w:r w:rsidR="00000112" w:rsidRPr="00C91CCA">
        <w:rPr>
          <w:rFonts w:cstheme="minorHAnsi"/>
        </w:rPr>
        <w:t xml:space="preserve">do not hesitate to </w:t>
      </w:r>
      <w:r w:rsidRPr="00C91CCA">
        <w:rPr>
          <w:rFonts w:cstheme="minorHAnsi"/>
        </w:rPr>
        <w:t>contact t</w:t>
      </w:r>
      <w:r w:rsidR="00000112" w:rsidRPr="00C91CCA">
        <w:rPr>
          <w:rFonts w:cstheme="minorHAnsi"/>
        </w:rPr>
        <w:t xml:space="preserve">he </w:t>
      </w:r>
      <w:r w:rsidR="00F64AF0">
        <w:rPr>
          <w:rFonts w:cstheme="minorHAnsi"/>
        </w:rPr>
        <w:t>project coordinator</w:t>
      </w:r>
      <w:r w:rsidR="00000112" w:rsidRPr="00C91CCA">
        <w:rPr>
          <w:rFonts w:cstheme="minorHAnsi"/>
        </w:rPr>
        <w:t>.</w:t>
      </w:r>
    </w:p>
    <w:p w14:paraId="7AE5EE25" w14:textId="28CA32E0" w:rsidR="00FE7190" w:rsidRPr="00C91CCA" w:rsidRDefault="00FE7190" w:rsidP="001B65D3">
      <w:pPr>
        <w:spacing w:line="276" w:lineRule="auto"/>
        <w:jc w:val="both"/>
        <w:rPr>
          <w:rFonts w:cstheme="minorHAnsi"/>
        </w:rPr>
      </w:pPr>
      <w:r w:rsidRPr="00C91CCA">
        <w:rPr>
          <w:rFonts w:cstheme="minorHAnsi"/>
        </w:rPr>
        <w:t>Thank you for your attention in this matter.</w:t>
      </w:r>
    </w:p>
    <w:p w14:paraId="71E6587E" w14:textId="1F086D16" w:rsidR="00D10908" w:rsidRPr="00C91CCA" w:rsidRDefault="00D10908" w:rsidP="001B65D3">
      <w:pPr>
        <w:spacing w:line="276" w:lineRule="auto"/>
        <w:jc w:val="both"/>
        <w:rPr>
          <w:rFonts w:cstheme="minorHAnsi"/>
          <w:b/>
          <w:bCs/>
          <w:lang w:val="en-US"/>
        </w:rPr>
      </w:pPr>
    </w:p>
    <w:sectPr w:rsidR="00D10908" w:rsidRPr="00C91CCA" w:rsidSect="00AE3CBD">
      <w:headerReference w:type="default" r:id="rId10"/>
      <w:footerReference w:type="default" r:id="rId11"/>
      <w:pgSz w:w="11906" w:h="16838"/>
      <w:pgMar w:top="141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340E" w14:textId="77777777" w:rsidR="007D41A1" w:rsidRDefault="007D41A1" w:rsidP="006D057C">
      <w:pPr>
        <w:spacing w:after="0" w:line="240" w:lineRule="auto"/>
      </w:pPr>
      <w:r>
        <w:separator/>
      </w:r>
    </w:p>
  </w:endnote>
  <w:endnote w:type="continuationSeparator" w:id="0">
    <w:p w14:paraId="3C615F77" w14:textId="77777777" w:rsidR="007D41A1" w:rsidRDefault="007D41A1" w:rsidP="006D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561842"/>
      <w:docPartObj>
        <w:docPartGallery w:val="Page Numbers (Bottom of Page)"/>
        <w:docPartUnique/>
      </w:docPartObj>
    </w:sdtPr>
    <w:sdtEndPr>
      <w:rPr>
        <w:rFonts w:ascii="Segoe UI" w:hAnsi="Segoe UI" w:cs="Segoe UI"/>
        <w:noProof/>
        <w:sz w:val="18"/>
      </w:rPr>
    </w:sdtEndPr>
    <w:sdtContent>
      <w:p w14:paraId="5C0B78DE" w14:textId="77777777" w:rsidR="00563231" w:rsidRDefault="00563231" w:rsidP="00B558BE">
        <w:pPr>
          <w:pStyle w:val="Footer"/>
          <w:jc w:val="center"/>
        </w:pPr>
      </w:p>
      <w:p w14:paraId="59FEE4B5" w14:textId="4C187D9A" w:rsidR="004A2AF7" w:rsidRPr="00E040BD" w:rsidRDefault="00AE3CBD" w:rsidP="00AE3CBD">
        <w:pPr>
          <w:pStyle w:val="Footer"/>
          <w:jc w:val="center"/>
          <w:rPr>
            <w:sz w:val="18"/>
          </w:rPr>
        </w:pPr>
        <w:r>
          <w:rPr>
            <w:sz w:val="18"/>
          </w:rPr>
          <w:t>K</w:t>
        </w:r>
        <w:r w:rsidR="00935724" w:rsidRPr="00E040BD">
          <w:rPr>
            <w:sz w:val="18"/>
          </w:rPr>
          <w:t>ey Traceability Ltd. Company Registered in England, Number 9730288, VAT No. 257022718</w:t>
        </w:r>
      </w:p>
      <w:p w14:paraId="2298D5FD" w14:textId="62976ADD" w:rsidR="004A2AF7" w:rsidRPr="00D1033F" w:rsidRDefault="00935724" w:rsidP="00D1033F">
        <w:pPr>
          <w:pStyle w:val="Footer"/>
          <w:jc w:val="center"/>
          <w:rPr>
            <w:rFonts w:ascii="Segoe UI" w:hAnsi="Segoe UI" w:cs="Segoe UI"/>
            <w:noProof/>
            <w:sz w:val="18"/>
          </w:rPr>
        </w:pPr>
        <w:hyperlink r:id="rId1" w:history="1">
          <w:r w:rsidRPr="00E040BD">
            <w:rPr>
              <w:rStyle w:val="Hyperlink"/>
              <w:sz w:val="18"/>
            </w:rPr>
            <w:t>http://keytraceability.com/</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06C8" w14:textId="77777777" w:rsidR="007D41A1" w:rsidRDefault="007D41A1" w:rsidP="006D057C">
      <w:pPr>
        <w:spacing w:after="0" w:line="240" w:lineRule="auto"/>
      </w:pPr>
      <w:r>
        <w:separator/>
      </w:r>
    </w:p>
  </w:footnote>
  <w:footnote w:type="continuationSeparator" w:id="0">
    <w:p w14:paraId="1397D4D8" w14:textId="77777777" w:rsidR="007D41A1" w:rsidRDefault="007D41A1" w:rsidP="006D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0E1B" w14:textId="294ED270" w:rsidR="006443BE" w:rsidRPr="00D1033F" w:rsidRDefault="00F5106F" w:rsidP="006443BE">
    <w:pPr>
      <w:pStyle w:val="Header"/>
      <w:jc w:val="right"/>
      <w:rPr>
        <w:sz w:val="18"/>
        <w:szCs w:val="18"/>
      </w:rPr>
    </w:pPr>
    <w:r>
      <w:rPr>
        <w:noProof/>
        <w:lang w:eastAsia="en-GB"/>
      </w:rPr>
      <w:drawing>
        <wp:anchor distT="0" distB="0" distL="114300" distR="114300" simplePos="0" relativeHeight="251661312" behindDoc="1" locked="0" layoutInCell="1" allowOverlap="1" wp14:anchorId="413F916F" wp14:editId="56BF1E6F">
          <wp:simplePos x="0" y="0"/>
          <wp:positionH relativeFrom="page">
            <wp:posOffset>179705</wp:posOffset>
          </wp:positionH>
          <wp:positionV relativeFrom="paragraph">
            <wp:posOffset>-360045</wp:posOffset>
          </wp:positionV>
          <wp:extent cx="1019175" cy="720725"/>
          <wp:effectExtent l="0" t="0" r="0" b="0"/>
          <wp:wrapNone/>
          <wp:docPr id="513077602" name="Picture 5130776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2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5724">
      <w:tab/>
    </w:r>
    <w:r w:rsidR="00935724" w:rsidRPr="00D1033F">
      <w:rPr>
        <w:sz w:val="18"/>
        <w:szCs w:val="18"/>
      </w:rPr>
      <w:t xml:space="preserve">                        </w:t>
    </w:r>
    <w:r w:rsidR="00000112">
      <w:rPr>
        <w:sz w:val="18"/>
        <w:szCs w:val="18"/>
      </w:rPr>
      <w:t>Position Statement for the WCPFC Commission Meeting -</w:t>
    </w:r>
    <w:r w:rsidR="006B109A">
      <w:rPr>
        <w:sz w:val="18"/>
        <w:szCs w:val="18"/>
      </w:rPr>
      <w:t xml:space="preserve"> 202</w:t>
    </w:r>
    <w:r w:rsidR="0013386F">
      <w:rPr>
        <w:sz w:val="18"/>
        <w:szCs w:val="18"/>
      </w:rPr>
      <w:t>5</w:t>
    </w:r>
  </w:p>
  <w:p w14:paraId="570EDC87" w14:textId="77777777" w:rsidR="004A2AF7" w:rsidRPr="00D1033F" w:rsidRDefault="004A2AF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A41"/>
    <w:multiLevelType w:val="hybridMultilevel"/>
    <w:tmpl w:val="34982BE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 w15:restartNumberingAfterBreak="0">
    <w:nsid w:val="0C5E20E7"/>
    <w:multiLevelType w:val="hybridMultilevel"/>
    <w:tmpl w:val="D9EA6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349E5"/>
    <w:multiLevelType w:val="hybridMultilevel"/>
    <w:tmpl w:val="44D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C169A"/>
    <w:multiLevelType w:val="hybridMultilevel"/>
    <w:tmpl w:val="92CE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A0FFA"/>
    <w:multiLevelType w:val="hybridMultilevel"/>
    <w:tmpl w:val="5F50E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B95BD2"/>
    <w:multiLevelType w:val="hybridMultilevel"/>
    <w:tmpl w:val="C3B0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462A9"/>
    <w:multiLevelType w:val="hybridMultilevel"/>
    <w:tmpl w:val="9308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70C59"/>
    <w:multiLevelType w:val="multilevel"/>
    <w:tmpl w:val="AD2A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D60D5"/>
    <w:multiLevelType w:val="hybridMultilevel"/>
    <w:tmpl w:val="F9C458C2"/>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26310"/>
    <w:multiLevelType w:val="multilevel"/>
    <w:tmpl w:val="3404E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0C2D4D"/>
    <w:multiLevelType w:val="hybridMultilevel"/>
    <w:tmpl w:val="419C7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3042D6"/>
    <w:multiLevelType w:val="hybridMultilevel"/>
    <w:tmpl w:val="7B2245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6C583E"/>
    <w:multiLevelType w:val="multilevel"/>
    <w:tmpl w:val="14F8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E07E1"/>
    <w:multiLevelType w:val="hybridMultilevel"/>
    <w:tmpl w:val="E55EC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E90B09"/>
    <w:multiLevelType w:val="hybridMultilevel"/>
    <w:tmpl w:val="F1748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92AEA"/>
    <w:multiLevelType w:val="hybridMultilevel"/>
    <w:tmpl w:val="1BC4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D4981"/>
    <w:multiLevelType w:val="hybridMultilevel"/>
    <w:tmpl w:val="C710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4171C"/>
    <w:multiLevelType w:val="hybridMultilevel"/>
    <w:tmpl w:val="7B4C7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4803D7"/>
    <w:multiLevelType w:val="hybridMultilevel"/>
    <w:tmpl w:val="B802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C33E7"/>
    <w:multiLevelType w:val="hybridMultilevel"/>
    <w:tmpl w:val="111A81FA"/>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50B1C"/>
    <w:multiLevelType w:val="hybridMultilevel"/>
    <w:tmpl w:val="B5DA0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19164C"/>
    <w:multiLevelType w:val="hybridMultilevel"/>
    <w:tmpl w:val="2F424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B109A"/>
    <w:multiLevelType w:val="multilevel"/>
    <w:tmpl w:val="255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BE3BF2"/>
    <w:multiLevelType w:val="hybridMultilevel"/>
    <w:tmpl w:val="64B4B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8002E"/>
    <w:multiLevelType w:val="hybridMultilevel"/>
    <w:tmpl w:val="3E98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35A54"/>
    <w:multiLevelType w:val="hybridMultilevel"/>
    <w:tmpl w:val="DD52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557EA"/>
    <w:multiLevelType w:val="hybridMultilevel"/>
    <w:tmpl w:val="D0D2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D44E3"/>
    <w:multiLevelType w:val="hybridMultilevel"/>
    <w:tmpl w:val="87CE718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79190227"/>
    <w:multiLevelType w:val="hybridMultilevel"/>
    <w:tmpl w:val="86A2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EB2B00"/>
    <w:multiLevelType w:val="hybridMultilevel"/>
    <w:tmpl w:val="AF6A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93743E"/>
    <w:multiLevelType w:val="multilevel"/>
    <w:tmpl w:val="9158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832085">
    <w:abstractNumId w:val="0"/>
  </w:num>
  <w:num w:numId="2" w16cid:durableId="71128003">
    <w:abstractNumId w:val="10"/>
  </w:num>
  <w:num w:numId="3" w16cid:durableId="1839466780">
    <w:abstractNumId w:val="14"/>
  </w:num>
  <w:num w:numId="4" w16cid:durableId="1657296116">
    <w:abstractNumId w:val="13"/>
  </w:num>
  <w:num w:numId="5" w16cid:durableId="1909001428">
    <w:abstractNumId w:val="5"/>
  </w:num>
  <w:num w:numId="6" w16cid:durableId="502862032">
    <w:abstractNumId w:val="29"/>
  </w:num>
  <w:num w:numId="7" w16cid:durableId="656568471">
    <w:abstractNumId w:val="1"/>
  </w:num>
  <w:num w:numId="8" w16cid:durableId="407307314">
    <w:abstractNumId w:val="4"/>
  </w:num>
  <w:num w:numId="9" w16cid:durableId="1726643641">
    <w:abstractNumId w:val="15"/>
  </w:num>
  <w:num w:numId="10" w16cid:durableId="1047877479">
    <w:abstractNumId w:val="3"/>
  </w:num>
  <w:num w:numId="11" w16cid:durableId="1999839048">
    <w:abstractNumId w:val="9"/>
  </w:num>
  <w:num w:numId="12" w16cid:durableId="1686444163">
    <w:abstractNumId w:val="26"/>
  </w:num>
  <w:num w:numId="13" w16cid:durableId="1142500886">
    <w:abstractNumId w:val="28"/>
  </w:num>
  <w:num w:numId="14" w16cid:durableId="997609824">
    <w:abstractNumId w:val="21"/>
  </w:num>
  <w:num w:numId="15" w16cid:durableId="917666746">
    <w:abstractNumId w:val="8"/>
  </w:num>
  <w:num w:numId="16" w16cid:durableId="790630472">
    <w:abstractNumId w:val="19"/>
  </w:num>
  <w:num w:numId="17" w16cid:durableId="1228879275">
    <w:abstractNumId w:val="24"/>
  </w:num>
  <w:num w:numId="18" w16cid:durableId="1039620777">
    <w:abstractNumId w:val="23"/>
  </w:num>
  <w:num w:numId="19" w16cid:durableId="1135031090">
    <w:abstractNumId w:val="6"/>
  </w:num>
  <w:num w:numId="20" w16cid:durableId="225067033">
    <w:abstractNumId w:val="11"/>
  </w:num>
  <w:num w:numId="21" w16cid:durableId="1125461463">
    <w:abstractNumId w:val="25"/>
  </w:num>
  <w:num w:numId="22" w16cid:durableId="781267277">
    <w:abstractNumId w:val="16"/>
  </w:num>
  <w:num w:numId="23" w16cid:durableId="580716693">
    <w:abstractNumId w:val="20"/>
  </w:num>
  <w:num w:numId="24" w16cid:durableId="954093878">
    <w:abstractNumId w:val="17"/>
  </w:num>
  <w:num w:numId="25" w16cid:durableId="1123620522">
    <w:abstractNumId w:val="18"/>
  </w:num>
  <w:num w:numId="26" w16cid:durableId="1790472031">
    <w:abstractNumId w:val="12"/>
  </w:num>
  <w:num w:numId="27" w16cid:durableId="2003044955">
    <w:abstractNumId w:val="22"/>
  </w:num>
  <w:num w:numId="28" w16cid:durableId="1220480120">
    <w:abstractNumId w:val="30"/>
  </w:num>
  <w:num w:numId="29" w16cid:durableId="1730226054">
    <w:abstractNumId w:val="27"/>
  </w:num>
  <w:num w:numId="30" w16cid:durableId="741876761">
    <w:abstractNumId w:val="7"/>
  </w:num>
  <w:num w:numId="31" w16cid:durableId="1945654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BA"/>
    <w:rsid w:val="00000112"/>
    <w:rsid w:val="000007BA"/>
    <w:rsid w:val="000045A2"/>
    <w:rsid w:val="0000569A"/>
    <w:rsid w:val="000548D3"/>
    <w:rsid w:val="0007436D"/>
    <w:rsid w:val="0008183E"/>
    <w:rsid w:val="0008423C"/>
    <w:rsid w:val="00092666"/>
    <w:rsid w:val="000A2432"/>
    <w:rsid w:val="000A5678"/>
    <w:rsid w:val="000B4743"/>
    <w:rsid w:val="000E4536"/>
    <w:rsid w:val="000E4574"/>
    <w:rsid w:val="000E7121"/>
    <w:rsid w:val="000F16CE"/>
    <w:rsid w:val="001306A3"/>
    <w:rsid w:val="001312B8"/>
    <w:rsid w:val="0013386F"/>
    <w:rsid w:val="001427A0"/>
    <w:rsid w:val="00143805"/>
    <w:rsid w:val="0019629E"/>
    <w:rsid w:val="001B65D3"/>
    <w:rsid w:val="002016EE"/>
    <w:rsid w:val="00204BF5"/>
    <w:rsid w:val="002246B0"/>
    <w:rsid w:val="00280B06"/>
    <w:rsid w:val="0028264A"/>
    <w:rsid w:val="002B1177"/>
    <w:rsid w:val="002C708A"/>
    <w:rsid w:val="002D5AD5"/>
    <w:rsid w:val="0032374F"/>
    <w:rsid w:val="0033507E"/>
    <w:rsid w:val="0034384B"/>
    <w:rsid w:val="00343980"/>
    <w:rsid w:val="00353B33"/>
    <w:rsid w:val="00355043"/>
    <w:rsid w:val="003601C8"/>
    <w:rsid w:val="003632E8"/>
    <w:rsid w:val="00397C90"/>
    <w:rsid w:val="003A248B"/>
    <w:rsid w:val="003C769F"/>
    <w:rsid w:val="00410AF0"/>
    <w:rsid w:val="00430E32"/>
    <w:rsid w:val="004475BF"/>
    <w:rsid w:val="004529EB"/>
    <w:rsid w:val="0049015B"/>
    <w:rsid w:val="004A039F"/>
    <w:rsid w:val="004A1636"/>
    <w:rsid w:val="004A2AF7"/>
    <w:rsid w:val="004B138E"/>
    <w:rsid w:val="004C6B3E"/>
    <w:rsid w:val="004E1C10"/>
    <w:rsid w:val="00526E4A"/>
    <w:rsid w:val="005442D5"/>
    <w:rsid w:val="00546D0F"/>
    <w:rsid w:val="00552776"/>
    <w:rsid w:val="00563231"/>
    <w:rsid w:val="0058297E"/>
    <w:rsid w:val="00585C1C"/>
    <w:rsid w:val="00595266"/>
    <w:rsid w:val="005A43BF"/>
    <w:rsid w:val="005A68F5"/>
    <w:rsid w:val="005A7B96"/>
    <w:rsid w:val="005B420B"/>
    <w:rsid w:val="005C48EB"/>
    <w:rsid w:val="00606F18"/>
    <w:rsid w:val="00637396"/>
    <w:rsid w:val="006443BE"/>
    <w:rsid w:val="00657543"/>
    <w:rsid w:val="00664688"/>
    <w:rsid w:val="00676228"/>
    <w:rsid w:val="0069740F"/>
    <w:rsid w:val="006B109A"/>
    <w:rsid w:val="006B6EA1"/>
    <w:rsid w:val="006D057C"/>
    <w:rsid w:val="0071177B"/>
    <w:rsid w:val="00716B5A"/>
    <w:rsid w:val="007407CE"/>
    <w:rsid w:val="00761282"/>
    <w:rsid w:val="00776460"/>
    <w:rsid w:val="00793D15"/>
    <w:rsid w:val="007B6944"/>
    <w:rsid w:val="007D41A1"/>
    <w:rsid w:val="00822D67"/>
    <w:rsid w:val="00843B5E"/>
    <w:rsid w:val="0085227D"/>
    <w:rsid w:val="0087315D"/>
    <w:rsid w:val="00883343"/>
    <w:rsid w:val="008A3176"/>
    <w:rsid w:val="008A7135"/>
    <w:rsid w:val="008D38BB"/>
    <w:rsid w:val="008E70E7"/>
    <w:rsid w:val="008F7D11"/>
    <w:rsid w:val="00907AF9"/>
    <w:rsid w:val="0092181C"/>
    <w:rsid w:val="00935724"/>
    <w:rsid w:val="00955034"/>
    <w:rsid w:val="00955662"/>
    <w:rsid w:val="00971EED"/>
    <w:rsid w:val="00980D03"/>
    <w:rsid w:val="009A791D"/>
    <w:rsid w:val="009F541E"/>
    <w:rsid w:val="00A471C2"/>
    <w:rsid w:val="00A475C2"/>
    <w:rsid w:val="00A528F5"/>
    <w:rsid w:val="00A532C2"/>
    <w:rsid w:val="00A755BA"/>
    <w:rsid w:val="00AB210E"/>
    <w:rsid w:val="00AC27E3"/>
    <w:rsid w:val="00AD5C11"/>
    <w:rsid w:val="00AE3CBD"/>
    <w:rsid w:val="00B404AD"/>
    <w:rsid w:val="00B9400D"/>
    <w:rsid w:val="00B97C76"/>
    <w:rsid w:val="00BC70E2"/>
    <w:rsid w:val="00BE38AE"/>
    <w:rsid w:val="00C05BA5"/>
    <w:rsid w:val="00C51B96"/>
    <w:rsid w:val="00C53B3D"/>
    <w:rsid w:val="00C64D6B"/>
    <w:rsid w:val="00C91CCA"/>
    <w:rsid w:val="00C948EB"/>
    <w:rsid w:val="00CD033E"/>
    <w:rsid w:val="00CE1BC9"/>
    <w:rsid w:val="00CF46E8"/>
    <w:rsid w:val="00D07537"/>
    <w:rsid w:val="00D10908"/>
    <w:rsid w:val="00DA48AF"/>
    <w:rsid w:val="00DB5D23"/>
    <w:rsid w:val="00DB6582"/>
    <w:rsid w:val="00DB777B"/>
    <w:rsid w:val="00E4218C"/>
    <w:rsid w:val="00E44FE5"/>
    <w:rsid w:val="00E50933"/>
    <w:rsid w:val="00E516DA"/>
    <w:rsid w:val="00E54306"/>
    <w:rsid w:val="00E67A66"/>
    <w:rsid w:val="00E714F3"/>
    <w:rsid w:val="00E91916"/>
    <w:rsid w:val="00EE5808"/>
    <w:rsid w:val="00EF0C2E"/>
    <w:rsid w:val="00EF3F9B"/>
    <w:rsid w:val="00F5106F"/>
    <w:rsid w:val="00F64AF0"/>
    <w:rsid w:val="00F656AC"/>
    <w:rsid w:val="00F733AD"/>
    <w:rsid w:val="00FE0630"/>
    <w:rsid w:val="00FE5ACB"/>
    <w:rsid w:val="00FE7190"/>
    <w:rsid w:val="00FF38D6"/>
    <w:rsid w:val="00FF453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A3E51"/>
  <w15:docId w15:val="{BC8A2CAD-39E6-402E-A59B-6F01AAC8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7C"/>
    <w:rPr>
      <w:lang w:val="en-GB"/>
    </w:rPr>
  </w:style>
  <w:style w:type="paragraph" w:styleId="Heading1">
    <w:name w:val="heading 1"/>
    <w:basedOn w:val="Normal"/>
    <w:next w:val="Normal"/>
    <w:link w:val="Heading1Char"/>
    <w:uiPriority w:val="9"/>
    <w:qFormat/>
    <w:rsid w:val="006D05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D05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57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6D057C"/>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6D0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57C"/>
    <w:rPr>
      <w:lang w:val="en-GB"/>
    </w:rPr>
  </w:style>
  <w:style w:type="paragraph" w:styleId="Footer">
    <w:name w:val="footer"/>
    <w:basedOn w:val="Normal"/>
    <w:link w:val="FooterChar"/>
    <w:unhideWhenUsed/>
    <w:rsid w:val="006D057C"/>
    <w:pPr>
      <w:tabs>
        <w:tab w:val="center" w:pos="4513"/>
        <w:tab w:val="right" w:pos="9026"/>
      </w:tabs>
      <w:spacing w:after="0" w:line="240" w:lineRule="auto"/>
    </w:pPr>
  </w:style>
  <w:style w:type="character" w:customStyle="1" w:styleId="FooterChar">
    <w:name w:val="Footer Char"/>
    <w:basedOn w:val="DefaultParagraphFont"/>
    <w:link w:val="Footer"/>
    <w:rsid w:val="006D057C"/>
    <w:rPr>
      <w:lang w:val="en-GB"/>
    </w:rPr>
  </w:style>
  <w:style w:type="character" w:styleId="Hyperlink">
    <w:name w:val="Hyperlink"/>
    <w:basedOn w:val="DefaultParagraphFont"/>
    <w:uiPriority w:val="99"/>
    <w:unhideWhenUsed/>
    <w:rsid w:val="006D057C"/>
    <w:rPr>
      <w:color w:val="0563C1" w:themeColor="hyperlink"/>
      <w:u w:val="single"/>
    </w:rPr>
  </w:style>
  <w:style w:type="paragraph" w:styleId="ListParagraph">
    <w:name w:val="List Paragraph"/>
    <w:basedOn w:val="Normal"/>
    <w:uiPriority w:val="34"/>
    <w:qFormat/>
    <w:rsid w:val="006D057C"/>
    <w:pPr>
      <w:ind w:left="720"/>
      <w:contextualSpacing/>
    </w:pPr>
  </w:style>
  <w:style w:type="table" w:customStyle="1" w:styleId="GridTable4-Accent11">
    <w:name w:val="Grid Table 4 - Accent 11"/>
    <w:basedOn w:val="TableNormal"/>
    <w:uiPriority w:val="49"/>
    <w:rsid w:val="006D057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EF0C2E"/>
    <w:rPr>
      <w:sz w:val="16"/>
      <w:szCs w:val="16"/>
    </w:rPr>
  </w:style>
  <w:style w:type="paragraph" w:styleId="CommentText">
    <w:name w:val="annotation text"/>
    <w:basedOn w:val="Normal"/>
    <w:link w:val="CommentTextChar"/>
    <w:uiPriority w:val="99"/>
    <w:semiHidden/>
    <w:unhideWhenUsed/>
    <w:rsid w:val="00EF0C2E"/>
    <w:pPr>
      <w:spacing w:line="240" w:lineRule="auto"/>
    </w:pPr>
    <w:rPr>
      <w:sz w:val="20"/>
      <w:szCs w:val="20"/>
    </w:rPr>
  </w:style>
  <w:style w:type="character" w:customStyle="1" w:styleId="CommentTextChar">
    <w:name w:val="Comment Text Char"/>
    <w:basedOn w:val="DefaultParagraphFont"/>
    <w:link w:val="CommentText"/>
    <w:uiPriority w:val="99"/>
    <w:semiHidden/>
    <w:rsid w:val="00EF0C2E"/>
    <w:rPr>
      <w:sz w:val="20"/>
      <w:szCs w:val="20"/>
      <w:lang w:val="en-GB"/>
    </w:rPr>
  </w:style>
  <w:style w:type="paragraph" w:styleId="CommentSubject">
    <w:name w:val="annotation subject"/>
    <w:basedOn w:val="CommentText"/>
    <w:next w:val="CommentText"/>
    <w:link w:val="CommentSubjectChar"/>
    <w:uiPriority w:val="99"/>
    <w:semiHidden/>
    <w:unhideWhenUsed/>
    <w:rsid w:val="00EF0C2E"/>
    <w:rPr>
      <w:b/>
      <w:bCs/>
    </w:rPr>
  </w:style>
  <w:style w:type="character" w:customStyle="1" w:styleId="CommentSubjectChar">
    <w:name w:val="Comment Subject Char"/>
    <w:basedOn w:val="CommentTextChar"/>
    <w:link w:val="CommentSubject"/>
    <w:uiPriority w:val="99"/>
    <w:semiHidden/>
    <w:rsid w:val="00EF0C2E"/>
    <w:rPr>
      <w:b/>
      <w:bCs/>
      <w:sz w:val="20"/>
      <w:szCs w:val="20"/>
      <w:lang w:val="en-GB"/>
    </w:rPr>
  </w:style>
  <w:style w:type="paragraph" w:styleId="BalloonText">
    <w:name w:val="Balloon Text"/>
    <w:basedOn w:val="Normal"/>
    <w:link w:val="BalloonTextChar"/>
    <w:uiPriority w:val="99"/>
    <w:semiHidden/>
    <w:unhideWhenUsed/>
    <w:rsid w:val="00EF0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C2E"/>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410AF0"/>
    <w:rPr>
      <w:color w:val="605E5C"/>
      <w:shd w:val="clear" w:color="auto" w:fill="E1DFDD"/>
    </w:rPr>
  </w:style>
  <w:style w:type="table" w:styleId="TableGrid">
    <w:name w:val="Table Grid"/>
    <w:aliases w:val="Texttabelle"/>
    <w:basedOn w:val="TableNormal"/>
    <w:uiPriority w:val="59"/>
    <w:rsid w:val="00D1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092666"/>
  </w:style>
  <w:style w:type="paragraph" w:styleId="Caption">
    <w:name w:val="caption"/>
    <w:basedOn w:val="Normal"/>
    <w:next w:val="Normal"/>
    <w:uiPriority w:val="35"/>
    <w:unhideWhenUsed/>
    <w:qFormat/>
    <w:rsid w:val="00FE5AC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FE5ACB"/>
    <w:rPr>
      <w:color w:val="954F72" w:themeColor="followedHyperlink"/>
      <w:u w:val="single"/>
    </w:rPr>
  </w:style>
  <w:style w:type="paragraph" w:styleId="NormalWeb">
    <w:name w:val="Normal (Web)"/>
    <w:basedOn w:val="Normal"/>
    <w:uiPriority w:val="99"/>
    <w:unhideWhenUsed/>
    <w:rsid w:val="002D5A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5AD5"/>
    <w:rPr>
      <w:b/>
      <w:bCs/>
    </w:rPr>
  </w:style>
  <w:style w:type="character" w:styleId="UnresolvedMention">
    <w:name w:val="Unresolved Mention"/>
    <w:basedOn w:val="DefaultParagraphFont"/>
    <w:uiPriority w:val="99"/>
    <w:semiHidden/>
    <w:unhideWhenUsed/>
    <w:rsid w:val="00430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4001">
      <w:bodyDiv w:val="1"/>
      <w:marLeft w:val="0"/>
      <w:marRight w:val="0"/>
      <w:marTop w:val="0"/>
      <w:marBottom w:val="0"/>
      <w:divBdr>
        <w:top w:val="none" w:sz="0" w:space="0" w:color="auto"/>
        <w:left w:val="none" w:sz="0" w:space="0" w:color="auto"/>
        <w:bottom w:val="none" w:sz="0" w:space="0" w:color="auto"/>
        <w:right w:val="none" w:sz="0" w:space="0" w:color="auto"/>
      </w:divBdr>
    </w:div>
    <w:div w:id="406803876">
      <w:bodyDiv w:val="1"/>
      <w:marLeft w:val="0"/>
      <w:marRight w:val="0"/>
      <w:marTop w:val="0"/>
      <w:marBottom w:val="0"/>
      <w:divBdr>
        <w:top w:val="none" w:sz="0" w:space="0" w:color="auto"/>
        <w:left w:val="none" w:sz="0" w:space="0" w:color="auto"/>
        <w:bottom w:val="none" w:sz="0" w:space="0" w:color="auto"/>
        <w:right w:val="none" w:sz="0" w:space="0" w:color="auto"/>
      </w:divBdr>
    </w:div>
    <w:div w:id="409616217">
      <w:bodyDiv w:val="1"/>
      <w:marLeft w:val="0"/>
      <w:marRight w:val="0"/>
      <w:marTop w:val="0"/>
      <w:marBottom w:val="0"/>
      <w:divBdr>
        <w:top w:val="none" w:sz="0" w:space="0" w:color="auto"/>
        <w:left w:val="none" w:sz="0" w:space="0" w:color="auto"/>
        <w:bottom w:val="none" w:sz="0" w:space="0" w:color="auto"/>
        <w:right w:val="none" w:sz="0" w:space="0" w:color="auto"/>
      </w:divBdr>
    </w:div>
    <w:div w:id="488598266">
      <w:bodyDiv w:val="1"/>
      <w:marLeft w:val="0"/>
      <w:marRight w:val="0"/>
      <w:marTop w:val="0"/>
      <w:marBottom w:val="0"/>
      <w:divBdr>
        <w:top w:val="none" w:sz="0" w:space="0" w:color="auto"/>
        <w:left w:val="none" w:sz="0" w:space="0" w:color="auto"/>
        <w:bottom w:val="none" w:sz="0" w:space="0" w:color="auto"/>
        <w:right w:val="none" w:sz="0" w:space="0" w:color="auto"/>
      </w:divBdr>
    </w:div>
    <w:div w:id="619458372">
      <w:bodyDiv w:val="1"/>
      <w:marLeft w:val="0"/>
      <w:marRight w:val="0"/>
      <w:marTop w:val="0"/>
      <w:marBottom w:val="0"/>
      <w:divBdr>
        <w:top w:val="none" w:sz="0" w:space="0" w:color="auto"/>
        <w:left w:val="none" w:sz="0" w:space="0" w:color="auto"/>
        <w:bottom w:val="none" w:sz="0" w:space="0" w:color="auto"/>
        <w:right w:val="none" w:sz="0" w:space="0" w:color="auto"/>
      </w:divBdr>
    </w:div>
    <w:div w:id="800803281">
      <w:bodyDiv w:val="1"/>
      <w:marLeft w:val="0"/>
      <w:marRight w:val="0"/>
      <w:marTop w:val="0"/>
      <w:marBottom w:val="0"/>
      <w:divBdr>
        <w:top w:val="none" w:sz="0" w:space="0" w:color="auto"/>
        <w:left w:val="none" w:sz="0" w:space="0" w:color="auto"/>
        <w:bottom w:val="none" w:sz="0" w:space="0" w:color="auto"/>
        <w:right w:val="none" w:sz="0" w:space="0" w:color="auto"/>
      </w:divBdr>
    </w:div>
    <w:div w:id="895244285">
      <w:bodyDiv w:val="1"/>
      <w:marLeft w:val="0"/>
      <w:marRight w:val="0"/>
      <w:marTop w:val="0"/>
      <w:marBottom w:val="0"/>
      <w:divBdr>
        <w:top w:val="none" w:sz="0" w:space="0" w:color="auto"/>
        <w:left w:val="none" w:sz="0" w:space="0" w:color="auto"/>
        <w:bottom w:val="none" w:sz="0" w:space="0" w:color="auto"/>
        <w:right w:val="none" w:sz="0" w:space="0" w:color="auto"/>
      </w:divBdr>
    </w:div>
    <w:div w:id="1174497135">
      <w:bodyDiv w:val="1"/>
      <w:marLeft w:val="0"/>
      <w:marRight w:val="0"/>
      <w:marTop w:val="0"/>
      <w:marBottom w:val="0"/>
      <w:divBdr>
        <w:top w:val="none" w:sz="0" w:space="0" w:color="auto"/>
        <w:left w:val="none" w:sz="0" w:space="0" w:color="auto"/>
        <w:bottom w:val="none" w:sz="0" w:space="0" w:color="auto"/>
        <w:right w:val="none" w:sz="0" w:space="0" w:color="auto"/>
      </w:divBdr>
    </w:div>
    <w:div w:id="1379277196">
      <w:bodyDiv w:val="1"/>
      <w:marLeft w:val="0"/>
      <w:marRight w:val="0"/>
      <w:marTop w:val="0"/>
      <w:marBottom w:val="0"/>
      <w:divBdr>
        <w:top w:val="none" w:sz="0" w:space="0" w:color="auto"/>
        <w:left w:val="none" w:sz="0" w:space="0" w:color="auto"/>
        <w:bottom w:val="none" w:sz="0" w:space="0" w:color="auto"/>
        <w:right w:val="none" w:sz="0" w:space="0" w:color="auto"/>
      </w:divBdr>
    </w:div>
    <w:div w:id="1672222020">
      <w:bodyDiv w:val="1"/>
      <w:marLeft w:val="0"/>
      <w:marRight w:val="0"/>
      <w:marTop w:val="0"/>
      <w:marBottom w:val="0"/>
      <w:divBdr>
        <w:top w:val="none" w:sz="0" w:space="0" w:color="auto"/>
        <w:left w:val="none" w:sz="0" w:space="0" w:color="auto"/>
        <w:bottom w:val="none" w:sz="0" w:space="0" w:color="auto"/>
        <w:right w:val="none" w:sz="0" w:space="0" w:color="auto"/>
      </w:divBdr>
    </w:div>
    <w:div w:id="1730810025">
      <w:bodyDiv w:val="1"/>
      <w:marLeft w:val="0"/>
      <w:marRight w:val="0"/>
      <w:marTop w:val="0"/>
      <w:marBottom w:val="0"/>
      <w:divBdr>
        <w:top w:val="none" w:sz="0" w:space="0" w:color="auto"/>
        <w:left w:val="none" w:sz="0" w:space="0" w:color="auto"/>
        <w:bottom w:val="none" w:sz="0" w:space="0" w:color="auto"/>
        <w:right w:val="none" w:sz="0" w:space="0" w:color="auto"/>
      </w:divBdr>
    </w:div>
    <w:div w:id="1890872339">
      <w:bodyDiv w:val="1"/>
      <w:marLeft w:val="0"/>
      <w:marRight w:val="0"/>
      <w:marTop w:val="0"/>
      <w:marBottom w:val="0"/>
      <w:divBdr>
        <w:top w:val="none" w:sz="0" w:space="0" w:color="auto"/>
        <w:left w:val="none" w:sz="0" w:space="0" w:color="auto"/>
        <w:bottom w:val="none" w:sz="0" w:space="0" w:color="auto"/>
        <w:right w:val="none" w:sz="0" w:space="0" w:color="auto"/>
      </w:divBdr>
    </w:div>
    <w:div w:id="19930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s-foundation.org/about-issf/what-we-publish/issf-documents/2025-iccat-position-statement-engli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s-foundation.org/about-issf/what-we-publish/issf-documents/key-gaps-and-priorities-in-tuna-rfmo-port-state-measur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keytraceabil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DBA5A-F2D0-4BAD-A47A-F4C88BB2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Horsnell</dc:creator>
  <cp:lastModifiedBy>Emily Wardrop</cp:lastModifiedBy>
  <cp:revision>4</cp:revision>
  <cp:lastPrinted>2025-10-27T08:47:00Z</cp:lastPrinted>
  <dcterms:created xsi:type="dcterms:W3CDTF">2025-10-27T08:16:00Z</dcterms:created>
  <dcterms:modified xsi:type="dcterms:W3CDTF">2025-10-27T08:48:00Z</dcterms:modified>
</cp:coreProperties>
</file>