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566.9291338582675"/>
        <w:jc w:val="both"/>
        <w:rPr>
          <w:b w:val="1"/>
          <w:i w:val="1"/>
        </w:rPr>
      </w:pPr>
      <w:bookmarkStart w:colFirst="0" w:colLast="0" w:name="_24nkp6vjgcsd" w:id="0"/>
      <w:bookmarkEnd w:id="0"/>
      <w:r w:rsidDel="00000000" w:rsidR="00000000" w:rsidRPr="00000000">
        <w:rPr>
          <w:b w:val="1"/>
          <w:i w:val="1"/>
          <w:rtl w:val="0"/>
        </w:rPr>
        <w:t xml:space="preserve">Action #9 Decision-making process</w:t>
      </w:r>
    </w:p>
    <w:p w:rsidR="00000000" w:rsidDel="00000000" w:rsidP="00000000" w:rsidRDefault="00000000" w:rsidRPr="00000000" w14:paraId="00000002">
      <w:pPr>
        <w:ind w:firstLine="566.9291338582675"/>
        <w:jc w:val="both"/>
        <w:rPr>
          <w:b w:val="1"/>
          <w:i w:val="1"/>
        </w:rPr>
      </w:pPr>
      <w:bookmarkStart w:colFirst="0" w:colLast="0" w:name="_vkpcgs3yusdu" w:id="1"/>
      <w:bookmarkEnd w:id="1"/>
      <w:r w:rsidDel="00000000" w:rsidR="00000000" w:rsidRPr="00000000">
        <w:rPr>
          <w:rtl w:val="0"/>
        </w:rPr>
      </w:r>
    </w:p>
    <w:p w:rsidR="00000000" w:rsidDel="00000000" w:rsidP="00000000" w:rsidRDefault="00000000" w:rsidRPr="00000000" w14:paraId="00000003">
      <w:pPr>
        <w:ind w:firstLine="566.9291338582675"/>
        <w:jc w:val="both"/>
        <w:rPr>
          <w:b w:val="1"/>
          <w:i w:val="1"/>
        </w:rPr>
      </w:pPr>
      <w:bookmarkStart w:colFirst="0" w:colLast="0" w:name="_qxgj30c2k6qw" w:id="2"/>
      <w:bookmarkEnd w:id="2"/>
      <w:r w:rsidDel="00000000" w:rsidR="00000000" w:rsidRPr="00000000">
        <w:rPr>
          <w:b w:val="1"/>
          <w:i w:val="1"/>
          <w:rtl w:val="0"/>
        </w:rPr>
        <w:t xml:space="preserve">Action goal: Demonstrate that the fishery-specific and associated enhancement</w:t>
      </w:r>
    </w:p>
    <w:p w:rsidR="00000000" w:rsidDel="00000000" w:rsidP="00000000" w:rsidRDefault="00000000" w:rsidRPr="00000000" w14:paraId="00000004">
      <w:pPr>
        <w:ind w:firstLine="566.9291338582675"/>
        <w:jc w:val="both"/>
        <w:rPr>
          <w:b w:val="1"/>
          <w:i w:val="1"/>
        </w:rPr>
      </w:pPr>
      <w:bookmarkStart w:colFirst="0" w:colLast="0" w:name="_kth7t26lcr02" w:id="3"/>
      <w:bookmarkEnd w:id="3"/>
      <w:r w:rsidDel="00000000" w:rsidR="00000000" w:rsidRPr="00000000">
        <w:rPr>
          <w:b w:val="1"/>
          <w:i w:val="1"/>
          <w:rtl w:val="0"/>
        </w:rPr>
        <w:t xml:space="preserve">management system includes effective decision-making processes that result in measures</w:t>
      </w:r>
    </w:p>
    <w:p w:rsidR="00000000" w:rsidDel="00000000" w:rsidP="00000000" w:rsidRDefault="00000000" w:rsidRPr="00000000" w14:paraId="00000005">
      <w:pPr>
        <w:ind w:firstLine="566.9291338582675"/>
        <w:jc w:val="both"/>
        <w:rPr>
          <w:b w:val="1"/>
          <w:i w:val="1"/>
        </w:rPr>
      </w:pPr>
      <w:bookmarkStart w:colFirst="0" w:colLast="0" w:name="_n5bmuvxn3lu9" w:id="4"/>
      <w:bookmarkEnd w:id="4"/>
      <w:r w:rsidDel="00000000" w:rsidR="00000000" w:rsidRPr="00000000">
        <w:rPr>
          <w:b w:val="1"/>
          <w:i w:val="1"/>
          <w:rtl w:val="0"/>
        </w:rPr>
        <w:t xml:space="preserve">and strategies to achieve the objectives, and has an appropriate approach to actual disputes</w:t>
      </w:r>
    </w:p>
    <w:p w:rsidR="00000000" w:rsidDel="00000000" w:rsidP="00000000" w:rsidRDefault="00000000" w:rsidRPr="00000000" w14:paraId="00000006">
      <w:pPr>
        <w:ind w:firstLine="566.9291338582675"/>
        <w:jc w:val="both"/>
        <w:rPr>
          <w:b w:val="1"/>
          <w:i w:val="1"/>
        </w:rPr>
      </w:pPr>
      <w:bookmarkStart w:colFirst="0" w:colLast="0" w:name="_gjdgxs" w:id="5"/>
      <w:bookmarkEnd w:id="5"/>
      <w:r w:rsidDel="00000000" w:rsidR="00000000" w:rsidRPr="00000000">
        <w:rPr>
          <w:b w:val="1"/>
          <w:i w:val="1"/>
          <w:rtl w:val="0"/>
        </w:rPr>
        <w:t xml:space="preserve">in the fishery</w:t>
      </w:r>
    </w:p>
    <w:p w:rsidR="00000000" w:rsidDel="00000000" w:rsidP="00000000" w:rsidRDefault="00000000" w:rsidRPr="00000000" w14:paraId="00000007">
      <w:pPr>
        <w:ind w:firstLine="566.9291338582675"/>
        <w:rPr>
          <w:b w:val="1"/>
        </w:rPr>
      </w:pPr>
      <w:r w:rsidDel="00000000" w:rsidR="00000000" w:rsidRPr="00000000">
        <w:rPr>
          <w:b w:val="1"/>
          <w:rtl w:val="0"/>
        </w:rPr>
        <w:t xml:space="preserve">PI 3.2.2</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566.9291338582675"/>
        <w:jc w:val="both"/>
        <w:rPr>
          <w:b w:val="1"/>
        </w:rPr>
      </w:pPr>
      <w:bookmarkStart w:colFirst="0" w:colLast="0" w:name="_o3d1lw5htkg5" w:id="6"/>
      <w:bookmarkEnd w:id="6"/>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Salmon fisheries are managed according to several federal laws and Russian Government Resolutions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The Anadromous Fish Commission in the Sakhalin Region (</w:t>
      </w:r>
      <w:r w:rsidDel="00000000" w:rsidR="00000000" w:rsidRPr="00000000">
        <w:rPr>
          <w:rtl w:val="0"/>
        </w:rPr>
        <w:t xml:space="preserve">hereinafter</w:t>
      </w:r>
      <w:r w:rsidDel="00000000" w:rsidR="00000000" w:rsidRPr="00000000">
        <w:rPr>
          <w:rtl w:val="0"/>
        </w:rPr>
        <w:t xml:space="preserve"> – the Commission) manages salmon fisheries at the regional level. Members of the Commission are representatives of all stakeholders of the fishing industry: regional authorities (Ministry of Fishery of the Sakhalin Region), controlling authorities (Sakhalin-Kuril Territorial Administration and </w:t>
      </w:r>
      <w:r w:rsidDel="00000000" w:rsidR="00000000" w:rsidRPr="00000000">
        <w:rPr>
          <w:rtl w:val="0"/>
        </w:rPr>
        <w:t xml:space="preserve">Border Service of the Sakhalin Region)</w:t>
      </w:r>
      <w:r w:rsidDel="00000000" w:rsidR="00000000" w:rsidRPr="00000000">
        <w:rPr>
          <w:rtl w:val="0"/>
        </w:rPr>
        <w:t xml:space="preserve">, scientists and state monitoring specialists (SakhNIRO and SakhRybVod) and others. The interests of fishing companies in the Commission are represented by Maxim Kozlov, the permanent representative of the </w:t>
      </w:r>
      <w:r w:rsidDel="00000000" w:rsidR="00000000" w:rsidRPr="00000000">
        <w:rPr>
          <w:rtl w:val="0"/>
        </w:rPr>
        <w:t xml:space="preserve">Association of Fishermen of Sakhalin Region (</w:t>
      </w:r>
      <w:r w:rsidDel="00000000" w:rsidR="00000000" w:rsidRPr="00000000">
        <w:rPr>
          <w:rtl w:val="0"/>
        </w:rPr>
        <w:t xml:space="preserve">AFS</w:t>
      </w:r>
      <w:r w:rsidDel="00000000" w:rsidR="00000000" w:rsidRPr="00000000">
        <w:rPr>
          <w:rtl w:val="0"/>
        </w:rPr>
        <w:t xml:space="preserve">, hereinafter – the Association)</w:t>
      </w:r>
      <w:r w:rsidDel="00000000" w:rsidR="00000000" w:rsidRPr="00000000">
        <w:rPr>
          <w:rtl w:val="0"/>
        </w:rPr>
        <w:t xml:space="preserve">. The Association consists of 65 fishing companies </w:t>
      </w:r>
      <w:hyperlink r:id="rId6">
        <w:r w:rsidDel="00000000" w:rsidR="00000000" w:rsidRPr="00000000">
          <w:rPr>
            <w:rtl w:val="0"/>
          </w:rPr>
          <w:t xml:space="preserve">https://fish-sakh.ru/</w:t>
        </w:r>
      </w:hyperlink>
      <w:r w:rsidDel="00000000" w:rsidR="00000000" w:rsidRPr="00000000">
        <w:rPr>
          <w:rtl w:val="0"/>
        </w:rPr>
        <w:t xml:space="preserve">. PCF Yuzhno-Kurilsky Ryibokombinat Co., Ltd. (hereinafter – YKRK) company is also a member of the Association and thus realizes its right to participate in the decision-making process during the fishing season. The relevant Minutes (Protocols) are prepared at the Commission meetings and timely published on the websites of the Sakhalin-Kuril Territorial Administration: </w:t>
      </w:r>
      <w:hyperlink r:id="rId7">
        <w:r w:rsidDel="00000000" w:rsidR="00000000" w:rsidRPr="00000000">
          <w:rPr>
            <w:color w:val="1155cc"/>
            <w:u w:val="single"/>
            <w:rtl w:val="0"/>
          </w:rPr>
          <w:t xml:space="preserve">https://sakhalin.fish.gov.ru/activities/komissiya_po_anadromnym/</w:t>
        </w:r>
      </w:hyperlink>
      <w:r w:rsidDel="00000000" w:rsidR="00000000" w:rsidRPr="00000000">
        <w:rPr>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When making its decisions, the Commission is guided by the Fishing Strategy, which contains the main provisions on recommended catch and fishing periods, fishing restrictions aimed at preserving the natural reproduction of Pacific salmon populations, monitoring and collecting operational data during the fishing season.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Fishery Strategies adopted each year at meetings of the Far Eastern Scientific &amp; Fishery Council (DVNPS) with all fishery stakeholders. In 2024, such a strategy was approved on April 25, 2024 in Vladivostok.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sz w:val="22"/>
          <w:szCs w:val="22"/>
        </w:rPr>
      </w:pPr>
      <w:r w:rsidDel="00000000" w:rsidR="00000000" w:rsidRPr="00000000">
        <w:rPr>
          <w:rtl w:val="0"/>
        </w:rPr>
        <w:t xml:space="preserve">The Commission's decisions are widely covered in the media: </w:t>
      </w:r>
      <w:hyperlink r:id="rId8">
        <w:r w:rsidDel="00000000" w:rsidR="00000000" w:rsidRPr="00000000">
          <w:rPr>
            <w:color w:val="0563c1"/>
            <w:u w:val="single"/>
            <w:rtl w:val="0"/>
          </w:rPr>
          <w:t xml:space="preserve">https://sakh.online/news/</w:t>
          <w:br w:type="textWrapping"/>
          <w:t xml:space="preserve">18/2024-06-28/opredeleny-sroki-putiny-dlya-yuzhnyh-kuril-426342</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2024,</w:t>
      </w:r>
      <w:r w:rsidDel="00000000" w:rsidR="00000000" w:rsidRPr="00000000">
        <w:rPr>
          <w:rtl w:val="0"/>
        </w:rPr>
        <w:t xml:space="preserve"> the Commission made several decisions regarding the Pacific salmon fishery in Kunashir.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tbl>
      <w:tblPr>
        <w:tblStyle w:val="Table1"/>
        <w:tblW w:w="987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1110"/>
        <w:gridCol w:w="7710"/>
        <w:tblGridChange w:id="0">
          <w:tblGrid>
            <w:gridCol w:w="1050"/>
            <w:gridCol w:w="1110"/>
            <w:gridCol w:w="7710"/>
          </w:tblGrid>
        </w:tblGridChange>
      </w:tblGrid>
      <w:tr>
        <w:trPr>
          <w:cantSplit w:val="0"/>
          <w:tblHeader w:val="0"/>
        </w:trPr>
        <w:tc>
          <w:tcPr>
            <w:shd w:fill="auto" w:val="clear"/>
          </w:tcPr>
          <w:p w:rsidR="00000000" w:rsidDel="00000000" w:rsidP="00000000" w:rsidRDefault="00000000" w:rsidRPr="00000000" w14:paraId="0000000F">
            <w:pPr>
              <w:spacing w:line="259" w:lineRule="auto"/>
              <w:rPr>
                <w:sz w:val="22"/>
                <w:szCs w:val="22"/>
              </w:rPr>
            </w:pPr>
            <w:r w:rsidDel="00000000" w:rsidR="00000000" w:rsidRPr="00000000">
              <w:rPr>
                <w:sz w:val="22"/>
                <w:szCs w:val="22"/>
                <w:rtl w:val="0"/>
              </w:rPr>
              <w:t xml:space="preserve">Protocol No.</w:t>
            </w:r>
          </w:p>
        </w:tc>
        <w:tc>
          <w:tcPr>
            <w:shd w:fill="auto" w:val="clear"/>
          </w:tcPr>
          <w:p w:rsidR="00000000" w:rsidDel="00000000" w:rsidP="00000000" w:rsidRDefault="00000000" w:rsidRPr="00000000" w14:paraId="00000010">
            <w:pPr>
              <w:spacing w:line="259" w:lineRule="auto"/>
              <w:rPr>
                <w:sz w:val="22"/>
                <w:szCs w:val="22"/>
              </w:rPr>
            </w:pPr>
            <w:r w:rsidDel="00000000" w:rsidR="00000000" w:rsidRPr="00000000">
              <w:rPr>
                <w:sz w:val="22"/>
                <w:szCs w:val="22"/>
                <w:rtl w:val="0"/>
              </w:rPr>
              <w:t xml:space="preserve">Meeting date</w:t>
            </w:r>
          </w:p>
        </w:tc>
        <w:tc>
          <w:tcPr>
            <w:shd w:fill="auto" w:val="clear"/>
          </w:tcPr>
          <w:p w:rsidR="00000000" w:rsidDel="00000000" w:rsidP="00000000" w:rsidRDefault="00000000" w:rsidRPr="00000000" w14:paraId="00000011">
            <w:pPr>
              <w:spacing w:line="259" w:lineRule="auto"/>
              <w:rPr>
                <w:sz w:val="22"/>
                <w:szCs w:val="22"/>
              </w:rPr>
            </w:pPr>
            <w:r w:rsidDel="00000000" w:rsidR="00000000" w:rsidRPr="00000000">
              <w:rPr>
                <w:sz w:val="22"/>
                <w:szCs w:val="22"/>
                <w:rtl w:val="0"/>
              </w:rPr>
              <w:t xml:space="preserve">Number of clauses of the Commission protocol.</w:t>
            </w:r>
          </w:p>
          <w:p w:rsidR="00000000" w:rsidDel="00000000" w:rsidP="00000000" w:rsidRDefault="00000000" w:rsidRPr="00000000" w14:paraId="00000012">
            <w:pPr>
              <w:spacing w:line="259" w:lineRule="auto"/>
              <w:rPr>
                <w:sz w:val="22"/>
                <w:szCs w:val="22"/>
              </w:rPr>
            </w:pPr>
            <w:r w:rsidDel="00000000" w:rsidR="00000000" w:rsidRPr="00000000">
              <w:rPr>
                <w:sz w:val="22"/>
                <w:szCs w:val="22"/>
                <w:rtl w:val="0"/>
              </w:rPr>
              <w:t xml:space="preserve">The approved decisions</w:t>
            </w:r>
          </w:p>
        </w:tc>
      </w:tr>
      <w:tr>
        <w:trPr>
          <w:cantSplit w:val="0"/>
          <w:trHeight w:val="1827" w:hRule="atLeast"/>
          <w:tblHeader w:val="0"/>
        </w:trPr>
        <w:tc>
          <w:tcPr>
            <w:shd w:fill="auto" w:val="clear"/>
          </w:tcPr>
          <w:p w:rsidR="00000000" w:rsidDel="00000000" w:rsidP="00000000" w:rsidRDefault="00000000" w:rsidRPr="00000000" w14:paraId="00000013">
            <w:pPr>
              <w:rPr>
                <w:sz w:val="22"/>
                <w:szCs w:val="22"/>
              </w:rPr>
            </w:pPr>
            <w:r w:rsidDel="00000000" w:rsidR="00000000" w:rsidRPr="00000000">
              <w:rPr>
                <w:sz w:val="22"/>
                <w:szCs w:val="22"/>
                <w:rtl w:val="0"/>
              </w:rPr>
              <w:t xml:space="preserve">9</w:t>
            </w:r>
          </w:p>
        </w:tc>
        <w:tc>
          <w:tcPr>
            <w:shd w:fill="auto" w:val="clear"/>
          </w:tcPr>
          <w:p w:rsidR="00000000" w:rsidDel="00000000" w:rsidP="00000000" w:rsidRDefault="00000000" w:rsidRPr="00000000" w14:paraId="00000014">
            <w:pPr>
              <w:rPr>
                <w:sz w:val="22"/>
                <w:szCs w:val="22"/>
              </w:rPr>
            </w:pPr>
            <w:r w:rsidDel="00000000" w:rsidR="00000000" w:rsidRPr="00000000">
              <w:rPr>
                <w:sz w:val="22"/>
                <w:szCs w:val="22"/>
                <w:rtl w:val="0"/>
              </w:rPr>
              <w:t xml:space="preserve">May 06, 2024</w:t>
            </w:r>
          </w:p>
        </w:tc>
        <w:tc>
          <w:tcPr>
            <w:shd w:fill="auto" w:val="clear"/>
          </w:tcPr>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Clause 1, Annex 1. The total allowable catch of Pacific Salmon were established for the purposes of commercial, amateur fishing and traditional fishing of the indigenous peoples of the North, Siberia and the Far East of the Russian Federation in 2024. Total allowable catch for each species in the described zones was (metric tons):</w:t>
            </w:r>
          </w:p>
          <w:tbl>
            <w:tblPr>
              <w:tblStyle w:val="Table2"/>
              <w:tblW w:w="7380.0" w:type="dxa"/>
              <w:jc w:val="left"/>
              <w:tblInd w:w="32.0" w:type="dxa"/>
              <w:tblLayout w:type="fixed"/>
              <w:tblLook w:val="0000"/>
            </w:tblPr>
            <w:tblGrid>
              <w:gridCol w:w="2505"/>
              <w:gridCol w:w="1125"/>
              <w:gridCol w:w="1185"/>
              <w:gridCol w:w="960"/>
              <w:gridCol w:w="840"/>
              <w:gridCol w:w="765"/>
              <w:tblGridChange w:id="0">
                <w:tblGrid>
                  <w:gridCol w:w="2505"/>
                  <w:gridCol w:w="1125"/>
                  <w:gridCol w:w="1185"/>
                  <w:gridCol w:w="960"/>
                  <w:gridCol w:w="840"/>
                  <w:gridCol w:w="765"/>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16">
                  <w:pPr>
                    <w:spacing w:line="259" w:lineRule="auto"/>
                    <w:jc w:val="center"/>
                    <w:rPr>
                      <w:sz w:val="20"/>
                      <w:szCs w:val="20"/>
                    </w:rPr>
                  </w:pPr>
                  <w:r w:rsidDel="00000000" w:rsidR="00000000" w:rsidRPr="00000000">
                    <w:rPr>
                      <w:sz w:val="20"/>
                      <w:szCs w:val="20"/>
                      <w:rtl w:val="0"/>
                    </w:rPr>
                    <w:t xml:space="preserve">Fishing area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59" w:lineRule="auto"/>
                    <w:jc w:val="center"/>
                    <w:rPr>
                      <w:sz w:val="20"/>
                      <w:szCs w:val="20"/>
                    </w:rPr>
                  </w:pPr>
                  <w:r w:rsidDel="00000000" w:rsidR="00000000" w:rsidRPr="00000000">
                    <w:rPr>
                      <w:sz w:val="20"/>
                      <w:szCs w:val="20"/>
                      <w:rtl w:val="0"/>
                    </w:rPr>
                    <w:t xml:space="preserve">Pink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59" w:lineRule="auto"/>
                    <w:jc w:val="center"/>
                    <w:rPr>
                      <w:sz w:val="20"/>
                      <w:szCs w:val="20"/>
                    </w:rPr>
                  </w:pPr>
                  <w:r w:rsidDel="00000000" w:rsidR="00000000" w:rsidRPr="00000000">
                    <w:rPr>
                      <w:sz w:val="20"/>
                      <w:szCs w:val="20"/>
                      <w:rtl w:val="0"/>
                    </w:rPr>
                    <w:t xml:space="preserve">Chum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59" w:lineRule="auto"/>
                    <w:jc w:val="center"/>
                    <w:rPr>
                      <w:sz w:val="20"/>
                      <w:szCs w:val="20"/>
                    </w:rPr>
                  </w:pPr>
                  <w:r w:rsidDel="00000000" w:rsidR="00000000" w:rsidRPr="00000000">
                    <w:rPr>
                      <w:sz w:val="20"/>
                      <w:szCs w:val="20"/>
                      <w:rtl w:val="0"/>
                    </w:rPr>
                    <w:t xml:space="preserve">Sockeye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59" w:lineRule="auto"/>
                    <w:jc w:val="center"/>
                    <w:rPr>
                      <w:sz w:val="20"/>
                      <w:szCs w:val="20"/>
                    </w:rPr>
                  </w:pPr>
                  <w:r w:rsidDel="00000000" w:rsidR="00000000" w:rsidRPr="00000000">
                    <w:rPr>
                      <w:sz w:val="20"/>
                      <w:szCs w:val="20"/>
                      <w:rtl w:val="0"/>
                    </w:rPr>
                    <w:t xml:space="preserve">Coho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59" w:lineRule="auto"/>
                    <w:jc w:val="center"/>
                    <w:rPr>
                      <w:sz w:val="20"/>
                      <w:szCs w:val="20"/>
                    </w:rPr>
                  </w:pPr>
                  <w:r w:rsidDel="00000000" w:rsidR="00000000" w:rsidRPr="00000000">
                    <w:rPr>
                      <w:sz w:val="20"/>
                      <w:szCs w:val="20"/>
                      <w:rtl w:val="0"/>
                    </w:rPr>
                    <w:t xml:space="preserve">Masu</w:t>
                  </w:r>
                </w:p>
              </w:tc>
            </w:tr>
            <w:tr>
              <w:trPr>
                <w:cantSplit w:val="0"/>
                <w:trHeight w:val="260" w:hRule="atLeast"/>
                <w:tblHeader w:val="0"/>
              </w:trPr>
              <w:tc>
                <w:tcPr>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01C">
                  <w:pPr>
                    <w:rPr>
                      <w:sz w:val="20"/>
                      <w:szCs w:val="20"/>
                    </w:rPr>
                  </w:pPr>
                  <w:r w:rsidDel="00000000" w:rsidR="00000000" w:rsidRPr="00000000">
                    <w:rPr>
                      <w:sz w:val="20"/>
                      <w:szCs w:val="20"/>
                      <w:rtl w:val="0"/>
                    </w:rPr>
                    <w:t xml:space="preserve">South Kuril Zone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9,541.947</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1E">
                  <w:pPr>
                    <w:jc w:val="center"/>
                    <w:rPr>
                      <w:sz w:val="20"/>
                      <w:szCs w:val="20"/>
                    </w:rPr>
                  </w:pPr>
                  <w:r w:rsidDel="00000000" w:rsidR="00000000" w:rsidRPr="00000000">
                    <w:rPr>
                      <w:sz w:val="20"/>
                      <w:szCs w:val="20"/>
                      <w:rtl w:val="0"/>
                    </w:rPr>
                    <w:t xml:space="preserve">11,190.496</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1F">
                  <w:pPr>
                    <w:jc w:val="center"/>
                    <w:rPr>
                      <w:sz w:val="20"/>
                      <w:szCs w:val="20"/>
                    </w:rPr>
                  </w:pPr>
                  <w:r w:rsidDel="00000000" w:rsidR="00000000" w:rsidRPr="00000000">
                    <w:rPr>
                      <w:sz w:val="20"/>
                      <w:szCs w:val="20"/>
                      <w:rtl w:val="0"/>
                    </w:rPr>
                    <w:t xml:space="preserve">10.8</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0</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0.8</w:t>
                  </w:r>
                </w:p>
              </w:tc>
            </w:tr>
          </w:tbl>
          <w:p w:rsidR="00000000" w:rsidDel="00000000" w:rsidP="00000000" w:rsidRDefault="00000000" w:rsidRPr="00000000" w14:paraId="00000022">
            <w:pPr>
              <w:rPr>
                <w:sz w:val="20"/>
                <w:szCs w:val="20"/>
              </w:rPr>
            </w:pPr>
            <w:r w:rsidDel="00000000" w:rsidR="00000000" w:rsidRPr="00000000">
              <w:rPr>
                <w:rtl w:val="0"/>
              </w:rPr>
            </w:r>
          </w:p>
        </w:tc>
      </w:tr>
      <w:tr>
        <w:trPr>
          <w:cantSplit w:val="0"/>
          <w:trHeight w:val="2117" w:hRule="atLeast"/>
          <w:tblHeader w:val="0"/>
        </w:trPr>
        <w:tc>
          <w:tcPr>
            <w:shd w:fill="auto" w:val="clear"/>
          </w:tcPr>
          <w:p w:rsidR="00000000" w:rsidDel="00000000" w:rsidP="00000000" w:rsidRDefault="00000000" w:rsidRPr="00000000" w14:paraId="00000023">
            <w:pPr>
              <w:rPr>
                <w:sz w:val="22"/>
                <w:szCs w:val="22"/>
              </w:rPr>
            </w:pPr>
            <w:r w:rsidDel="00000000" w:rsidR="00000000" w:rsidRPr="00000000">
              <w:rPr>
                <w:sz w:val="22"/>
                <w:szCs w:val="22"/>
                <w:rtl w:val="0"/>
              </w:rPr>
              <w:t xml:space="preserve">19</w:t>
            </w:r>
          </w:p>
        </w:tc>
        <w:tc>
          <w:tcPr>
            <w:shd w:fill="auto" w:val="clear"/>
          </w:tcPr>
          <w:p w:rsidR="00000000" w:rsidDel="00000000" w:rsidP="00000000" w:rsidRDefault="00000000" w:rsidRPr="00000000" w14:paraId="00000024">
            <w:pPr>
              <w:rPr>
                <w:sz w:val="22"/>
                <w:szCs w:val="22"/>
              </w:rPr>
            </w:pPr>
            <w:r w:rsidDel="00000000" w:rsidR="00000000" w:rsidRPr="00000000">
              <w:rPr>
                <w:sz w:val="22"/>
                <w:szCs w:val="22"/>
                <w:rtl w:val="0"/>
              </w:rPr>
              <w:t xml:space="preserve">Jun 26, 2024</w:t>
            </w:r>
          </w:p>
        </w:tc>
        <w:tc>
          <w:tcPr>
            <w:shd w:fill="auto" w:val="clear"/>
          </w:tcPr>
          <w:p w:rsidR="00000000" w:rsidDel="00000000" w:rsidP="00000000" w:rsidRDefault="00000000" w:rsidRPr="00000000" w14:paraId="00000025">
            <w:pPr>
              <w:jc w:val="both"/>
              <w:rPr>
                <w:sz w:val="20"/>
                <w:szCs w:val="20"/>
              </w:rPr>
            </w:pPr>
            <w:r w:rsidDel="00000000" w:rsidR="00000000" w:rsidRPr="00000000">
              <w:rPr>
                <w:sz w:val="20"/>
                <w:szCs w:val="20"/>
                <w:rtl w:val="0"/>
              </w:rPr>
              <w:t xml:space="preserve">Clause 1. The period of Pacific salmon commercial fishing in the South Kuril Zone (Iturup and Kunashir Islands). Fishing period for Kunashir </w:t>
            </w:r>
            <w:r w:rsidDel="00000000" w:rsidR="00000000" w:rsidRPr="00000000">
              <w:rPr>
                <w:b w:val="1"/>
                <w:sz w:val="20"/>
                <w:szCs w:val="20"/>
                <w:rtl w:val="0"/>
              </w:rPr>
              <w:t xml:space="preserve">Pink Salmon</w:t>
            </w:r>
            <w:r w:rsidDel="00000000" w:rsidR="00000000" w:rsidRPr="00000000">
              <w:rPr>
                <w:sz w:val="20"/>
                <w:szCs w:val="20"/>
                <w:rtl w:val="0"/>
              </w:rPr>
              <w:t xml:space="preserve"> is below. </w:t>
            </w:r>
            <w:r w:rsidDel="00000000" w:rsidR="00000000" w:rsidRPr="00000000">
              <w:rPr>
                <w:rtl w:val="0"/>
              </w:rPr>
            </w:r>
          </w:p>
          <w:tbl>
            <w:tblPr>
              <w:tblStyle w:val="Table3"/>
              <w:tblW w:w="7195.999999999999" w:type="dxa"/>
              <w:jc w:val="left"/>
              <w:tblInd w:w="108.0" w:type="dxa"/>
              <w:tblLayout w:type="fixed"/>
              <w:tblLook w:val="0000"/>
            </w:tblPr>
            <w:tblGrid>
              <w:gridCol w:w="4412"/>
              <w:gridCol w:w="1292"/>
              <w:gridCol w:w="1492"/>
              <w:tblGridChange w:id="0">
                <w:tblGrid>
                  <w:gridCol w:w="4412"/>
                  <w:gridCol w:w="1292"/>
                  <w:gridCol w:w="1492"/>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Fishing area</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27">
                  <w:pPr>
                    <w:spacing w:line="259" w:lineRule="auto"/>
                    <w:jc w:val="center"/>
                    <w:rPr>
                      <w:sz w:val="20"/>
                      <w:szCs w:val="20"/>
                    </w:rPr>
                  </w:pPr>
                  <w:r w:rsidDel="00000000" w:rsidR="00000000" w:rsidRPr="00000000">
                    <w:rPr>
                      <w:sz w:val="20"/>
                      <w:szCs w:val="20"/>
                      <w:rtl w:val="0"/>
                    </w:rPr>
                    <w:t xml:space="preserve">Open</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28">
                  <w:pPr>
                    <w:spacing w:line="259" w:lineRule="auto"/>
                    <w:jc w:val="center"/>
                    <w:rPr>
                      <w:sz w:val="20"/>
                      <w:szCs w:val="20"/>
                    </w:rPr>
                  </w:pPr>
                  <w:r w:rsidDel="00000000" w:rsidR="00000000" w:rsidRPr="00000000">
                    <w:rPr>
                      <w:sz w:val="20"/>
                      <w:szCs w:val="20"/>
                      <w:rtl w:val="0"/>
                    </w:rPr>
                    <w:t xml:space="preserve">Close</w:t>
                  </w:r>
                </w:p>
              </w:tc>
            </w:tr>
            <w:tr>
              <w:trPr>
                <w:cantSplit w:val="0"/>
                <w:trHeight w:val="330" w:hRule="atLeast"/>
                <w:tblHeader w:val="0"/>
              </w:trPr>
              <w:tc>
                <w:tcPr>
                  <w:tcBorders>
                    <w:top w:color="000000" w:space="0" w:sz="0" w:val="nil"/>
                    <w:left w:color="000000" w:space="0" w:sz="8" w:val="single"/>
                    <w:bottom w:color="000000" w:space="0" w:sz="4" w:val="single"/>
                    <w:right w:color="000000" w:space="0" w:sz="0" w:val="nil"/>
                  </w:tcBorders>
                  <w:vAlign w:val="center"/>
                </w:tcPr>
                <w:p w:rsidR="00000000" w:rsidDel="00000000" w:rsidP="00000000" w:rsidRDefault="00000000" w:rsidRPr="00000000" w14:paraId="00000029">
                  <w:pPr>
                    <w:rPr>
                      <w:sz w:val="20"/>
                      <w:szCs w:val="20"/>
                    </w:rPr>
                  </w:pPr>
                  <w:r w:rsidDel="00000000" w:rsidR="00000000" w:rsidRPr="00000000">
                    <w:rPr>
                      <w:sz w:val="20"/>
                      <w:szCs w:val="20"/>
                      <w:rtl w:val="0"/>
                    </w:rPr>
                    <w:t xml:space="preserve">Kunashir Island</w:t>
                  </w:r>
                </w:p>
              </w:tc>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2A">
                  <w:pPr>
                    <w:spacing w:line="259" w:lineRule="auto"/>
                    <w:jc w:val="center"/>
                    <w:rPr>
                      <w:sz w:val="20"/>
                      <w:szCs w:val="20"/>
                    </w:rPr>
                  </w:pPr>
                  <w:r w:rsidDel="00000000" w:rsidR="00000000" w:rsidRPr="00000000">
                    <w:rPr>
                      <w:sz w:val="20"/>
                      <w:szCs w:val="20"/>
                      <w:rtl w:val="0"/>
                    </w:rPr>
                    <w:t xml:space="preserve">August 01</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2B">
                  <w:pPr>
                    <w:spacing w:line="259" w:lineRule="auto"/>
                    <w:jc w:val="center"/>
                    <w:rPr>
                      <w:sz w:val="20"/>
                      <w:szCs w:val="20"/>
                    </w:rPr>
                  </w:pPr>
                  <w:r w:rsidDel="00000000" w:rsidR="00000000" w:rsidRPr="00000000">
                    <w:rPr>
                      <w:sz w:val="20"/>
                      <w:szCs w:val="20"/>
                      <w:rtl w:val="0"/>
                    </w:rPr>
                    <w:t xml:space="preserve">September 10 </w:t>
                  </w:r>
                </w:p>
              </w:tc>
            </w:tr>
          </w:tbl>
          <w:p w:rsidR="00000000" w:rsidDel="00000000" w:rsidP="00000000" w:rsidRDefault="00000000" w:rsidRPr="00000000" w14:paraId="0000002C">
            <w:pPr>
              <w:jc w:val="both"/>
              <w:rPr>
                <w:sz w:val="20"/>
                <w:szCs w:val="20"/>
              </w:rPr>
            </w:pPr>
            <w:r w:rsidDel="00000000" w:rsidR="00000000" w:rsidRPr="00000000">
              <w:rPr>
                <w:rtl w:val="0"/>
              </w:rPr>
            </w:r>
          </w:p>
        </w:tc>
      </w:tr>
      <w:tr>
        <w:trPr>
          <w:cantSplit w:val="0"/>
          <w:trHeight w:val="1691" w:hRule="atLeast"/>
          <w:tblHeader w:val="0"/>
        </w:trPr>
        <w:tc>
          <w:tcPr>
            <w:shd w:fill="auto" w:val="clear"/>
          </w:tcPr>
          <w:p w:rsidR="00000000" w:rsidDel="00000000" w:rsidP="00000000" w:rsidRDefault="00000000" w:rsidRPr="00000000" w14:paraId="0000002D">
            <w:pPr>
              <w:rPr>
                <w:sz w:val="22"/>
                <w:szCs w:val="22"/>
              </w:rPr>
            </w:pPr>
            <w:r w:rsidDel="00000000" w:rsidR="00000000" w:rsidRPr="00000000">
              <w:rPr>
                <w:sz w:val="22"/>
                <w:szCs w:val="22"/>
                <w:rtl w:val="0"/>
              </w:rPr>
              <w:t xml:space="preserve">23</w:t>
            </w:r>
          </w:p>
        </w:tc>
        <w:tc>
          <w:tcPr>
            <w:shd w:fill="auto" w:val="clear"/>
          </w:tcPr>
          <w:p w:rsidR="00000000" w:rsidDel="00000000" w:rsidP="00000000" w:rsidRDefault="00000000" w:rsidRPr="00000000" w14:paraId="0000002E">
            <w:pPr>
              <w:rPr>
                <w:sz w:val="22"/>
                <w:szCs w:val="22"/>
              </w:rPr>
            </w:pPr>
            <w:r w:rsidDel="00000000" w:rsidR="00000000" w:rsidRPr="00000000">
              <w:rPr>
                <w:sz w:val="22"/>
                <w:szCs w:val="22"/>
                <w:rtl w:val="0"/>
              </w:rPr>
              <w:t xml:space="preserve">Jul 18, 2024</w:t>
            </w:r>
          </w:p>
        </w:tc>
        <w:tc>
          <w:tcPr>
            <w:shd w:fill="auto" w:val="clear"/>
            <w:vAlign w:val="center"/>
          </w:tcPr>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Clause 5. Fishing areas and gear allocation for Pacific Salmon fishery in the South Kuril Zone (Kunashir Island) were determined.</w:t>
            </w:r>
          </w:p>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According to Annex 6, trap nets are allowed to be set in 41 points, including 24 points and 6 fishing parcels of YKRK company: 15/1/4: 65-18-04; 65-18-05; 65-18-06; 65-18-08; 65-18-18.</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Clause 6. Pacific Salmon total allowable catch for commercial fishing in the South Kuril Zone (Kunashir Island) based on the applications of legal entities received by the Commission.</w:t>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According to Annex 7, total allowable catch on Kunashir Island is as follows:</w:t>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 Pink Salmon – 1,200 metric tons</w:t>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 Chum Salmon  – 3,920 metric  tons</w:t>
            </w:r>
          </w:p>
          <w:p w:rsidR="00000000" w:rsidDel="00000000" w:rsidP="00000000" w:rsidRDefault="00000000" w:rsidRPr="00000000" w14:paraId="00000035">
            <w:pPr>
              <w:jc w:val="both"/>
              <w:rPr>
                <w:sz w:val="20"/>
                <w:szCs w:val="20"/>
              </w:rPr>
            </w:pPr>
            <w:r w:rsidDel="00000000" w:rsidR="00000000" w:rsidRPr="00000000">
              <w:rPr>
                <w:sz w:val="20"/>
                <w:szCs w:val="20"/>
                <w:rtl w:val="0"/>
              </w:rPr>
              <w:t xml:space="preserve">Including YKRK:</w:t>
            </w:r>
          </w:p>
          <w:p w:rsidR="00000000" w:rsidDel="00000000" w:rsidP="00000000" w:rsidRDefault="00000000" w:rsidRPr="00000000" w14:paraId="00000036">
            <w:pPr>
              <w:jc w:val="both"/>
              <w:rPr>
                <w:sz w:val="20"/>
                <w:szCs w:val="20"/>
              </w:rPr>
            </w:pPr>
            <w:r w:rsidDel="00000000" w:rsidR="00000000" w:rsidRPr="00000000">
              <w:rPr>
                <w:sz w:val="20"/>
                <w:szCs w:val="20"/>
                <w:rtl w:val="0"/>
              </w:rPr>
              <w:t xml:space="preserve">- Pink Salmon – 1,000 metric tons</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 Chum Salmon – 3,000 metric tons</w:t>
            </w:r>
          </w:p>
        </w:tc>
      </w:tr>
      <w:tr>
        <w:trPr>
          <w:cantSplit w:val="0"/>
          <w:trHeight w:val="913" w:hRule="atLeast"/>
          <w:tblHeader w:val="0"/>
        </w:trPr>
        <w:tc>
          <w:tcPr>
            <w:shd w:fill="auto" w:val="clear"/>
          </w:tcPr>
          <w:p w:rsidR="00000000" w:rsidDel="00000000" w:rsidP="00000000" w:rsidRDefault="00000000" w:rsidRPr="00000000" w14:paraId="00000038">
            <w:pPr>
              <w:rPr>
                <w:sz w:val="22"/>
                <w:szCs w:val="22"/>
              </w:rPr>
            </w:pPr>
            <w:r w:rsidDel="00000000" w:rsidR="00000000" w:rsidRPr="00000000">
              <w:rPr>
                <w:sz w:val="22"/>
                <w:szCs w:val="22"/>
                <w:rtl w:val="0"/>
              </w:rPr>
              <w:t xml:space="preserve">28</w:t>
            </w:r>
          </w:p>
        </w:tc>
        <w:tc>
          <w:tcPr>
            <w:shd w:fill="auto" w:val="clear"/>
          </w:tcPr>
          <w:p w:rsidR="00000000" w:rsidDel="00000000" w:rsidP="00000000" w:rsidRDefault="00000000" w:rsidRPr="00000000" w14:paraId="00000039">
            <w:pPr>
              <w:rPr>
                <w:sz w:val="22"/>
                <w:szCs w:val="22"/>
              </w:rPr>
            </w:pPr>
            <w:r w:rsidDel="00000000" w:rsidR="00000000" w:rsidRPr="00000000">
              <w:rPr>
                <w:sz w:val="22"/>
                <w:szCs w:val="22"/>
                <w:rtl w:val="0"/>
              </w:rPr>
              <w:t xml:space="preserve">Sept 02, 2024</w:t>
            </w:r>
          </w:p>
        </w:tc>
        <w:tc>
          <w:tcPr>
            <w:shd w:fill="auto" w:val="clear"/>
            <w:vAlign w:val="center"/>
          </w:tcPr>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Clause 1. </w:t>
            </w:r>
            <w:r w:rsidDel="00000000" w:rsidR="00000000" w:rsidRPr="00000000">
              <w:rPr>
                <w:b w:val="1"/>
                <w:sz w:val="20"/>
                <w:szCs w:val="20"/>
                <w:rtl w:val="0"/>
              </w:rPr>
              <w:t xml:space="preserve">Chum Salmon</w:t>
            </w:r>
            <w:r w:rsidDel="00000000" w:rsidR="00000000" w:rsidRPr="00000000">
              <w:rPr>
                <w:sz w:val="20"/>
                <w:szCs w:val="20"/>
                <w:rtl w:val="0"/>
              </w:rPr>
              <w:t xml:space="preserve"> fishing period: In 2024, Chum Salmon fishing period on Kunashir Island opens on September 01 and closes on November 30.</w:t>
            </w:r>
          </w:p>
        </w:tc>
      </w:tr>
      <w:tr>
        <w:trPr>
          <w:cantSplit w:val="0"/>
          <w:trHeight w:val="426" w:hRule="atLeast"/>
          <w:tblHeader w:val="0"/>
        </w:trPr>
        <w:tc>
          <w:tcPr>
            <w:shd w:fill="auto" w:val="clear"/>
          </w:tcPr>
          <w:p w:rsidR="00000000" w:rsidDel="00000000" w:rsidP="00000000" w:rsidRDefault="00000000" w:rsidRPr="00000000" w14:paraId="0000003B">
            <w:pPr>
              <w:rPr>
                <w:sz w:val="22"/>
                <w:szCs w:val="22"/>
              </w:rPr>
            </w:pPr>
            <w:r w:rsidDel="00000000" w:rsidR="00000000" w:rsidRPr="00000000">
              <w:rPr>
                <w:sz w:val="22"/>
                <w:szCs w:val="22"/>
                <w:rtl w:val="0"/>
              </w:rPr>
              <w:t xml:space="preserve">38</w:t>
            </w:r>
          </w:p>
        </w:tc>
        <w:tc>
          <w:tcPr>
            <w:shd w:fill="auto" w:val="clear"/>
          </w:tcPr>
          <w:p w:rsidR="00000000" w:rsidDel="00000000" w:rsidP="00000000" w:rsidRDefault="00000000" w:rsidRPr="00000000" w14:paraId="0000003C">
            <w:pPr>
              <w:rPr>
                <w:sz w:val="22"/>
                <w:szCs w:val="22"/>
              </w:rPr>
            </w:pPr>
            <w:r w:rsidDel="00000000" w:rsidR="00000000" w:rsidRPr="00000000">
              <w:rPr>
                <w:sz w:val="22"/>
                <w:szCs w:val="22"/>
                <w:rtl w:val="0"/>
              </w:rPr>
              <w:t xml:space="preserve">Aug 28, 2024</w:t>
            </w:r>
          </w:p>
        </w:tc>
        <w:tc>
          <w:tcPr>
            <w:shd w:fill="auto" w:val="clear"/>
            <w:vAlign w:val="center"/>
          </w:tcPr>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Clause 2. Timing the passing days in the South Kuril Zone in 2024.</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Due to the absence of commercial Pink Salmon catch, restrictions on Kunashir Pink Salmon fishery were imposed to reduce fishing pressure and to ensure escapement to spawning grounds in the rivers of Kunashir Island. Passing days from August 28 to September 10 were implemented.</w:t>
            </w:r>
          </w:p>
        </w:tc>
      </w:tr>
      <w:tr>
        <w:trPr>
          <w:cantSplit w:val="0"/>
          <w:trHeight w:val="426" w:hRule="atLeast"/>
          <w:tblHeader w:val="0"/>
        </w:trPr>
        <w:tc>
          <w:tcPr>
            <w:shd w:fill="auto" w:val="clear"/>
          </w:tcPr>
          <w:p w:rsidR="00000000" w:rsidDel="00000000" w:rsidP="00000000" w:rsidRDefault="00000000" w:rsidRPr="00000000" w14:paraId="0000003F">
            <w:pPr>
              <w:rPr>
                <w:sz w:val="22"/>
                <w:szCs w:val="22"/>
              </w:rPr>
            </w:pPr>
            <w:r w:rsidDel="00000000" w:rsidR="00000000" w:rsidRPr="00000000">
              <w:rPr>
                <w:sz w:val="22"/>
                <w:szCs w:val="22"/>
                <w:rtl w:val="0"/>
              </w:rPr>
              <w:t xml:space="preserve">45</w:t>
            </w:r>
          </w:p>
        </w:tc>
        <w:tc>
          <w:tcPr>
            <w:shd w:fill="auto" w:val="clear"/>
          </w:tcPr>
          <w:p w:rsidR="00000000" w:rsidDel="00000000" w:rsidP="00000000" w:rsidRDefault="00000000" w:rsidRPr="00000000" w14:paraId="00000040">
            <w:pPr>
              <w:rPr>
                <w:sz w:val="22"/>
                <w:szCs w:val="22"/>
              </w:rPr>
            </w:pPr>
            <w:r w:rsidDel="00000000" w:rsidR="00000000" w:rsidRPr="00000000">
              <w:rPr>
                <w:sz w:val="22"/>
                <w:szCs w:val="22"/>
                <w:rtl w:val="0"/>
              </w:rPr>
              <w:t xml:space="preserve">Sept 25, 2024</w:t>
            </w:r>
          </w:p>
        </w:tc>
        <w:tc>
          <w:tcPr>
            <w:shd w:fill="auto" w:val="clear"/>
            <w:vAlign w:val="center"/>
          </w:tcPr>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Clause 3 Subclause 3.2.1 defines </w:t>
            </w:r>
            <w:r w:rsidDel="00000000" w:rsidR="00000000" w:rsidRPr="00000000">
              <w:rPr>
                <w:b w:val="1"/>
                <w:sz w:val="20"/>
                <w:szCs w:val="20"/>
                <w:rtl w:val="0"/>
              </w:rPr>
              <w:t xml:space="preserve">Chum Salmon</w:t>
            </w:r>
            <w:r w:rsidDel="00000000" w:rsidR="00000000" w:rsidRPr="00000000">
              <w:rPr>
                <w:sz w:val="20"/>
                <w:szCs w:val="20"/>
                <w:rtl w:val="0"/>
              </w:rPr>
              <w:t xml:space="preserve"> fishing areas and fishing gear allocation for YKRK: these are fishing parcels No. 65-18-04; 15/1/4; 65-18-20; 65-18-17-1; 65-18-16; 65-18-15; 65-18-14. </w:t>
            </w:r>
          </w:p>
          <w:p w:rsidR="00000000" w:rsidDel="00000000" w:rsidP="00000000" w:rsidRDefault="00000000" w:rsidRPr="00000000" w14:paraId="00000042">
            <w:pPr>
              <w:jc w:val="both"/>
              <w:rPr>
                <w:sz w:val="20"/>
                <w:szCs w:val="20"/>
              </w:rPr>
            </w:pPr>
            <w:r w:rsidDel="00000000" w:rsidR="00000000" w:rsidRPr="00000000">
              <w:rPr>
                <w:sz w:val="20"/>
                <w:szCs w:val="20"/>
                <w:rtl w:val="0"/>
              </w:rPr>
              <w:t xml:space="preserve">In subclause 3.3.1, fishing parcels No. 65-18-10 and 65-18-11 are excluded from Chum Salmon fishing areas.</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Scientific support of the salmon fishing season and recommendations for the Commission's decisions were accompanied by monitoring studies in the water bodies of Kunashir Island, which were conducted by fish biologists of SakhRybVod and VNIRO specialists.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http://vniro.ru/ru/novosti/arkhiv-za-2024-god/lososevaya-putina-i-ee-nauchnoe-soprovozhdenie-na-dalnevostochnom-rybokhozyajstvennom-bassejne-202410281452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was promptly </w:t>
      </w:r>
      <w:r w:rsidDel="00000000" w:rsidR="00000000" w:rsidRPr="00000000">
        <w:rPr>
          <w:rtl w:val="0"/>
        </w:rPr>
        <w:t xml:space="preserve">sent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SakhNIRO and then to VNIRO, where analytical reports were compiled in a timely manner.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http://vniro.ru/files/putina-2024/20241118-losos-putina.pdf</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All fishing operations are controlled by state services such as the South Kuril Division of the Sakhalin-Kuril Territorial Administration and the Marine Biological Resources Protection Division of the Border Guard Department of the Federal Security Service of the Russian Federation.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The YKRK company has been operating on the island for many decades and successfully supports both the infrastructure of Kunashir and its local population, whose welfare directly depends on fishing activities. The company, using its own funds, finances additional scientific research and activities to protect salmon spawning grounds, purchases sports equipment and sponsors various sports and environmental educational events in schools.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Konstantin Korobkov, the General Director of YKRK, expressed his willingness to not only support but also to take the lead in implementing measures to protect the populations of Kunashir Pink and Chum Salmon during a meeting in Yuzhno-Sakhalinsk on August 9, 2024. 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ater </w:t>
      </w:r>
      <w:r w:rsidDel="00000000" w:rsidR="00000000" w:rsidRPr="00000000">
        <w:rPr>
          <w:rtl w:val="0"/>
        </w:rPr>
        <w:t xml:space="preserve">this 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w:t>
      </w:r>
      <w:r w:rsidDel="00000000" w:rsidR="00000000" w:rsidRPr="00000000">
        <w:rPr>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ink </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fishery closure (</w:t>
      </w:r>
      <w:r w:rsidDel="00000000" w:rsidR="00000000" w:rsidRPr="00000000">
        <w:rPr>
          <w:rtl w:val="0"/>
        </w:rPr>
        <w:t xml:space="preserve">letter of the Association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Minutes of the Commission meetings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38 dated August 28, 2024) and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limiting </w:t>
      </w:r>
      <w:r w:rsidDel="00000000" w:rsidR="00000000" w:rsidRPr="00000000">
        <w:rPr>
          <w:rtl w:val="0"/>
        </w:rPr>
        <w:t xml:space="preserve">the Chum Salmon fishery </w:t>
      </w:r>
      <w:r w:rsidDel="00000000" w:rsidR="00000000" w:rsidRPr="00000000">
        <w:rPr>
          <w:rtl w:val="0"/>
        </w:rPr>
        <w:t xml:space="preserve">by reducing the fishery on some fishing parcels</w:t>
      </w:r>
      <w:r w:rsidDel="00000000" w:rsidR="00000000" w:rsidRPr="00000000">
        <w:rPr>
          <w:rtl w:val="0"/>
        </w:rPr>
        <w:t xml:space="preserve"> and prematurely closing the fishery in some areas in advance of the official closure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For example, according to the Ministry of Fishery of the Sakhalin Region (Figure 29 from Tatyana Tochilina's report, 2024), YKRK has 13 fishing parcels in the coastal waters of Kunashir. Before the 2024 fishing season, the company has stated that it will use only 11 fishing parcels (</w:t>
      </w:r>
      <w:r w:rsidDel="00000000" w:rsidR="00000000" w:rsidRPr="00000000">
        <w:rPr>
          <w:rtl w:val="0"/>
        </w:rPr>
        <w:t xml:space="preserve">Appendix 6 to the Commission Minutes No. 23 dated July 18, 2024 and Subclause 3.2.1 of the Commission Minutes No. 45 dated September 25, 2024</w:t>
      </w:r>
      <w:r w:rsidDel="00000000" w:rsidR="00000000" w:rsidRPr="00000000">
        <w:rPr>
          <w:rtl w:val="0"/>
        </w:rPr>
        <w:t xml:space="preserve">). </w:t>
      </w:r>
      <w:r w:rsidDel="00000000" w:rsidR="00000000" w:rsidRPr="00000000">
        <w:rPr>
          <w:rtl w:val="0"/>
        </w:rPr>
        <w:t xml:space="preserve">As a result, there were almost no commercial Pink Salmon catch, while </w:t>
      </w:r>
      <w:r w:rsidDel="00000000" w:rsidR="00000000" w:rsidRPr="00000000">
        <w:rPr>
          <w:rtl w:val="0"/>
        </w:rPr>
        <w:t xml:space="preserve">for Chum Salmon commercial fishing the YKRK company used only two fishing parcels with nine trap nets: two of them were located in the fishing parcel No. 65-18-18 within the Lesnaya River-Petrovka River boundaries (Golovnina Bay, Pacific coast), and other seven trap nets were located in the fishing parcel No. 65-18-08 within 0.4 km northeast of Cape Spiridonov-Asin Stream (Pervukhina Bay, Sea of ​​Okhotsk coast) (from Chapter 5.2. of the Tochilina report, 2024). Further, during the Chum Salmon fishery, the company's management considered early removal of the trap nets in the Golovnina Bay (Pacific coast) on October 25 (long before the end of the official fishing period); such a decision was made independently, without any instructions from the Commission and regulatory authorities.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Scientific support of salmon fisheries in the Sakhalin Region, management decisions on restrictive measures, and the recovery of Kunashir Pink and Chum Salmon were discussed by Lyudmila Fedorova with representatives of various organizations and fishing companies during her visit to Yuzhno-Sakhalinsk in August 2024. All respondents attributed low Pink Salmon returns to hydrological and temperature changes in the island's coastal waters, which </w:t>
      </w:r>
      <w:r w:rsidDel="00000000" w:rsidR="00000000" w:rsidRPr="00000000">
        <w:rPr>
          <w:rtl w:val="0"/>
        </w:rPr>
        <w:t xml:space="preserve">resulted in a low number of spawners returning to spawn</w:t>
      </w:r>
      <w:r w:rsidDel="00000000" w:rsidR="00000000" w:rsidRPr="00000000">
        <w:rPr>
          <w:rtl w:val="0"/>
        </w:rPr>
        <w:t xml:space="preserve">. They see the restoration of resources through the development of fish breeding programs, as the absence of spawners (parents) o</w:t>
      </w:r>
      <w:r w:rsidDel="00000000" w:rsidR="00000000" w:rsidRPr="00000000">
        <w:rPr>
          <w:rtl w:val="0"/>
        </w:rPr>
        <w:t xml:space="preserve">n the empty Kunashir spawning grounds can only be compensated by release of eggs and hatched juveniles.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4C">
      <w:pPr>
        <w:ind w:firstLine="566.9291338582675"/>
        <w:jc w:val="both"/>
        <w:rPr/>
      </w:pPr>
      <w:r w:rsidDel="00000000" w:rsidR="00000000" w:rsidRPr="00000000">
        <w:rPr>
          <w:rtl w:val="0"/>
        </w:rPr>
        <w:t xml:space="preserve">The management system is capable of resolving real disputes in the fishery. At the end of the fishing season, usually at the end of November, meetings on summarizing preliminary results are held. Last year, such a meeting of the Far Eastern Scientific &amp; Fishery Council (DVNPS) was held on November 28 in Vladivostok: </w:t>
      </w:r>
      <w:hyperlink r:id="rId11">
        <w:r w:rsidDel="00000000" w:rsidR="00000000" w:rsidRPr="00000000">
          <w:rPr>
            <w:color w:val="1155cc"/>
            <w:u w:val="single"/>
            <w:rtl w:val="0"/>
          </w:rPr>
          <w:t xml:space="preserve">http://vniro.ru/ru/novosti/arkhiv-za-2024-god/na-dvnps-podveli-</w:t>
          <w:br w:type="textWrapping"/>
          <w:t xml:space="preserve">itogi-lososevoj-putiny-2024-goda</w:t>
        </w:r>
      </w:hyperlink>
      <w:r w:rsidDel="00000000" w:rsidR="00000000" w:rsidRPr="00000000">
        <w:rPr>
          <w:rtl w:val="0"/>
        </w:rPr>
        <w:t xml:space="preserve">. Scientists are constantly reviewing the tools for managing salmon fisheries and their effectiveness. Thus, in the article “On the improvement of Pink Salmon Fishery Management (on the Sakhalin-Kuril Region as an example)”. Kaev with co-authors assess the current state of Pink Salmon fishery regulation and suggest ways to improve scientific support of the fishing season to ensure rational use of stocks. </w:t>
      </w:r>
      <w:r w:rsidDel="00000000" w:rsidR="00000000" w:rsidRPr="00000000">
        <w:rPr>
          <w:rtl w:val="0"/>
        </w:rPr>
        <w:t xml:space="preserve">Bulletin No. 17 Study of Pacific Salmon in the Far East published Marchenko's article “</w:t>
      </w:r>
      <w:r w:rsidDel="00000000" w:rsidR="00000000" w:rsidRPr="00000000">
        <w:rPr>
          <w:rtl w:val="0"/>
        </w:rPr>
        <w:t xml:space="preserve">Analysis</w:t>
      </w:r>
      <w:r w:rsidDel="00000000" w:rsidR="00000000" w:rsidRPr="00000000">
        <w:rPr>
          <w:rtl w:val="0"/>
        </w:rPr>
        <w:t xml:space="preserve"> of the salmon fishing season of 2022”</w:t>
      </w:r>
      <w:r w:rsidDel="00000000" w:rsidR="00000000" w:rsidRPr="00000000">
        <w:rPr>
          <w:rtl w:val="0"/>
        </w:rPr>
        <w:t xml:space="preserve">, in which the author revealed probable reasons for the discrepancy between actual catches of Pacific salmon in the Russian Far East and forecast expectations, and proposed ways to improve the regulation of salmon fisheries and its scientific support. Similar publications are expected in Bulletin No. 19 (April-May 2025).</w:t>
      </w:r>
    </w:p>
    <w:p w:rsidR="00000000" w:rsidDel="00000000" w:rsidP="00000000" w:rsidRDefault="00000000" w:rsidRPr="00000000" w14:paraId="0000004D">
      <w:pPr>
        <w:ind w:firstLine="566.9291338582675"/>
        <w:jc w:val="both"/>
        <w:rPr/>
      </w:pPr>
      <w:r w:rsidDel="00000000" w:rsidR="00000000" w:rsidRPr="00000000">
        <w:rPr>
          <w:rtl w:val="0"/>
        </w:rPr>
      </w:r>
    </w:p>
    <w:p w:rsidR="00000000" w:rsidDel="00000000" w:rsidP="00000000" w:rsidRDefault="00000000" w:rsidRPr="00000000" w14:paraId="0000004E">
      <w:pPr>
        <w:ind w:firstLine="566.9291338582675"/>
        <w:jc w:val="both"/>
        <w:rPr/>
      </w:pPr>
      <w:r w:rsidDel="00000000" w:rsidR="00000000" w:rsidRPr="00000000">
        <w:rPr>
          <w:rtl w:val="0"/>
        </w:rPr>
        <w:t xml:space="preserve">Thus, the salmon fisheries management system in the Sakhalin Region has effective tools and regulations for decision-making processes that result in measures to implement the Fisheries Strategies aimed at sustainable use of Pacific salmon populations on Kunashir.</w:t>
      </w:r>
    </w:p>
    <w:p w:rsidR="00000000" w:rsidDel="00000000" w:rsidP="00000000" w:rsidRDefault="00000000" w:rsidRPr="00000000" w14:paraId="0000004F">
      <w:pPr>
        <w:ind w:firstLine="566.9291338582675"/>
        <w:jc w:val="both"/>
        <w:rPr/>
      </w:pPr>
      <w:r w:rsidDel="00000000" w:rsidR="00000000" w:rsidRPr="00000000">
        <w:rPr>
          <w:rtl w:val="0"/>
        </w:rPr>
      </w:r>
    </w:p>
    <w:p w:rsidR="00000000" w:rsidDel="00000000" w:rsidP="00000000" w:rsidRDefault="00000000" w:rsidRPr="00000000" w14:paraId="00000050">
      <w:pPr>
        <w:ind w:firstLine="566.9291338582675"/>
        <w:jc w:val="both"/>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 of litera</w:t>
      </w:r>
      <w:r w:rsidDel="00000000" w:rsidR="00000000" w:rsidRPr="00000000">
        <w:rPr>
          <w:b w:val="1"/>
          <w:rtl w:val="0"/>
        </w:rPr>
        <w:t xml:space="preserve">ture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and Internet resources: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pPr>
      <w:r w:rsidDel="00000000" w:rsidR="00000000" w:rsidRPr="00000000">
        <w:rPr>
          <w:rtl w:val="0"/>
        </w:rPr>
        <w:t xml:space="preserve">Bulletin No. 17 on the study of Pacific salmon in the Far East. Electronic supplement to the scientific journal “Izvestiya TINRO”. Vladivostok, 2023 (in Russian)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pPr>
      <w:r w:rsidDel="00000000" w:rsidR="00000000" w:rsidRPr="00000000">
        <w:rPr>
          <w:rtl w:val="0"/>
        </w:rPr>
        <w:t xml:space="preserve">Kaev A.M., Samarsky V.G., Glubokovsky M.K. On the improvement of Pink Salmon Fishery Management (on the Sakhalin-Kuril Region as an example). Proceedings of VNIRO (Trudy VNIRO). 2023. Vol. 192. pp. 39-54 (in Russian)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ind w:firstLine="566.9291338582675"/>
        <w:jc w:val="both"/>
        <w:rPr/>
      </w:pPr>
      <w:r w:rsidDel="00000000" w:rsidR="00000000" w:rsidRPr="00000000">
        <w:rPr>
          <w:rtl w:val="0"/>
        </w:rPr>
        <w:t xml:space="preserve">Minutes of meetings of the Sakhalin Region Anadromous Fish Commission:</w:t>
      </w:r>
    </w:p>
    <w:p w:rsidR="00000000" w:rsidDel="00000000" w:rsidP="00000000" w:rsidRDefault="00000000" w:rsidRPr="00000000" w14:paraId="00000058">
      <w:pPr>
        <w:ind w:firstLine="566.9291338582675"/>
        <w:jc w:val="both"/>
        <w:rPr/>
      </w:pPr>
      <w:r w:rsidDel="00000000" w:rsidR="00000000" w:rsidRPr="00000000">
        <w:rPr>
          <w:rtl w:val="0"/>
        </w:rPr>
        <w:t xml:space="preserve">No. 9 dated May 06, 2024; No. 19 dated June 26, 2024; No. 23 dated July 18, 2024; No. 28 dated Aug 02, 2024; No. 38 dated August 28, 2024; No. 45 dated September 25, 2024</w:t>
      </w:r>
    </w:p>
    <w:p w:rsidR="00000000" w:rsidDel="00000000" w:rsidP="00000000" w:rsidRDefault="00000000" w:rsidRPr="00000000" w14:paraId="00000059">
      <w:pPr>
        <w:ind w:firstLine="566.9291338582675"/>
        <w:jc w:val="both"/>
        <w:rPr/>
      </w:pPr>
      <w:r w:rsidDel="00000000" w:rsidR="00000000" w:rsidRPr="00000000">
        <w:rPr>
          <w:rtl w:val="0"/>
        </w:rPr>
      </w:r>
    </w:p>
    <w:p w:rsidR="00000000" w:rsidDel="00000000" w:rsidP="00000000" w:rsidRDefault="00000000" w:rsidRPr="00000000" w14:paraId="0000005A">
      <w:pPr>
        <w:ind w:firstLine="566.9291338582675"/>
        <w:jc w:val="both"/>
        <w:rPr/>
      </w:pPr>
      <w:r w:rsidDel="00000000" w:rsidR="00000000" w:rsidRPr="00000000">
        <w:rPr>
          <w:rtl w:val="0"/>
        </w:rPr>
        <w:t xml:space="preserve">Minutes of meetings by Lyudmila Fedorova in Yuzhno-Sakhalinsk dated August 8, 9, 14, 15 and 16, 2024</w:t>
      </w:r>
    </w:p>
    <w:p w:rsidR="00000000" w:rsidDel="00000000" w:rsidP="00000000" w:rsidRDefault="00000000" w:rsidRPr="00000000" w14:paraId="0000005B">
      <w:pPr>
        <w:ind w:firstLine="566.9291338582675"/>
        <w:jc w:val="both"/>
        <w:rPr/>
      </w:pPr>
      <w:r w:rsidDel="00000000" w:rsidR="00000000" w:rsidRPr="00000000">
        <w:rPr>
          <w:rtl w:val="0"/>
        </w:rPr>
      </w:r>
    </w:p>
    <w:p w:rsidR="00000000" w:rsidDel="00000000" w:rsidP="00000000" w:rsidRDefault="00000000" w:rsidRPr="00000000" w14:paraId="0000005C">
      <w:pPr>
        <w:ind w:firstLine="566.9291338582675"/>
        <w:jc w:val="both"/>
        <w:rPr/>
      </w:pPr>
      <w:r w:rsidDel="00000000" w:rsidR="00000000" w:rsidRPr="00000000">
        <w:rPr>
          <w:rtl w:val="0"/>
        </w:rPr>
        <w:t xml:space="preserve">Association of Fishermen of Sakhalin Region (AFS) Letter to the Head of SakhNIRO No. 104-PS dated August 26, 2024</w:t>
      </w:r>
    </w:p>
    <w:p w:rsidR="00000000" w:rsidDel="00000000" w:rsidP="00000000" w:rsidRDefault="00000000" w:rsidRPr="00000000" w14:paraId="0000005D">
      <w:pPr>
        <w:ind w:firstLine="566.9291338582675"/>
        <w:jc w:val="both"/>
        <w:rPr/>
      </w:pPr>
      <w:r w:rsidDel="00000000" w:rsidR="00000000" w:rsidRPr="00000000">
        <w:rPr>
          <w:rtl w:val="0"/>
        </w:rPr>
      </w:r>
    </w:p>
    <w:p w:rsidR="00000000" w:rsidDel="00000000" w:rsidP="00000000" w:rsidRDefault="00000000" w:rsidRPr="00000000" w14:paraId="0000005E">
      <w:pPr>
        <w:ind w:firstLine="566.9291338582675"/>
        <w:jc w:val="both"/>
        <w:rPr>
          <w:color w:val="0563c1"/>
          <w:u w:val="single"/>
        </w:rPr>
      </w:pPr>
      <w:hyperlink r:id="rId12">
        <w:r w:rsidDel="00000000" w:rsidR="00000000" w:rsidRPr="00000000">
          <w:rPr>
            <w:color w:val="0563c1"/>
            <w:u w:val="single"/>
            <w:rtl w:val="0"/>
          </w:rPr>
          <w:t xml:space="preserve">https://fish-sakh.ru/</w:t>
        </w:r>
      </w:hyperlink>
      <w:r w:rsidDel="00000000" w:rsidR="00000000" w:rsidRPr="00000000">
        <w:rPr>
          <w:rtl w:val="0"/>
        </w:rPr>
      </w:r>
    </w:p>
    <w:p w:rsidR="00000000" w:rsidDel="00000000" w:rsidP="00000000" w:rsidRDefault="00000000" w:rsidRPr="00000000" w14:paraId="0000005F">
      <w:pPr>
        <w:ind w:firstLine="566.9291338582675"/>
        <w:jc w:val="both"/>
        <w:rPr>
          <w:color w:val="0563c1"/>
          <w:u w:val="singl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https://sakhalin.fish.gov.ru/activities/komissiya_po_anadromnym/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ind w:firstLine="566.9291338582675"/>
        <w:jc w:val="both"/>
        <w:rPr/>
      </w:pPr>
      <w:r w:rsidDel="00000000" w:rsidR="00000000" w:rsidRPr="00000000">
        <w:rPr>
          <w:rtl w:val="0"/>
        </w:rPr>
      </w:r>
    </w:p>
    <w:p w:rsidR="00000000" w:rsidDel="00000000" w:rsidP="00000000" w:rsidRDefault="00000000" w:rsidRPr="00000000" w14:paraId="00000062">
      <w:pPr>
        <w:ind w:firstLine="566.9291338582675"/>
        <w:rPr>
          <w:color w:val="0563c1"/>
          <w:u w:val="single"/>
        </w:rPr>
      </w:pPr>
      <w:hyperlink r:id="rId14">
        <w:r w:rsidDel="00000000" w:rsidR="00000000" w:rsidRPr="00000000">
          <w:rPr>
            <w:color w:val="0563c1"/>
            <w:u w:val="single"/>
            <w:rtl w:val="0"/>
          </w:rPr>
          <w:t xml:space="preserve">https://sakh.online/news/18/2024-06-28/opredeleny-sroki-putiny-dlya-yuzhnyh-kuril-426342</w:t>
        </w:r>
      </w:hyperlink>
      <w:r w:rsidDel="00000000" w:rsidR="00000000" w:rsidRPr="00000000">
        <w:rPr>
          <w:rtl w:val="0"/>
        </w:rPr>
      </w:r>
    </w:p>
    <w:p w:rsidR="00000000" w:rsidDel="00000000" w:rsidP="00000000" w:rsidRDefault="00000000" w:rsidRPr="00000000" w14:paraId="00000063">
      <w:pPr>
        <w:ind w:firstLine="566.9291338582675"/>
        <w:rPr>
          <w:color w:val="0563c1"/>
          <w:u w:val="single"/>
        </w:rPr>
      </w:pPr>
      <w:r w:rsidDel="00000000" w:rsidR="00000000" w:rsidRPr="00000000">
        <w:rPr>
          <w:rtl w:val="0"/>
        </w:rPr>
      </w:r>
    </w:p>
    <w:p w:rsidR="00000000" w:rsidDel="00000000" w:rsidP="00000000" w:rsidRDefault="00000000" w:rsidRPr="00000000" w14:paraId="00000064">
      <w:pPr>
        <w:ind w:firstLine="566.9291338582675"/>
        <w:rPr/>
      </w:pPr>
      <w:hyperlink r:id="rId15">
        <w:r w:rsidDel="00000000" w:rsidR="00000000" w:rsidRPr="00000000">
          <w:rPr>
            <w:color w:val="0563c1"/>
            <w:u w:val="single"/>
            <w:rtl w:val="0"/>
          </w:rPr>
          <w:t xml:space="preserve">http://vniro.ru/ru/novosti/arkhiv-za-2024-god/lososevaya-putina-i-ee-nauchnoe-soprovozhdenie-na-dalnevostochnom-rybokhozyajstvennom-bassejne-202410281452</w:t>
        </w:r>
      </w:hyperlink>
      <w:r w:rsidDel="00000000" w:rsidR="00000000" w:rsidRPr="00000000">
        <w:rPr>
          <w:rtl w:val="0"/>
        </w:rPr>
        <w:t xml:space="preserve">.</w:t>
      </w:r>
    </w:p>
    <w:p w:rsidR="00000000" w:rsidDel="00000000" w:rsidP="00000000" w:rsidRDefault="00000000" w:rsidRPr="00000000" w14:paraId="00000065">
      <w:pPr>
        <w:ind w:firstLine="566.9291338582675"/>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http://vniro.ru/files/putina-2024/20241118-losos-putina.pdf</w:t>
        </w:r>
      </w:hyperlink>
      <w:r w:rsidDel="00000000" w:rsidR="00000000" w:rsidRPr="00000000">
        <w:rPr>
          <w:rtl w:val="0"/>
        </w:rPr>
      </w:r>
    </w:p>
    <w:p w:rsidR="00000000" w:rsidDel="00000000" w:rsidP="00000000" w:rsidRDefault="00000000" w:rsidRPr="00000000" w14:paraId="00000067">
      <w:pPr>
        <w:ind w:firstLine="566.9291338582675"/>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70c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http://vniro.ru/ru/novosti/arkhiv-za-2024-god/na-dvnps-podveli-itogi-lososevoj-putiny-2024-goda</w:t>
        </w:r>
      </w:hyperlink>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ind w:firstLine="566.9291338582675"/>
        <w:rPr/>
      </w:pPr>
      <w:r w:rsidDel="00000000" w:rsidR="00000000" w:rsidRPr="00000000">
        <w:rPr>
          <w:rtl w:val="0"/>
        </w:rPr>
        <w:t xml:space="preserve">Lyudmila Fedorova</w:t>
      </w:r>
    </w:p>
    <w:p w:rsidR="00000000" w:rsidDel="00000000" w:rsidP="00000000" w:rsidRDefault="00000000" w:rsidRPr="00000000" w14:paraId="0000006D">
      <w:pPr>
        <w:ind w:firstLine="566.9291338582675"/>
        <w:rPr/>
      </w:pPr>
      <w:r w:rsidDel="00000000" w:rsidR="00000000" w:rsidRPr="00000000">
        <w:rPr>
          <w:rtl w:val="0"/>
        </w:rPr>
        <w:t xml:space="preserve">Fisheries Eco-Certification Consultant</w:t>
      </w:r>
    </w:p>
    <w:p w:rsidR="00000000" w:rsidDel="00000000" w:rsidP="00000000" w:rsidRDefault="00000000" w:rsidRPr="00000000" w14:paraId="0000006E">
      <w:pPr>
        <w:ind w:firstLine="566.9291338582675"/>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March 13, 2025</w:t>
      </w: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jc w:val="center"/>
    </w:pPr>
    <w:rPr>
      <w:b w:val="1"/>
      <w:smallCaps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pPr>
    <w:rPr>
      <w:b w:val="1"/>
      <w:i w:val="1"/>
    </w:rPr>
  </w:style>
  <w:style w:type="paragraph" w:styleId="Heading4">
    <w:name w:val="heading 4"/>
    <w:basedOn w:val="Normal"/>
    <w:next w:val="Normal"/>
    <w:pPr>
      <w:keepNext w:val="1"/>
      <w:spacing w:after="120" w:before="120" w:lineRule="auto"/>
    </w:pPr>
    <w:rPr>
      <w:u w:val="singl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vniro.ru/ru/novosti/arkhiv-za-2024-god/na-dvnps-podveli-itogi-lososevoj-putiny-2024-goda" TargetMode="External"/><Relationship Id="rId22" Type="http://schemas.openxmlformats.org/officeDocument/2006/relationships/footer" Target="footer3.xml"/><Relationship Id="rId10" Type="http://schemas.openxmlformats.org/officeDocument/2006/relationships/hyperlink" Target="http://vniro.ru/files/putina-2024/20241118-losos-putina.pdf" TargetMode="External"/><Relationship Id="rId21" Type="http://schemas.openxmlformats.org/officeDocument/2006/relationships/footer" Target="footer2.xml"/><Relationship Id="rId13" Type="http://schemas.openxmlformats.org/officeDocument/2006/relationships/hyperlink" Target="https://sakhalin.fish.gov.ru/activities/komissiya_po_anadromnym/" TargetMode="External"/><Relationship Id="rId12" Type="http://schemas.openxmlformats.org/officeDocument/2006/relationships/hyperlink" Target="https://fish-sakh.ru/"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niro.ru/ru/novosti/arkhiv-za-2024-god/lososevaya-putina-i-ee-nauchnoe-soprovozhdenie-na-dalnevostochnom-rybokhozyajstvennom-bassejne-202410281452" TargetMode="External"/><Relationship Id="rId15" Type="http://schemas.openxmlformats.org/officeDocument/2006/relationships/hyperlink" Target="http://vniro.ru/ru/novosti/arkhiv-za-2024-god/lososevaya-putina-i-ee-nauchnoe-soprovozhdenie-na-dalnevostochnom-rybokhozyajstvennom-bassejne-202410281452" TargetMode="External"/><Relationship Id="rId14" Type="http://schemas.openxmlformats.org/officeDocument/2006/relationships/hyperlink" Target="https://sakh.online/news/18/2024-06-28/opredeleny-sroki-putiny-dlya-yuzhnyh-kuril-426342" TargetMode="External"/><Relationship Id="rId17" Type="http://schemas.openxmlformats.org/officeDocument/2006/relationships/hyperlink" Target="http://vniro.ru/ru/novosti/arkhiv-za-2024-god/na-dvnps-podveli-itogi-lososevoj-putiny-2024-goda" TargetMode="External"/><Relationship Id="rId16" Type="http://schemas.openxmlformats.org/officeDocument/2006/relationships/hyperlink" Target="http://vniro.ru/files/putina-2024/20241118-losos-putina.pdf"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hyperlink" Target="https://fish-sakh.ru/" TargetMode="External"/><Relationship Id="rId18" Type="http://schemas.openxmlformats.org/officeDocument/2006/relationships/header" Target="header2.xml"/><Relationship Id="rId7" Type="http://schemas.openxmlformats.org/officeDocument/2006/relationships/hyperlink" Target="https://sakhalin.fish.gov.ru/activities/komissiya_po_anadromnym/" TargetMode="External"/><Relationship Id="rId8" Type="http://schemas.openxmlformats.org/officeDocument/2006/relationships/hyperlink" Target="https://sakh.online/news/18/2024-06-28/opredeleny-sroki-putiny-dlya-yuzhnyh-kuril-426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