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C66C" w14:textId="34D64145" w:rsidR="00B90343" w:rsidRDefault="00816ACC" w:rsidP="00C36D56">
      <w:pPr>
        <w:pStyle w:val="Heading1"/>
        <w:jc w:val="center"/>
      </w:pPr>
      <w:r>
        <w:t xml:space="preserve">Western Central Pacific Fisheries </w:t>
      </w:r>
      <w:r w:rsidR="00AA2E86">
        <w:t>Commission</w:t>
      </w:r>
      <w:r w:rsidR="00961155">
        <w:t xml:space="preserve"> 21</w:t>
      </w:r>
      <w:r w:rsidR="00961155" w:rsidRPr="00961155">
        <w:rPr>
          <w:vertAlign w:val="superscript"/>
        </w:rPr>
        <w:t>st</w:t>
      </w:r>
      <w:r w:rsidR="00961155">
        <w:t xml:space="preserve"> </w:t>
      </w:r>
      <w:r w:rsidR="00C36D56">
        <w:t>A</w:t>
      </w:r>
      <w:r w:rsidR="00961155">
        <w:t xml:space="preserve">nnual </w:t>
      </w:r>
      <w:r w:rsidR="00C36D56">
        <w:t>M</w:t>
      </w:r>
      <w:r w:rsidR="00961155">
        <w:t>eeting 2024</w:t>
      </w:r>
      <w:r w:rsidR="00C36D56">
        <w:t xml:space="preserve"> - </w:t>
      </w:r>
      <w:r w:rsidR="00961155">
        <w:t>Suva, Fiji</w:t>
      </w:r>
    </w:p>
    <w:p w14:paraId="48D85B3B" w14:textId="1D7734B7" w:rsidR="00C36D56" w:rsidRDefault="00C36D56" w:rsidP="00790214">
      <w:pPr>
        <w:jc w:val="center"/>
        <w:rPr>
          <w:sz w:val="20"/>
          <w:szCs w:val="20"/>
        </w:rPr>
      </w:pPr>
    </w:p>
    <w:p w14:paraId="77E244EF" w14:textId="3CA3B233" w:rsidR="00D21689" w:rsidRPr="00C21417" w:rsidRDefault="00B90343" w:rsidP="00D21689">
      <w:pPr>
        <w:rPr>
          <w:sz w:val="20"/>
          <w:szCs w:val="20"/>
        </w:rPr>
      </w:pPr>
      <w:r w:rsidRPr="00C21417">
        <w:rPr>
          <w:sz w:val="20"/>
          <w:szCs w:val="20"/>
        </w:rPr>
        <w:t xml:space="preserve">Key </w:t>
      </w:r>
      <w:r w:rsidR="00D15E90">
        <w:rPr>
          <w:sz w:val="20"/>
          <w:szCs w:val="20"/>
        </w:rPr>
        <w:t>T</w:t>
      </w:r>
      <w:r w:rsidRPr="00C21417">
        <w:rPr>
          <w:sz w:val="20"/>
          <w:szCs w:val="20"/>
        </w:rPr>
        <w:t>raceability attended the WCPFC 21</w:t>
      </w:r>
      <w:r w:rsidRPr="00C21417">
        <w:rPr>
          <w:sz w:val="20"/>
          <w:szCs w:val="20"/>
          <w:vertAlign w:val="superscript"/>
        </w:rPr>
        <w:t>st</w:t>
      </w:r>
      <w:r w:rsidRPr="00C21417">
        <w:rPr>
          <w:sz w:val="20"/>
          <w:szCs w:val="20"/>
        </w:rPr>
        <w:t xml:space="preserve"> annual meeting held in Suva, Fiji between the 27</w:t>
      </w:r>
      <w:r w:rsidRPr="00C21417">
        <w:rPr>
          <w:sz w:val="20"/>
          <w:szCs w:val="20"/>
          <w:vertAlign w:val="superscript"/>
        </w:rPr>
        <w:t>th</w:t>
      </w:r>
      <w:r w:rsidRPr="00C21417">
        <w:rPr>
          <w:sz w:val="20"/>
          <w:szCs w:val="20"/>
        </w:rPr>
        <w:t xml:space="preserve"> November and 3</w:t>
      </w:r>
      <w:r w:rsidRPr="00C21417">
        <w:rPr>
          <w:sz w:val="20"/>
          <w:szCs w:val="20"/>
          <w:vertAlign w:val="superscript"/>
        </w:rPr>
        <w:t>rd</w:t>
      </w:r>
      <w:r w:rsidRPr="00C21417">
        <w:rPr>
          <w:sz w:val="20"/>
          <w:szCs w:val="20"/>
        </w:rPr>
        <w:t xml:space="preserve"> December 2024. </w:t>
      </w:r>
    </w:p>
    <w:p w14:paraId="42326E47" w14:textId="41F558A9" w:rsidR="00D21689" w:rsidRPr="00C21417" w:rsidRDefault="00D21689" w:rsidP="00D21689">
      <w:pPr>
        <w:rPr>
          <w:sz w:val="20"/>
          <w:szCs w:val="20"/>
        </w:rPr>
      </w:pPr>
      <w:r w:rsidRPr="00C21417">
        <w:rPr>
          <w:sz w:val="20"/>
          <w:szCs w:val="20"/>
        </w:rPr>
        <w:t>As part of the Client Action Plan</w:t>
      </w:r>
      <w:r w:rsidR="001B0EA6" w:rsidRPr="00C21417">
        <w:rPr>
          <w:sz w:val="20"/>
          <w:szCs w:val="20"/>
        </w:rPr>
        <w:t xml:space="preserve"> which has actions and tasks developed</w:t>
      </w:r>
      <w:r w:rsidRPr="00C21417">
        <w:rPr>
          <w:sz w:val="20"/>
          <w:szCs w:val="20"/>
        </w:rPr>
        <w:t xml:space="preserve"> to meet </w:t>
      </w:r>
      <w:r w:rsidR="001B0EA6" w:rsidRPr="00C21417">
        <w:rPr>
          <w:sz w:val="20"/>
          <w:szCs w:val="20"/>
        </w:rPr>
        <w:t>the conditions placed upon the fishery by the Conformity Assessment Body (CAB)</w:t>
      </w:r>
      <w:r w:rsidR="007D3E97" w:rsidRPr="00C21417">
        <w:rPr>
          <w:sz w:val="20"/>
          <w:szCs w:val="20"/>
        </w:rPr>
        <w:t>, the fishery representative needs to advocate for specific management measures to be improved/implemented.</w:t>
      </w:r>
      <w:r w:rsidR="00412713" w:rsidRPr="00C21417">
        <w:rPr>
          <w:sz w:val="20"/>
          <w:szCs w:val="20"/>
        </w:rPr>
        <w:t xml:space="preserve"> As the vessels in the fishery are all flagged to Vanuatu, advocacy </w:t>
      </w:r>
      <w:r w:rsidR="00881216" w:rsidRPr="00C21417">
        <w:rPr>
          <w:sz w:val="20"/>
          <w:szCs w:val="20"/>
        </w:rPr>
        <w:t>and cooperation is needed with the Vanuatu fisheries department and their government delegation at relevant RFMO meetings.</w:t>
      </w:r>
    </w:p>
    <w:p w14:paraId="614CDB18" w14:textId="4B81D7BF" w:rsidR="00881216" w:rsidRPr="00C21417" w:rsidRDefault="00881216" w:rsidP="00D21689">
      <w:pPr>
        <w:rPr>
          <w:sz w:val="20"/>
          <w:szCs w:val="20"/>
        </w:rPr>
      </w:pPr>
      <w:r w:rsidRPr="00C21417">
        <w:rPr>
          <w:sz w:val="20"/>
          <w:szCs w:val="20"/>
        </w:rPr>
        <w:t xml:space="preserve">Key Traceability met with </w:t>
      </w:r>
      <w:r w:rsidR="00C36D56">
        <w:rPr>
          <w:sz w:val="20"/>
          <w:szCs w:val="20"/>
        </w:rPr>
        <w:t>two</w:t>
      </w:r>
      <w:r w:rsidRPr="00C21417">
        <w:rPr>
          <w:sz w:val="20"/>
          <w:szCs w:val="20"/>
        </w:rPr>
        <w:t xml:space="preserve"> members </w:t>
      </w:r>
      <w:r w:rsidR="00265244">
        <w:rPr>
          <w:sz w:val="20"/>
          <w:szCs w:val="20"/>
        </w:rPr>
        <w:t>(</w:t>
      </w:r>
      <w:r w:rsidR="00265244" w:rsidRPr="00265244">
        <w:rPr>
          <w:sz w:val="20"/>
          <w:szCs w:val="20"/>
        </w:rPr>
        <w:t xml:space="preserve"> Ajay Arudere</w:t>
      </w:r>
      <w:r w:rsidR="00265244">
        <w:rPr>
          <w:sz w:val="20"/>
          <w:szCs w:val="20"/>
        </w:rPr>
        <w:t>,</w:t>
      </w:r>
      <w:r w:rsidR="00265244" w:rsidRPr="00265244">
        <w:t xml:space="preserve"> </w:t>
      </w:r>
      <w:r w:rsidR="00265244" w:rsidRPr="00265244">
        <w:rPr>
          <w:sz w:val="20"/>
          <w:szCs w:val="20"/>
        </w:rPr>
        <w:t>Acting Manager - Policy and Management </w:t>
      </w:r>
      <w:r w:rsidR="00265244">
        <w:rPr>
          <w:sz w:val="20"/>
          <w:szCs w:val="20"/>
        </w:rPr>
        <w:t xml:space="preserve">and </w:t>
      </w:r>
      <w:r w:rsidR="00265244" w:rsidRPr="00265244">
        <w:rPr>
          <w:sz w:val="20"/>
          <w:szCs w:val="20"/>
        </w:rPr>
        <w:t>Mr. Jason Raubani</w:t>
      </w:r>
      <w:r w:rsidR="00265244">
        <w:rPr>
          <w:sz w:val="20"/>
          <w:szCs w:val="20"/>
        </w:rPr>
        <w:t xml:space="preserve">)  </w:t>
      </w:r>
      <w:r w:rsidRPr="00C21417">
        <w:rPr>
          <w:sz w:val="20"/>
          <w:szCs w:val="20"/>
        </w:rPr>
        <w:t>of the Vanuatu delegation during the WCPFC 21</w:t>
      </w:r>
      <w:r w:rsidRPr="00C21417">
        <w:rPr>
          <w:sz w:val="20"/>
          <w:szCs w:val="20"/>
          <w:vertAlign w:val="superscript"/>
        </w:rPr>
        <w:t>st</w:t>
      </w:r>
      <w:r w:rsidRPr="00C21417">
        <w:rPr>
          <w:sz w:val="20"/>
          <w:szCs w:val="20"/>
        </w:rPr>
        <w:t xml:space="preserve"> annual meeting in Suva, </w:t>
      </w:r>
      <w:r w:rsidR="002E3FEE" w:rsidRPr="00C21417">
        <w:rPr>
          <w:sz w:val="20"/>
          <w:szCs w:val="20"/>
        </w:rPr>
        <w:t>and took this opportunity to explain that as part of the Tunago vessels remaining certified that the fishery must meet the Conformity Assessment Body requirements outlined in the Client Action Plan</w:t>
      </w:r>
      <w:r w:rsidR="00C36D56">
        <w:rPr>
          <w:sz w:val="20"/>
          <w:szCs w:val="20"/>
        </w:rPr>
        <w:t xml:space="preserve"> and ran through the agenda found in Appendix A</w:t>
      </w:r>
      <w:r w:rsidR="005E3DA3">
        <w:rPr>
          <w:sz w:val="20"/>
          <w:szCs w:val="20"/>
        </w:rPr>
        <w:t xml:space="preserve"> and all conditions that involve VFD in Appendix B</w:t>
      </w:r>
      <w:r w:rsidR="002E3FEE" w:rsidRPr="00C21417">
        <w:rPr>
          <w:sz w:val="20"/>
          <w:szCs w:val="20"/>
        </w:rPr>
        <w:t>. The most pertinent action that has a deadline in 2025 is that the tools to implement the HCR of NP Albacore are shown to be effective in maintaining the targeted exploitation levels outlined in the Harvest Strategy 2023-01</w:t>
      </w:r>
      <w:r w:rsidR="00433ABF" w:rsidRPr="00C21417">
        <w:rPr>
          <w:sz w:val="20"/>
          <w:szCs w:val="20"/>
        </w:rPr>
        <w:t xml:space="preserve">. It was appreciated that the Vanuatu delegation members took the time </w:t>
      </w:r>
      <w:r w:rsidR="005E3DA3">
        <w:rPr>
          <w:sz w:val="20"/>
          <w:szCs w:val="20"/>
        </w:rPr>
        <w:t>to meet and run through the conditions</w:t>
      </w:r>
      <w:r w:rsidR="00433ABF" w:rsidRPr="00C21417">
        <w:rPr>
          <w:sz w:val="20"/>
          <w:szCs w:val="20"/>
        </w:rPr>
        <w:t>.</w:t>
      </w:r>
    </w:p>
    <w:p w14:paraId="7FFF797D" w14:textId="448F8BA4" w:rsidR="00433ABF" w:rsidRPr="00C21417" w:rsidRDefault="00433ABF" w:rsidP="00D21689">
      <w:pPr>
        <w:rPr>
          <w:sz w:val="20"/>
          <w:szCs w:val="20"/>
        </w:rPr>
      </w:pPr>
      <w:r w:rsidRPr="00C21417">
        <w:rPr>
          <w:sz w:val="20"/>
          <w:szCs w:val="20"/>
        </w:rPr>
        <w:t xml:space="preserve">Along with meeting with the Vanuatu delegation, there was some important </w:t>
      </w:r>
      <w:r w:rsidR="008137E4" w:rsidRPr="00C21417">
        <w:rPr>
          <w:sz w:val="20"/>
          <w:szCs w:val="20"/>
        </w:rPr>
        <w:t>progress that took place within the commission meeting, which has been summarised below</w:t>
      </w:r>
      <w:r w:rsidR="005B39AF">
        <w:rPr>
          <w:sz w:val="20"/>
          <w:szCs w:val="20"/>
        </w:rPr>
        <w:t xml:space="preserve"> – please see underscored sections for those that explicitly relate to the Fortuna fishery</w:t>
      </w:r>
      <w:r w:rsidR="008137E4" w:rsidRPr="00C21417">
        <w:rPr>
          <w:sz w:val="20"/>
          <w:szCs w:val="20"/>
        </w:rPr>
        <w:t>:</w:t>
      </w:r>
    </w:p>
    <w:p w14:paraId="25EED495" w14:textId="7A0DE5C0" w:rsidR="0079325A" w:rsidRPr="0079325A" w:rsidRDefault="0079325A" w:rsidP="0079325A">
      <w:pPr>
        <w:rPr>
          <w:sz w:val="20"/>
          <w:szCs w:val="20"/>
          <w:lang w:val="en-AU"/>
        </w:rPr>
      </w:pPr>
      <w:r w:rsidRPr="0079325A">
        <w:rPr>
          <w:b/>
          <w:bCs/>
          <w:sz w:val="20"/>
          <w:szCs w:val="20"/>
          <w:lang w:val="en-AU"/>
        </w:rPr>
        <w:t>Electronic Monitoring (EM):</w:t>
      </w:r>
    </w:p>
    <w:p w14:paraId="7E227D90" w14:textId="77777777" w:rsidR="003E6B6A" w:rsidRPr="005B39AF" w:rsidRDefault="0079325A" w:rsidP="009E4C85">
      <w:pPr>
        <w:numPr>
          <w:ilvl w:val="0"/>
          <w:numId w:val="2"/>
        </w:numPr>
        <w:rPr>
          <w:sz w:val="20"/>
          <w:szCs w:val="20"/>
          <w:u w:val="single"/>
          <w:lang w:val="en-AU"/>
        </w:rPr>
      </w:pPr>
      <w:r w:rsidRPr="0079325A">
        <w:rPr>
          <w:sz w:val="20"/>
          <w:szCs w:val="20"/>
          <w:u w:val="single"/>
          <w:lang w:val="en-AU"/>
        </w:rPr>
        <w:t>Adoption of interim minimum standards for electronic monitoring in WCPO tuna fisheries.</w:t>
      </w:r>
    </w:p>
    <w:p w14:paraId="7459E3AA" w14:textId="4CF21528" w:rsidR="0079325A" w:rsidRPr="0079325A" w:rsidRDefault="0079325A" w:rsidP="009E4C85">
      <w:pPr>
        <w:numPr>
          <w:ilvl w:val="0"/>
          <w:numId w:val="2"/>
        </w:numPr>
        <w:rPr>
          <w:sz w:val="20"/>
          <w:szCs w:val="20"/>
          <w:u w:val="single"/>
          <w:lang w:val="en-AU"/>
        </w:rPr>
      </w:pPr>
      <w:r w:rsidRPr="0079325A">
        <w:rPr>
          <w:sz w:val="20"/>
          <w:szCs w:val="20"/>
          <w:u w:val="single"/>
          <w:lang w:val="en-AU"/>
        </w:rPr>
        <w:t>Aimed at improving compliance, data accuracy, and independent monitoring, especially for longline vessels with low observer coverage (currently at 5%).</w:t>
      </w:r>
    </w:p>
    <w:p w14:paraId="377FD756" w14:textId="77777777" w:rsidR="0079325A" w:rsidRPr="0079325A" w:rsidRDefault="0079325A" w:rsidP="009E4C85">
      <w:pPr>
        <w:numPr>
          <w:ilvl w:val="0"/>
          <w:numId w:val="2"/>
        </w:numPr>
        <w:rPr>
          <w:sz w:val="20"/>
          <w:szCs w:val="20"/>
          <w:lang w:val="en-AU"/>
        </w:rPr>
      </w:pPr>
      <w:r w:rsidRPr="0079325A">
        <w:rPr>
          <w:sz w:val="20"/>
          <w:szCs w:val="20"/>
          <w:lang w:val="en-AU"/>
        </w:rPr>
        <w:t>Brings WCPFC in line with other tuna RFMOs globally.</w:t>
      </w:r>
    </w:p>
    <w:p w14:paraId="3E74CB58" w14:textId="61242083" w:rsidR="0079325A" w:rsidRPr="0079325A" w:rsidRDefault="0079325A" w:rsidP="0079325A">
      <w:pPr>
        <w:rPr>
          <w:sz w:val="20"/>
          <w:szCs w:val="20"/>
          <w:lang w:val="en-AU"/>
        </w:rPr>
      </w:pPr>
      <w:r w:rsidRPr="0079325A">
        <w:rPr>
          <w:b/>
          <w:bCs/>
          <w:sz w:val="20"/>
          <w:szCs w:val="20"/>
          <w:lang w:val="en-AU"/>
        </w:rPr>
        <w:t>Management Procedures (MP) and Conservation Measures:</w:t>
      </w:r>
    </w:p>
    <w:p w14:paraId="21A9C54A" w14:textId="77777777" w:rsidR="0079325A" w:rsidRPr="0079325A" w:rsidRDefault="0079325A" w:rsidP="009E4C85">
      <w:pPr>
        <w:numPr>
          <w:ilvl w:val="0"/>
          <w:numId w:val="3"/>
        </w:numPr>
        <w:rPr>
          <w:sz w:val="20"/>
          <w:szCs w:val="20"/>
          <w:u w:val="single"/>
          <w:lang w:val="en-AU"/>
        </w:rPr>
      </w:pPr>
      <w:r w:rsidRPr="0079325A">
        <w:rPr>
          <w:sz w:val="20"/>
          <w:szCs w:val="20"/>
          <w:u w:val="single"/>
          <w:lang w:val="en-AU"/>
        </w:rPr>
        <w:t>Candidate target reference points (TRPs) established for bigeye tuna.</w:t>
      </w:r>
    </w:p>
    <w:p w14:paraId="090264F4" w14:textId="77777777" w:rsidR="0079325A" w:rsidRPr="0079325A" w:rsidRDefault="0079325A" w:rsidP="009E4C85">
      <w:pPr>
        <w:numPr>
          <w:ilvl w:val="0"/>
          <w:numId w:val="3"/>
        </w:numPr>
        <w:rPr>
          <w:sz w:val="20"/>
          <w:szCs w:val="20"/>
          <w:lang w:val="en-AU"/>
        </w:rPr>
      </w:pPr>
      <w:r w:rsidRPr="0079325A">
        <w:rPr>
          <w:sz w:val="20"/>
          <w:szCs w:val="20"/>
          <w:lang w:val="en-AU"/>
        </w:rPr>
        <w:t>Monitoring strategy adopted for skipjack tuna.</w:t>
      </w:r>
    </w:p>
    <w:p w14:paraId="3BE7998A" w14:textId="77777777" w:rsidR="0079325A" w:rsidRPr="0079325A" w:rsidRDefault="0079325A" w:rsidP="009E4C85">
      <w:pPr>
        <w:numPr>
          <w:ilvl w:val="0"/>
          <w:numId w:val="3"/>
        </w:numPr>
        <w:rPr>
          <w:sz w:val="20"/>
          <w:szCs w:val="20"/>
          <w:u w:val="single"/>
          <w:lang w:val="en-AU"/>
        </w:rPr>
      </w:pPr>
      <w:r w:rsidRPr="0079325A">
        <w:rPr>
          <w:sz w:val="20"/>
          <w:szCs w:val="20"/>
          <w:u w:val="single"/>
          <w:lang w:val="en-AU"/>
        </w:rPr>
        <w:t>Harvest strategies work plan updated with latest scientific advice.</w:t>
      </w:r>
    </w:p>
    <w:p w14:paraId="4C6E1025" w14:textId="77777777" w:rsidR="0079325A" w:rsidRPr="00C21417" w:rsidRDefault="0079325A" w:rsidP="009E4C85">
      <w:pPr>
        <w:numPr>
          <w:ilvl w:val="0"/>
          <w:numId w:val="3"/>
        </w:numPr>
        <w:rPr>
          <w:sz w:val="20"/>
          <w:szCs w:val="20"/>
          <w:lang w:val="en-AU"/>
        </w:rPr>
      </w:pPr>
      <w:r w:rsidRPr="0079325A">
        <w:rPr>
          <w:sz w:val="20"/>
          <w:szCs w:val="20"/>
          <w:lang w:val="en-AU"/>
        </w:rPr>
        <w:t>Lack of agreement on an interim MP for South Pacific albacore tuna, though progress expected in 2025 with a dedicated management workshop planned.</w:t>
      </w:r>
    </w:p>
    <w:p w14:paraId="1D94FE5B" w14:textId="0829F379" w:rsidR="0079325A" w:rsidRPr="0079325A" w:rsidRDefault="0079325A" w:rsidP="0079325A">
      <w:pPr>
        <w:rPr>
          <w:sz w:val="20"/>
          <w:szCs w:val="20"/>
          <w:lang w:val="en-AU"/>
        </w:rPr>
      </w:pPr>
      <w:r w:rsidRPr="0079325A">
        <w:rPr>
          <w:b/>
          <w:bCs/>
          <w:sz w:val="20"/>
          <w:szCs w:val="20"/>
          <w:lang w:val="en-AU"/>
        </w:rPr>
        <w:t>Crew Labor Standards:</w:t>
      </w:r>
    </w:p>
    <w:p w14:paraId="77EE9809" w14:textId="77777777" w:rsidR="0079325A" w:rsidRPr="0079325A" w:rsidRDefault="0079325A" w:rsidP="009E4C85">
      <w:pPr>
        <w:numPr>
          <w:ilvl w:val="0"/>
          <w:numId w:val="4"/>
        </w:numPr>
        <w:rPr>
          <w:sz w:val="20"/>
          <w:szCs w:val="20"/>
          <w:u w:val="single"/>
          <w:lang w:val="en-AU"/>
        </w:rPr>
      </w:pPr>
      <w:r w:rsidRPr="0079325A">
        <w:rPr>
          <w:sz w:val="20"/>
          <w:szCs w:val="20"/>
          <w:u w:val="single"/>
          <w:lang w:val="en-AU"/>
        </w:rPr>
        <w:t>First tuna RFMO to adopt rules addressing crew welfare on fishing vessels.</w:t>
      </w:r>
    </w:p>
    <w:p w14:paraId="174B8D34" w14:textId="77777777" w:rsidR="0079325A" w:rsidRPr="0079325A" w:rsidRDefault="0079325A" w:rsidP="009E4C85">
      <w:pPr>
        <w:numPr>
          <w:ilvl w:val="0"/>
          <w:numId w:val="4"/>
        </w:numPr>
        <w:rPr>
          <w:sz w:val="20"/>
          <w:szCs w:val="20"/>
          <w:u w:val="single"/>
          <w:lang w:val="en-AU"/>
        </w:rPr>
      </w:pPr>
      <w:r w:rsidRPr="0079325A">
        <w:rPr>
          <w:sz w:val="20"/>
          <w:szCs w:val="20"/>
          <w:u w:val="single"/>
          <w:lang w:val="en-AU"/>
        </w:rPr>
        <w:t>Measure to be implemented within the next three years.</w:t>
      </w:r>
    </w:p>
    <w:p w14:paraId="4874C826" w14:textId="6F8AD32F" w:rsidR="0079325A" w:rsidRPr="0079325A" w:rsidRDefault="0079325A" w:rsidP="0079325A">
      <w:pPr>
        <w:rPr>
          <w:sz w:val="20"/>
          <w:szCs w:val="20"/>
          <w:lang w:val="en-AU"/>
        </w:rPr>
      </w:pPr>
      <w:r w:rsidRPr="0079325A">
        <w:rPr>
          <w:b/>
          <w:bCs/>
          <w:sz w:val="20"/>
          <w:szCs w:val="20"/>
          <w:lang w:val="en-AU"/>
        </w:rPr>
        <w:t>At-Sea Transshipment:</w:t>
      </w:r>
    </w:p>
    <w:p w14:paraId="432F45DA" w14:textId="77777777" w:rsidR="0079325A" w:rsidRPr="0079325A" w:rsidRDefault="0079325A" w:rsidP="009E4C85">
      <w:pPr>
        <w:numPr>
          <w:ilvl w:val="0"/>
          <w:numId w:val="5"/>
        </w:numPr>
        <w:rPr>
          <w:sz w:val="20"/>
          <w:szCs w:val="20"/>
        </w:rPr>
      </w:pPr>
      <w:r w:rsidRPr="0079325A">
        <w:rPr>
          <w:sz w:val="20"/>
          <w:szCs w:val="20"/>
        </w:rPr>
        <w:t>No consensus reached on improving transshipment regulations.</w:t>
      </w:r>
    </w:p>
    <w:p w14:paraId="167303BC" w14:textId="5BED7386" w:rsidR="00E75FF1" w:rsidRDefault="0079325A" w:rsidP="009E4C85">
      <w:pPr>
        <w:numPr>
          <w:ilvl w:val="0"/>
          <w:numId w:val="5"/>
        </w:numPr>
        <w:rPr>
          <w:sz w:val="20"/>
          <w:szCs w:val="20"/>
        </w:rPr>
      </w:pPr>
      <w:r w:rsidRPr="0079325A">
        <w:rPr>
          <w:sz w:val="20"/>
          <w:szCs w:val="20"/>
        </w:rPr>
        <w:t>Agreement to revisit the issue in 2025 for further development.</w:t>
      </w:r>
    </w:p>
    <w:p w14:paraId="33230DFA" w14:textId="77777777" w:rsidR="00265244" w:rsidRDefault="00265244" w:rsidP="00265244">
      <w:pPr>
        <w:rPr>
          <w:sz w:val="20"/>
          <w:szCs w:val="20"/>
        </w:rPr>
      </w:pPr>
    </w:p>
    <w:p w14:paraId="6F9F20A0" w14:textId="77777777" w:rsidR="00265244" w:rsidRDefault="00265244" w:rsidP="00265244">
      <w:pPr>
        <w:keepNext/>
      </w:pPr>
      <w:r>
        <w:rPr>
          <w:noProof/>
          <w:sz w:val="20"/>
          <w:szCs w:val="20"/>
        </w:rPr>
        <w:drawing>
          <wp:inline distT="0" distB="0" distL="0" distR="0" wp14:anchorId="61E0A023" wp14:editId="6045CB7F">
            <wp:extent cx="5715000" cy="2641600"/>
            <wp:effectExtent l="0" t="0" r="0" b="6350"/>
            <wp:docPr id="793228657" name="Picture 1" descr="A room with tables and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28657" name="Picture 1" descr="A room with tables and chai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2641600"/>
                    </a:xfrm>
                    <a:prstGeom prst="rect">
                      <a:avLst/>
                    </a:prstGeom>
                    <a:noFill/>
                    <a:ln>
                      <a:noFill/>
                    </a:ln>
                  </pic:spPr>
                </pic:pic>
              </a:graphicData>
            </a:graphic>
          </wp:inline>
        </w:drawing>
      </w:r>
    </w:p>
    <w:p w14:paraId="46B390E3" w14:textId="2813669E" w:rsidR="00265244" w:rsidRDefault="00265244" w:rsidP="00265244">
      <w:pPr>
        <w:pStyle w:val="Caption"/>
      </w:pPr>
      <w:r>
        <w:t xml:space="preserve">Figure </w:t>
      </w:r>
      <w:fldSimple w:instr=" SEQ Figure \* ARABIC ">
        <w:r>
          <w:rPr>
            <w:noProof/>
          </w:rPr>
          <w:t>1</w:t>
        </w:r>
      </w:fldSimple>
      <w:r>
        <w:t xml:space="preserve"> - KT attendance at the 21st WCPFC - Suva, Fiji</w:t>
      </w:r>
    </w:p>
    <w:p w14:paraId="2D1CFA03" w14:textId="16DB2174" w:rsidR="00265244" w:rsidRDefault="00265244">
      <w:pPr>
        <w:rPr>
          <w:rFonts w:asciiTheme="majorHAnsi" w:eastAsiaTheme="majorEastAsia" w:hAnsiTheme="majorHAnsi" w:cstheme="majorBidi"/>
          <w:color w:val="2F5496" w:themeColor="accent1" w:themeShade="BF"/>
          <w:sz w:val="26"/>
          <w:szCs w:val="26"/>
        </w:rPr>
      </w:pPr>
      <w:r>
        <w:br w:type="page"/>
      </w:r>
    </w:p>
    <w:p w14:paraId="42E7A29B" w14:textId="4F3E8910" w:rsidR="00C36D56" w:rsidRDefault="00C36D56" w:rsidP="00C36D56">
      <w:pPr>
        <w:pStyle w:val="Heading2"/>
      </w:pPr>
      <w:r>
        <w:t>Appendix A</w:t>
      </w:r>
    </w:p>
    <w:p w14:paraId="0AC27AFE" w14:textId="77777777" w:rsidR="00C36D56" w:rsidRPr="00C36D56" w:rsidRDefault="00C36D56" w:rsidP="00C36D56"/>
    <w:tbl>
      <w:tblPr>
        <w:tblStyle w:val="TableGrid"/>
        <w:tblW w:w="9400" w:type="dxa"/>
        <w:tblLook w:val="0420" w:firstRow="1" w:lastRow="0" w:firstColumn="0" w:lastColumn="0" w:noHBand="0" w:noVBand="1"/>
      </w:tblPr>
      <w:tblGrid>
        <w:gridCol w:w="9400"/>
      </w:tblGrid>
      <w:tr w:rsidR="00C36D56" w:rsidRPr="00C36D56" w14:paraId="6494D49A" w14:textId="77777777" w:rsidTr="00C36D56">
        <w:trPr>
          <w:trHeight w:val="340"/>
        </w:trPr>
        <w:tc>
          <w:tcPr>
            <w:tcW w:w="9400" w:type="dxa"/>
            <w:shd w:val="clear" w:color="auto" w:fill="B4C6E7" w:themeFill="accent1" w:themeFillTint="66"/>
            <w:hideMark/>
          </w:tcPr>
          <w:p w14:paraId="012E3430" w14:textId="77777777" w:rsidR="00C36D56" w:rsidRPr="00C36D56" w:rsidRDefault="00C36D56" w:rsidP="00C36D56">
            <w:pPr>
              <w:spacing w:after="160" w:line="259" w:lineRule="auto"/>
              <w:rPr>
                <w:b/>
                <w:bCs/>
                <w:sz w:val="20"/>
                <w:szCs w:val="20"/>
              </w:rPr>
            </w:pPr>
            <w:r w:rsidRPr="00C36D56">
              <w:rPr>
                <w:b/>
                <w:bCs/>
                <w:sz w:val="20"/>
                <w:szCs w:val="20"/>
                <w:lang w:val="en-US"/>
              </w:rPr>
              <w:t>Agenda</w:t>
            </w:r>
          </w:p>
        </w:tc>
      </w:tr>
      <w:tr w:rsidR="00C36D56" w:rsidRPr="00C36D56" w14:paraId="1F22A404" w14:textId="77777777" w:rsidTr="00C36D56">
        <w:trPr>
          <w:trHeight w:val="340"/>
        </w:trPr>
        <w:tc>
          <w:tcPr>
            <w:tcW w:w="9400" w:type="dxa"/>
            <w:hideMark/>
          </w:tcPr>
          <w:p w14:paraId="3CACF682" w14:textId="77777777" w:rsidR="00C36D56" w:rsidRPr="00C36D56" w:rsidRDefault="00C36D56" w:rsidP="00C36D56">
            <w:pPr>
              <w:spacing w:after="160" w:line="259" w:lineRule="auto"/>
              <w:rPr>
                <w:sz w:val="20"/>
                <w:szCs w:val="20"/>
              </w:rPr>
            </w:pPr>
            <w:r w:rsidRPr="00C36D56">
              <w:rPr>
                <w:b/>
                <w:bCs/>
                <w:sz w:val="20"/>
                <w:szCs w:val="20"/>
                <w:lang w:val="en-US"/>
              </w:rPr>
              <w:t xml:space="preserve">Stock Status </w:t>
            </w:r>
          </w:p>
          <w:p w14:paraId="5279A102" w14:textId="77777777" w:rsidR="00C36D56" w:rsidRPr="00C36D56" w:rsidRDefault="00C36D56" w:rsidP="009E4C85">
            <w:pPr>
              <w:pStyle w:val="ListParagraph"/>
              <w:numPr>
                <w:ilvl w:val="0"/>
                <w:numId w:val="6"/>
              </w:numPr>
              <w:rPr>
                <w:sz w:val="20"/>
                <w:szCs w:val="20"/>
              </w:rPr>
            </w:pPr>
            <w:r w:rsidRPr="00C36D56">
              <w:rPr>
                <w:sz w:val="20"/>
                <w:szCs w:val="20"/>
                <w:lang w:val="en-US"/>
              </w:rPr>
              <w:t>EPO BET</w:t>
            </w:r>
          </w:p>
        </w:tc>
      </w:tr>
      <w:tr w:rsidR="00C36D56" w:rsidRPr="00C36D56" w14:paraId="43EC5255" w14:textId="77777777" w:rsidTr="00C36D56">
        <w:trPr>
          <w:trHeight w:val="340"/>
        </w:trPr>
        <w:tc>
          <w:tcPr>
            <w:tcW w:w="9400" w:type="dxa"/>
            <w:hideMark/>
          </w:tcPr>
          <w:p w14:paraId="0EFB0293" w14:textId="77777777" w:rsidR="00C36D56" w:rsidRPr="00C36D56" w:rsidRDefault="00C36D56" w:rsidP="00C36D56">
            <w:pPr>
              <w:spacing w:after="160" w:line="259" w:lineRule="auto"/>
              <w:rPr>
                <w:sz w:val="20"/>
                <w:szCs w:val="20"/>
              </w:rPr>
            </w:pPr>
            <w:r w:rsidRPr="00C36D56">
              <w:rPr>
                <w:b/>
                <w:bCs/>
                <w:sz w:val="20"/>
                <w:szCs w:val="20"/>
                <w:lang w:val="en-US"/>
              </w:rPr>
              <w:t xml:space="preserve">Harvest Strategy and HCRs </w:t>
            </w:r>
          </w:p>
          <w:p w14:paraId="4E9E8211" w14:textId="77777777" w:rsidR="00C36D56" w:rsidRPr="00C36D56" w:rsidRDefault="00C36D56" w:rsidP="009E4C85">
            <w:pPr>
              <w:pStyle w:val="ListParagraph"/>
              <w:numPr>
                <w:ilvl w:val="0"/>
                <w:numId w:val="6"/>
              </w:numPr>
              <w:rPr>
                <w:sz w:val="20"/>
                <w:szCs w:val="20"/>
              </w:rPr>
            </w:pPr>
            <w:r w:rsidRPr="00C36D56">
              <w:rPr>
                <w:sz w:val="20"/>
                <w:szCs w:val="20"/>
                <w:lang w:val="en-US"/>
              </w:rPr>
              <w:t>Milestone deadlines</w:t>
            </w:r>
          </w:p>
          <w:p w14:paraId="31F096A6" w14:textId="77777777" w:rsidR="00C36D56" w:rsidRPr="00C36D56" w:rsidRDefault="00C36D56" w:rsidP="009E4C85">
            <w:pPr>
              <w:pStyle w:val="ListParagraph"/>
              <w:numPr>
                <w:ilvl w:val="0"/>
                <w:numId w:val="6"/>
              </w:numPr>
              <w:rPr>
                <w:sz w:val="20"/>
                <w:szCs w:val="20"/>
              </w:rPr>
            </w:pPr>
            <w:r w:rsidRPr="00C36D56">
              <w:rPr>
                <w:sz w:val="20"/>
                <w:szCs w:val="20"/>
              </w:rPr>
              <w:t>Position statements</w:t>
            </w:r>
          </w:p>
          <w:p w14:paraId="75D03B4A" w14:textId="77777777" w:rsidR="00C36D56" w:rsidRPr="00C36D56" w:rsidRDefault="00C36D56" w:rsidP="009E4C85">
            <w:pPr>
              <w:pStyle w:val="ListParagraph"/>
              <w:numPr>
                <w:ilvl w:val="0"/>
                <w:numId w:val="6"/>
              </w:numPr>
              <w:rPr>
                <w:sz w:val="20"/>
                <w:szCs w:val="20"/>
              </w:rPr>
            </w:pPr>
            <w:r w:rsidRPr="00C36D56">
              <w:rPr>
                <w:sz w:val="20"/>
                <w:szCs w:val="20"/>
              </w:rPr>
              <w:t>Achieving objectives.</w:t>
            </w:r>
          </w:p>
          <w:p w14:paraId="507F6FAE" w14:textId="77777777" w:rsidR="00C36D56" w:rsidRPr="00C36D56" w:rsidRDefault="00C36D56" w:rsidP="009E4C85">
            <w:pPr>
              <w:pStyle w:val="ListParagraph"/>
              <w:numPr>
                <w:ilvl w:val="0"/>
                <w:numId w:val="6"/>
              </w:numPr>
              <w:rPr>
                <w:sz w:val="20"/>
                <w:szCs w:val="20"/>
              </w:rPr>
            </w:pPr>
            <w:r w:rsidRPr="00C36D56">
              <w:rPr>
                <w:sz w:val="20"/>
                <w:szCs w:val="20"/>
              </w:rPr>
              <w:t>NP Alb HCR</w:t>
            </w:r>
          </w:p>
        </w:tc>
      </w:tr>
      <w:tr w:rsidR="00C36D56" w:rsidRPr="00C36D56" w14:paraId="33671A59" w14:textId="77777777" w:rsidTr="00C36D56">
        <w:trPr>
          <w:trHeight w:val="340"/>
        </w:trPr>
        <w:tc>
          <w:tcPr>
            <w:tcW w:w="9400" w:type="dxa"/>
            <w:hideMark/>
          </w:tcPr>
          <w:p w14:paraId="5C1F64D6" w14:textId="77777777" w:rsidR="00C36D56" w:rsidRPr="00C36D56" w:rsidRDefault="00C36D56" w:rsidP="00C36D56">
            <w:pPr>
              <w:spacing w:after="160" w:line="259" w:lineRule="auto"/>
              <w:rPr>
                <w:sz w:val="20"/>
                <w:szCs w:val="20"/>
              </w:rPr>
            </w:pPr>
            <w:r w:rsidRPr="00C36D56">
              <w:rPr>
                <w:b/>
                <w:bCs/>
                <w:sz w:val="20"/>
                <w:szCs w:val="20"/>
                <w:lang w:val="en-US"/>
              </w:rPr>
              <w:t>Observer Coverage</w:t>
            </w:r>
          </w:p>
          <w:p w14:paraId="3B6C5D67" w14:textId="77777777" w:rsidR="00C36D56" w:rsidRPr="00C36D56" w:rsidRDefault="00C36D56" w:rsidP="009E4C85">
            <w:pPr>
              <w:pStyle w:val="ListParagraph"/>
              <w:numPr>
                <w:ilvl w:val="0"/>
                <w:numId w:val="7"/>
              </w:numPr>
              <w:rPr>
                <w:sz w:val="20"/>
                <w:szCs w:val="20"/>
              </w:rPr>
            </w:pPr>
            <w:r w:rsidRPr="00C36D56">
              <w:rPr>
                <w:sz w:val="20"/>
                <w:szCs w:val="20"/>
                <w:lang w:val="en-US"/>
              </w:rPr>
              <w:t>Electronic Monitoring</w:t>
            </w:r>
          </w:p>
          <w:p w14:paraId="47481554" w14:textId="77777777" w:rsidR="00C36D56" w:rsidRPr="00C36D56" w:rsidRDefault="00C36D56" w:rsidP="009E4C85">
            <w:pPr>
              <w:pStyle w:val="ListParagraph"/>
              <w:numPr>
                <w:ilvl w:val="0"/>
                <w:numId w:val="7"/>
              </w:numPr>
              <w:rPr>
                <w:sz w:val="20"/>
                <w:szCs w:val="20"/>
              </w:rPr>
            </w:pPr>
            <w:r w:rsidRPr="00C36D56">
              <w:rPr>
                <w:sz w:val="20"/>
                <w:szCs w:val="20"/>
                <w:lang w:val="en-US"/>
              </w:rPr>
              <w:t>Human</w:t>
            </w:r>
          </w:p>
        </w:tc>
      </w:tr>
      <w:tr w:rsidR="00C36D56" w:rsidRPr="00C36D56" w14:paraId="7B4F3718" w14:textId="77777777" w:rsidTr="00C36D56">
        <w:trPr>
          <w:trHeight w:val="340"/>
        </w:trPr>
        <w:tc>
          <w:tcPr>
            <w:tcW w:w="9400" w:type="dxa"/>
            <w:hideMark/>
          </w:tcPr>
          <w:p w14:paraId="156A9237" w14:textId="77777777" w:rsidR="00C36D56" w:rsidRPr="00C36D56" w:rsidRDefault="00C36D56" w:rsidP="00C36D56">
            <w:pPr>
              <w:spacing w:after="160" w:line="259" w:lineRule="auto"/>
              <w:rPr>
                <w:sz w:val="20"/>
                <w:szCs w:val="20"/>
              </w:rPr>
            </w:pPr>
            <w:r w:rsidRPr="00C36D56">
              <w:rPr>
                <w:b/>
                <w:bCs/>
                <w:sz w:val="20"/>
                <w:szCs w:val="20"/>
                <w:lang w:val="en-US"/>
              </w:rPr>
              <w:t>SSIs</w:t>
            </w:r>
          </w:p>
          <w:p w14:paraId="3477FF34" w14:textId="77777777" w:rsidR="00C36D56" w:rsidRPr="00C36D56" w:rsidRDefault="00C36D56" w:rsidP="009E4C85">
            <w:pPr>
              <w:pStyle w:val="ListParagraph"/>
              <w:numPr>
                <w:ilvl w:val="0"/>
                <w:numId w:val="8"/>
              </w:numPr>
              <w:rPr>
                <w:sz w:val="20"/>
                <w:szCs w:val="20"/>
              </w:rPr>
            </w:pPr>
            <w:r w:rsidRPr="00C36D56">
              <w:rPr>
                <w:sz w:val="20"/>
                <w:szCs w:val="20"/>
              </w:rPr>
              <w:t>Pelagic Stingray</w:t>
            </w:r>
          </w:p>
          <w:p w14:paraId="7A8642B5" w14:textId="77777777" w:rsidR="00C36D56" w:rsidRPr="00C36D56" w:rsidRDefault="00C36D56" w:rsidP="009E4C85">
            <w:pPr>
              <w:pStyle w:val="ListParagraph"/>
              <w:numPr>
                <w:ilvl w:val="0"/>
                <w:numId w:val="8"/>
              </w:numPr>
              <w:rPr>
                <w:sz w:val="20"/>
                <w:szCs w:val="20"/>
              </w:rPr>
            </w:pPr>
            <w:r w:rsidRPr="00C36D56">
              <w:rPr>
                <w:sz w:val="20"/>
                <w:szCs w:val="20"/>
              </w:rPr>
              <w:t>Mako shark</w:t>
            </w:r>
          </w:p>
          <w:p w14:paraId="0BBA0B46" w14:textId="77777777" w:rsidR="00C36D56" w:rsidRPr="00C36D56" w:rsidRDefault="00C36D56" w:rsidP="009E4C85">
            <w:pPr>
              <w:pStyle w:val="ListParagraph"/>
              <w:numPr>
                <w:ilvl w:val="0"/>
                <w:numId w:val="8"/>
              </w:numPr>
              <w:rPr>
                <w:sz w:val="20"/>
                <w:szCs w:val="20"/>
              </w:rPr>
            </w:pPr>
            <w:r w:rsidRPr="00C36D56">
              <w:rPr>
                <w:sz w:val="20"/>
                <w:szCs w:val="20"/>
              </w:rPr>
              <w:t>Olive Ridley Turtle</w:t>
            </w:r>
          </w:p>
        </w:tc>
      </w:tr>
      <w:tr w:rsidR="00C36D56" w:rsidRPr="00C36D56" w14:paraId="35023E57" w14:textId="77777777" w:rsidTr="00C36D56">
        <w:trPr>
          <w:trHeight w:val="340"/>
        </w:trPr>
        <w:tc>
          <w:tcPr>
            <w:tcW w:w="9400" w:type="dxa"/>
            <w:hideMark/>
          </w:tcPr>
          <w:p w14:paraId="29019C8A" w14:textId="5E539941" w:rsidR="00C36D56" w:rsidRPr="00C36D56" w:rsidRDefault="00C36D56" w:rsidP="00C36D56">
            <w:pPr>
              <w:spacing w:after="160" w:line="259" w:lineRule="auto"/>
              <w:rPr>
                <w:sz w:val="20"/>
                <w:szCs w:val="20"/>
              </w:rPr>
            </w:pPr>
            <w:r w:rsidRPr="00C36D56">
              <w:rPr>
                <w:b/>
                <w:bCs/>
                <w:sz w:val="20"/>
                <w:szCs w:val="20"/>
                <w:lang w:val="en-US"/>
              </w:rPr>
              <w:t xml:space="preserve">MCS </w:t>
            </w:r>
            <w:r>
              <w:rPr>
                <w:b/>
                <w:bCs/>
                <w:sz w:val="20"/>
                <w:szCs w:val="20"/>
                <w:lang w:val="en-US"/>
              </w:rPr>
              <w:t>S</w:t>
            </w:r>
            <w:r w:rsidRPr="00C36D56">
              <w:rPr>
                <w:b/>
                <w:bCs/>
                <w:sz w:val="20"/>
                <w:szCs w:val="20"/>
                <w:lang w:val="en-US"/>
              </w:rPr>
              <w:t xml:space="preserve">ystem’s </w:t>
            </w:r>
          </w:p>
          <w:p w14:paraId="3DDF27AF" w14:textId="77777777" w:rsidR="00C36D56" w:rsidRPr="00C36D56" w:rsidRDefault="00C36D56" w:rsidP="009E4C85">
            <w:pPr>
              <w:pStyle w:val="ListParagraph"/>
              <w:numPr>
                <w:ilvl w:val="0"/>
                <w:numId w:val="9"/>
              </w:numPr>
              <w:rPr>
                <w:sz w:val="20"/>
                <w:szCs w:val="20"/>
              </w:rPr>
            </w:pPr>
            <w:r w:rsidRPr="00C36D56">
              <w:rPr>
                <w:sz w:val="20"/>
                <w:szCs w:val="20"/>
                <w:lang w:val="en-US"/>
              </w:rPr>
              <w:t xml:space="preserve">Ability to enforce relevant management measures, strategies and/or rules in these areas. </w:t>
            </w:r>
          </w:p>
        </w:tc>
      </w:tr>
      <w:tr w:rsidR="00C36D56" w:rsidRPr="00C36D56" w14:paraId="060CF379" w14:textId="77777777" w:rsidTr="00C36D56">
        <w:trPr>
          <w:trHeight w:val="340"/>
        </w:trPr>
        <w:tc>
          <w:tcPr>
            <w:tcW w:w="9400" w:type="dxa"/>
            <w:hideMark/>
          </w:tcPr>
          <w:p w14:paraId="321E5A4F" w14:textId="77777777" w:rsidR="00C36D56" w:rsidRPr="00C36D56" w:rsidRDefault="00C36D56" w:rsidP="00C36D56">
            <w:pPr>
              <w:spacing w:after="160" w:line="259" w:lineRule="auto"/>
              <w:rPr>
                <w:sz w:val="20"/>
                <w:szCs w:val="20"/>
              </w:rPr>
            </w:pPr>
            <w:r w:rsidRPr="00C36D56">
              <w:rPr>
                <w:b/>
                <w:bCs/>
                <w:sz w:val="20"/>
                <w:szCs w:val="20"/>
                <w:lang w:val="en-US"/>
              </w:rPr>
              <w:t>Decision Making Process</w:t>
            </w:r>
          </w:p>
          <w:p w14:paraId="517B6636" w14:textId="77777777" w:rsidR="00C36D56" w:rsidRPr="00C36D56" w:rsidRDefault="00C36D56" w:rsidP="009E4C85">
            <w:pPr>
              <w:pStyle w:val="ListParagraph"/>
              <w:numPr>
                <w:ilvl w:val="0"/>
                <w:numId w:val="9"/>
              </w:numPr>
              <w:rPr>
                <w:sz w:val="20"/>
                <w:szCs w:val="20"/>
              </w:rPr>
            </w:pPr>
            <w:r w:rsidRPr="00C36D56">
              <w:rPr>
                <w:sz w:val="20"/>
                <w:szCs w:val="20"/>
                <w:lang w:val="en-US"/>
              </w:rPr>
              <w:t>Information on the fishery’s performance and management action is available to stakeholders on request</w:t>
            </w:r>
          </w:p>
        </w:tc>
      </w:tr>
    </w:tbl>
    <w:p w14:paraId="181F8D08" w14:textId="77777777" w:rsidR="00C36D56" w:rsidRDefault="00C36D56" w:rsidP="00C36D56">
      <w:pPr>
        <w:rPr>
          <w:sz w:val="20"/>
          <w:szCs w:val="20"/>
        </w:rPr>
      </w:pPr>
    </w:p>
    <w:p w14:paraId="0D9E6618" w14:textId="77777777" w:rsidR="005E3DA3" w:rsidRDefault="005E3DA3" w:rsidP="00C36D56">
      <w:pPr>
        <w:rPr>
          <w:sz w:val="20"/>
          <w:szCs w:val="20"/>
        </w:rPr>
      </w:pPr>
    </w:p>
    <w:p w14:paraId="19F68AB0" w14:textId="22335290" w:rsidR="005E3DA3" w:rsidRDefault="005E3DA3">
      <w:pPr>
        <w:rPr>
          <w:sz w:val="20"/>
          <w:szCs w:val="20"/>
        </w:rPr>
      </w:pPr>
      <w:r>
        <w:rPr>
          <w:sz w:val="20"/>
          <w:szCs w:val="20"/>
        </w:rPr>
        <w:br w:type="page"/>
      </w:r>
    </w:p>
    <w:p w14:paraId="25F322E0" w14:textId="51F34703" w:rsidR="005E3DA3" w:rsidRDefault="005E3DA3" w:rsidP="005E3DA3">
      <w:pPr>
        <w:pStyle w:val="Heading2"/>
      </w:pPr>
      <w:r>
        <w:t>Appendix B</w:t>
      </w:r>
    </w:p>
    <w:p w14:paraId="5F485F34" w14:textId="77777777" w:rsidR="005E3DA3" w:rsidRPr="005E3DA3" w:rsidRDefault="005E3DA3" w:rsidP="005E3DA3"/>
    <w:tbl>
      <w:tblPr>
        <w:tblStyle w:val="TableGrid"/>
        <w:tblW w:w="5000" w:type="pct"/>
        <w:tblCellMar>
          <w:top w:w="57" w:type="dxa"/>
          <w:bottom w:w="57" w:type="dxa"/>
        </w:tblCellMar>
        <w:tblLook w:val="04A0" w:firstRow="1" w:lastRow="0" w:firstColumn="1" w:lastColumn="0" w:noHBand="0" w:noVBand="1"/>
      </w:tblPr>
      <w:tblGrid>
        <w:gridCol w:w="1093"/>
        <w:gridCol w:w="4632"/>
        <w:gridCol w:w="1340"/>
        <w:gridCol w:w="1951"/>
      </w:tblGrid>
      <w:tr w:rsidR="005E3DA3" w:rsidRPr="00337AEF" w14:paraId="3CEC5BFE" w14:textId="77777777" w:rsidTr="0000573C">
        <w:tc>
          <w:tcPr>
            <w:tcW w:w="606" w:type="pct"/>
            <w:shd w:val="clear" w:color="auto" w:fill="D9EFFD"/>
          </w:tcPr>
          <w:p w14:paraId="3C442C1B"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Condition number</w:t>
            </w:r>
          </w:p>
        </w:tc>
        <w:tc>
          <w:tcPr>
            <w:tcW w:w="2569" w:type="pct"/>
            <w:shd w:val="clear" w:color="auto" w:fill="D9EFFD"/>
          </w:tcPr>
          <w:p w14:paraId="1E5CD8CF"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Condition</w:t>
            </w:r>
          </w:p>
        </w:tc>
        <w:tc>
          <w:tcPr>
            <w:tcW w:w="743" w:type="pct"/>
            <w:shd w:val="clear" w:color="auto" w:fill="D9EFFD"/>
          </w:tcPr>
          <w:p w14:paraId="6AF63E3C"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Performance Indicator (PI)</w:t>
            </w:r>
          </w:p>
        </w:tc>
        <w:tc>
          <w:tcPr>
            <w:tcW w:w="1082" w:type="pct"/>
            <w:shd w:val="clear" w:color="auto" w:fill="D9EFFD"/>
          </w:tcPr>
          <w:p w14:paraId="03BE771E"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Deadline</w:t>
            </w:r>
          </w:p>
        </w:tc>
      </w:tr>
      <w:tr w:rsidR="005E3DA3" w:rsidRPr="00337AEF" w14:paraId="7FD992C8" w14:textId="77777777" w:rsidTr="0000573C">
        <w:tc>
          <w:tcPr>
            <w:tcW w:w="606" w:type="pct"/>
          </w:tcPr>
          <w:p w14:paraId="5291EB8D" w14:textId="77777777" w:rsidR="005E3DA3" w:rsidRPr="00337AEF" w:rsidRDefault="005E3DA3" w:rsidP="0000573C">
            <w:pPr>
              <w:rPr>
                <w:rFonts w:cstheme="minorHAnsi"/>
                <w:sz w:val="18"/>
                <w:szCs w:val="18"/>
              </w:rPr>
            </w:pPr>
            <w:r w:rsidRPr="00337AEF">
              <w:rPr>
                <w:rFonts w:cstheme="minorHAnsi"/>
                <w:sz w:val="18"/>
                <w:szCs w:val="18"/>
              </w:rPr>
              <w:t>1</w:t>
            </w:r>
          </w:p>
          <w:p w14:paraId="4306569D" w14:textId="77777777" w:rsidR="005E3DA3" w:rsidRPr="00337AEF" w:rsidRDefault="005E3DA3" w:rsidP="0000573C">
            <w:pPr>
              <w:rPr>
                <w:rFonts w:cstheme="minorHAnsi"/>
                <w:sz w:val="18"/>
                <w:szCs w:val="18"/>
              </w:rPr>
            </w:pPr>
          </w:p>
        </w:tc>
        <w:tc>
          <w:tcPr>
            <w:tcW w:w="2569" w:type="pct"/>
          </w:tcPr>
          <w:p w14:paraId="6535AF6E" w14:textId="77777777" w:rsidR="005E3DA3" w:rsidRPr="00337AEF" w:rsidRDefault="005E3DA3" w:rsidP="0000573C">
            <w:pPr>
              <w:jc w:val="both"/>
              <w:rPr>
                <w:rFonts w:cstheme="minorHAnsi"/>
                <w:sz w:val="18"/>
                <w:szCs w:val="18"/>
              </w:rPr>
            </w:pPr>
            <w:r w:rsidRPr="00337AEF">
              <w:rPr>
                <w:rFonts w:cstheme="minorHAnsi"/>
                <w:sz w:val="18"/>
                <w:szCs w:val="18"/>
              </w:rPr>
              <w:t>NP albacore needs a harvest control rule that ensures that the exploitation rate is reduced as the PRI is approached and is expected to keep the stock fluctuating around the target level and robust to the main uncertainties. The tools used to implement the HCR should be effective in achieving the required exploitation levels.</w:t>
            </w:r>
          </w:p>
        </w:tc>
        <w:tc>
          <w:tcPr>
            <w:tcW w:w="743" w:type="pct"/>
            <w:shd w:val="clear" w:color="auto" w:fill="FFFFFF" w:themeFill="background1"/>
          </w:tcPr>
          <w:p w14:paraId="57980C77" w14:textId="77777777" w:rsidR="005E3DA3" w:rsidRPr="00337AEF" w:rsidRDefault="005E3DA3" w:rsidP="0000573C">
            <w:pPr>
              <w:rPr>
                <w:rFonts w:cstheme="minorHAnsi"/>
                <w:sz w:val="18"/>
                <w:szCs w:val="18"/>
              </w:rPr>
            </w:pPr>
            <w:r w:rsidRPr="00337AEF">
              <w:rPr>
                <w:rFonts w:cstheme="minorHAnsi"/>
                <w:sz w:val="18"/>
                <w:szCs w:val="18"/>
              </w:rPr>
              <w:t>1.2.2 (UoA1)</w:t>
            </w:r>
          </w:p>
        </w:tc>
        <w:tc>
          <w:tcPr>
            <w:tcW w:w="1082" w:type="pct"/>
            <w:shd w:val="clear" w:color="auto" w:fill="FFFFFF" w:themeFill="background1"/>
          </w:tcPr>
          <w:p w14:paraId="7F231495" w14:textId="77777777" w:rsidR="005E3DA3" w:rsidRPr="00337AEF" w:rsidRDefault="005E3DA3" w:rsidP="0000573C">
            <w:pPr>
              <w:rPr>
                <w:rFonts w:cstheme="minorHAnsi"/>
                <w:sz w:val="18"/>
                <w:szCs w:val="18"/>
              </w:rPr>
            </w:pPr>
            <w:r w:rsidRPr="00337AEF">
              <w:rPr>
                <w:rFonts w:cstheme="minorHAnsi"/>
                <w:sz w:val="18"/>
                <w:szCs w:val="18"/>
              </w:rPr>
              <w:t>2025</w:t>
            </w:r>
          </w:p>
        </w:tc>
      </w:tr>
      <w:tr w:rsidR="005E3DA3" w:rsidRPr="00337AEF" w14:paraId="0F088765" w14:textId="77777777" w:rsidTr="0000573C">
        <w:tc>
          <w:tcPr>
            <w:tcW w:w="606" w:type="pct"/>
            <w:shd w:val="clear" w:color="auto" w:fill="FFFFFF" w:themeFill="background1"/>
          </w:tcPr>
          <w:p w14:paraId="58E11032" w14:textId="77777777" w:rsidR="005E3DA3" w:rsidRPr="00337AEF" w:rsidRDefault="005E3DA3" w:rsidP="0000573C">
            <w:pPr>
              <w:rPr>
                <w:rFonts w:cstheme="minorHAnsi"/>
                <w:sz w:val="18"/>
                <w:szCs w:val="18"/>
              </w:rPr>
            </w:pPr>
          </w:p>
          <w:p w14:paraId="4D372CA6" w14:textId="77777777" w:rsidR="005E3DA3" w:rsidRPr="00337AEF" w:rsidRDefault="005E3DA3" w:rsidP="0000573C">
            <w:pPr>
              <w:rPr>
                <w:rFonts w:cstheme="minorHAnsi"/>
                <w:sz w:val="18"/>
                <w:szCs w:val="18"/>
              </w:rPr>
            </w:pPr>
            <w:r w:rsidRPr="00337AEF">
              <w:rPr>
                <w:rFonts w:cstheme="minorHAnsi"/>
                <w:sz w:val="18"/>
                <w:szCs w:val="18"/>
              </w:rPr>
              <w:t>3</w:t>
            </w:r>
          </w:p>
        </w:tc>
        <w:tc>
          <w:tcPr>
            <w:tcW w:w="2569" w:type="pct"/>
            <w:shd w:val="clear" w:color="auto" w:fill="FFFFFF" w:themeFill="background1"/>
          </w:tcPr>
          <w:p w14:paraId="58B8B804" w14:textId="77777777" w:rsidR="005E3DA3" w:rsidRPr="00337AEF" w:rsidRDefault="005E3DA3" w:rsidP="0000573C">
            <w:pPr>
              <w:jc w:val="both"/>
              <w:rPr>
                <w:rFonts w:cstheme="minorHAnsi"/>
                <w:sz w:val="18"/>
                <w:szCs w:val="18"/>
              </w:rPr>
            </w:pPr>
            <w:r w:rsidRPr="00337AEF">
              <w:rPr>
                <w:rFonts w:cstheme="minorHAnsi"/>
                <w:sz w:val="18"/>
                <w:szCs w:val="18"/>
              </w:rPr>
              <w:t xml:space="preserve">There is evidence of </w:t>
            </w:r>
            <w:r w:rsidRPr="00337AEF">
              <w:rPr>
                <w:rFonts w:cstheme="minorHAnsi"/>
                <w:bCs/>
                <w:sz w:val="18"/>
                <w:szCs w:val="18"/>
              </w:rPr>
              <w:t>regular</w:t>
            </w:r>
            <w:r w:rsidRPr="00337AEF">
              <w:rPr>
                <w:rFonts w:cstheme="minorHAnsi"/>
                <w:sz w:val="18"/>
                <w:szCs w:val="18"/>
              </w:rPr>
              <w:t xml:space="preserve"> review of the potential effectiveness and practicality of alternative measures to minimise UoA-related mortality of </w:t>
            </w:r>
            <w:r w:rsidRPr="00337AEF">
              <w:rPr>
                <w:rFonts w:cstheme="minorHAnsi"/>
                <w:bCs/>
                <w:sz w:val="18"/>
                <w:szCs w:val="18"/>
              </w:rPr>
              <w:t>unwanted</w:t>
            </w:r>
            <w:r w:rsidRPr="00337AEF">
              <w:rPr>
                <w:rFonts w:cstheme="minorHAnsi"/>
                <w:sz w:val="18"/>
                <w:szCs w:val="18"/>
              </w:rPr>
              <w:t xml:space="preserve"> catch of main secondary species, particularly pelagic stingray, and they are implemented as appropriate.</w:t>
            </w:r>
          </w:p>
        </w:tc>
        <w:tc>
          <w:tcPr>
            <w:tcW w:w="743" w:type="pct"/>
            <w:shd w:val="clear" w:color="auto" w:fill="FFFFFF" w:themeFill="background1"/>
          </w:tcPr>
          <w:p w14:paraId="417857E1" w14:textId="77777777" w:rsidR="005E3DA3" w:rsidRPr="00337AEF" w:rsidRDefault="005E3DA3" w:rsidP="0000573C">
            <w:pPr>
              <w:rPr>
                <w:rFonts w:cstheme="minorHAnsi"/>
                <w:sz w:val="18"/>
                <w:szCs w:val="18"/>
              </w:rPr>
            </w:pPr>
            <w:r w:rsidRPr="00337AEF">
              <w:rPr>
                <w:rFonts w:cstheme="minorHAnsi"/>
                <w:sz w:val="18"/>
                <w:szCs w:val="18"/>
              </w:rPr>
              <w:t>2.2.2 SI (e)</w:t>
            </w:r>
          </w:p>
        </w:tc>
        <w:tc>
          <w:tcPr>
            <w:tcW w:w="1082" w:type="pct"/>
            <w:shd w:val="clear" w:color="auto" w:fill="FFFFFF" w:themeFill="background1"/>
          </w:tcPr>
          <w:p w14:paraId="40D03831" w14:textId="77777777" w:rsidR="005E3DA3" w:rsidRPr="00337AEF" w:rsidRDefault="005E3DA3" w:rsidP="0000573C">
            <w:pPr>
              <w:rPr>
                <w:rFonts w:cstheme="minorHAnsi"/>
                <w:sz w:val="18"/>
                <w:szCs w:val="18"/>
              </w:rPr>
            </w:pPr>
            <w:r w:rsidRPr="00337AEF">
              <w:rPr>
                <w:rFonts w:cstheme="minorHAnsi"/>
                <w:sz w:val="18"/>
                <w:szCs w:val="18"/>
              </w:rPr>
              <w:t>2026</w:t>
            </w:r>
          </w:p>
        </w:tc>
      </w:tr>
      <w:tr w:rsidR="005E3DA3" w:rsidRPr="00337AEF" w14:paraId="594334A0" w14:textId="77777777" w:rsidTr="0000573C">
        <w:tc>
          <w:tcPr>
            <w:tcW w:w="606" w:type="pct"/>
          </w:tcPr>
          <w:p w14:paraId="553EEE21" w14:textId="77777777" w:rsidR="005E3DA3" w:rsidRPr="00337AEF" w:rsidRDefault="005E3DA3" w:rsidP="0000573C">
            <w:pPr>
              <w:rPr>
                <w:rFonts w:cstheme="minorHAnsi"/>
                <w:sz w:val="18"/>
                <w:szCs w:val="18"/>
              </w:rPr>
            </w:pPr>
          </w:p>
          <w:p w14:paraId="6A4249EB" w14:textId="77777777" w:rsidR="005E3DA3" w:rsidRPr="00337AEF" w:rsidRDefault="005E3DA3" w:rsidP="0000573C">
            <w:pPr>
              <w:rPr>
                <w:rFonts w:cstheme="minorHAnsi"/>
                <w:sz w:val="18"/>
                <w:szCs w:val="18"/>
              </w:rPr>
            </w:pPr>
            <w:r w:rsidRPr="00337AEF">
              <w:rPr>
                <w:rFonts w:cstheme="minorHAnsi"/>
                <w:sz w:val="18"/>
                <w:szCs w:val="18"/>
              </w:rPr>
              <w:t>4</w:t>
            </w:r>
          </w:p>
        </w:tc>
        <w:tc>
          <w:tcPr>
            <w:tcW w:w="2569" w:type="pct"/>
          </w:tcPr>
          <w:p w14:paraId="0C1AA5B9" w14:textId="77777777" w:rsidR="005E3DA3" w:rsidRPr="00337AEF" w:rsidRDefault="005E3DA3" w:rsidP="0000573C">
            <w:pPr>
              <w:jc w:val="both"/>
              <w:rPr>
                <w:rFonts w:cstheme="minorHAnsi"/>
                <w:sz w:val="18"/>
                <w:szCs w:val="18"/>
                <w:highlight w:val="yellow"/>
              </w:rPr>
            </w:pPr>
            <w:r w:rsidRPr="00337AEF">
              <w:rPr>
                <w:rFonts w:cstheme="minorHAnsi"/>
                <w:iCs/>
                <w:sz w:val="18"/>
                <w:szCs w:val="18"/>
              </w:rPr>
              <w:t xml:space="preserve">Provide evidence that direct effects of the UoA are </w:t>
            </w:r>
            <w:r w:rsidRPr="00337AEF">
              <w:rPr>
                <w:rFonts w:cstheme="minorHAnsi"/>
                <w:bCs/>
                <w:iCs/>
                <w:sz w:val="18"/>
                <w:szCs w:val="18"/>
              </w:rPr>
              <w:t>highly likely</w:t>
            </w:r>
            <w:r w:rsidRPr="00337AEF">
              <w:rPr>
                <w:rFonts w:cstheme="minorHAnsi"/>
                <w:iCs/>
                <w:sz w:val="18"/>
                <w:szCs w:val="18"/>
              </w:rPr>
              <w:t xml:space="preserve"> to not </w:t>
            </w:r>
            <w:r w:rsidRPr="00337AEF">
              <w:rPr>
                <w:rFonts w:cstheme="minorHAnsi"/>
                <w:bCs/>
                <w:iCs/>
                <w:sz w:val="18"/>
                <w:szCs w:val="18"/>
              </w:rPr>
              <w:t>hinder recovery</w:t>
            </w:r>
            <w:r w:rsidRPr="00337AEF">
              <w:rPr>
                <w:rFonts w:cstheme="minorHAnsi"/>
                <w:iCs/>
                <w:sz w:val="18"/>
                <w:szCs w:val="18"/>
              </w:rPr>
              <w:t xml:space="preserve"> of longfin mako shark, shortfin mako shark, and olive ridley turtles</w:t>
            </w:r>
          </w:p>
        </w:tc>
        <w:tc>
          <w:tcPr>
            <w:tcW w:w="743" w:type="pct"/>
            <w:shd w:val="clear" w:color="auto" w:fill="FFFFFF" w:themeFill="background1"/>
          </w:tcPr>
          <w:p w14:paraId="75546C84" w14:textId="77777777" w:rsidR="005E3DA3" w:rsidRPr="00337AEF" w:rsidRDefault="005E3DA3" w:rsidP="0000573C">
            <w:pPr>
              <w:rPr>
                <w:rFonts w:cstheme="minorHAnsi"/>
                <w:sz w:val="18"/>
                <w:szCs w:val="18"/>
              </w:rPr>
            </w:pPr>
            <w:r w:rsidRPr="00337AEF">
              <w:rPr>
                <w:rFonts w:cstheme="minorHAnsi"/>
                <w:sz w:val="18"/>
                <w:szCs w:val="18"/>
              </w:rPr>
              <w:t>2.3.1 SI (b)</w:t>
            </w:r>
          </w:p>
        </w:tc>
        <w:tc>
          <w:tcPr>
            <w:tcW w:w="1082" w:type="pct"/>
            <w:shd w:val="clear" w:color="auto" w:fill="FFFFFF" w:themeFill="background1"/>
          </w:tcPr>
          <w:p w14:paraId="42D3FAA4" w14:textId="77777777" w:rsidR="005E3DA3" w:rsidRPr="00337AEF" w:rsidRDefault="005E3DA3" w:rsidP="0000573C">
            <w:pPr>
              <w:rPr>
                <w:rFonts w:cstheme="minorHAnsi"/>
                <w:sz w:val="18"/>
                <w:szCs w:val="18"/>
              </w:rPr>
            </w:pPr>
            <w:r w:rsidRPr="00337AEF">
              <w:rPr>
                <w:rFonts w:cstheme="minorHAnsi"/>
                <w:sz w:val="18"/>
                <w:szCs w:val="18"/>
              </w:rPr>
              <w:t>2027</w:t>
            </w:r>
          </w:p>
        </w:tc>
      </w:tr>
      <w:tr w:rsidR="005E3DA3" w:rsidRPr="00337AEF" w14:paraId="72D9F4B3" w14:textId="77777777" w:rsidTr="0000573C">
        <w:tc>
          <w:tcPr>
            <w:tcW w:w="606" w:type="pct"/>
          </w:tcPr>
          <w:p w14:paraId="0246D02C" w14:textId="77777777" w:rsidR="005E3DA3" w:rsidRPr="00337AEF" w:rsidRDefault="005E3DA3" w:rsidP="0000573C">
            <w:pPr>
              <w:rPr>
                <w:rFonts w:cstheme="minorHAnsi"/>
                <w:sz w:val="18"/>
                <w:szCs w:val="18"/>
              </w:rPr>
            </w:pPr>
            <w:r w:rsidRPr="00337AEF">
              <w:rPr>
                <w:rFonts w:cstheme="minorHAnsi"/>
                <w:sz w:val="18"/>
                <w:szCs w:val="18"/>
              </w:rPr>
              <w:t>5</w:t>
            </w:r>
          </w:p>
        </w:tc>
        <w:tc>
          <w:tcPr>
            <w:tcW w:w="2569" w:type="pct"/>
          </w:tcPr>
          <w:p w14:paraId="71ACC6A1" w14:textId="77777777" w:rsidR="005E3DA3" w:rsidRPr="00337AEF" w:rsidRDefault="005E3DA3" w:rsidP="0000573C">
            <w:pPr>
              <w:jc w:val="both"/>
              <w:rPr>
                <w:rFonts w:cstheme="minorHAnsi"/>
                <w:sz w:val="18"/>
                <w:szCs w:val="18"/>
                <w:highlight w:val="yellow"/>
              </w:rPr>
            </w:pPr>
            <w:r w:rsidRPr="00337AEF">
              <w:rPr>
                <w:rFonts w:eastAsia="SimSun" w:cstheme="minorHAnsi"/>
                <w:color w:val="000000"/>
                <w:sz w:val="18"/>
                <w:szCs w:val="18"/>
                <w:lang w:eastAsia="en-GB"/>
              </w:rPr>
              <w:t>By Year 4 Information on the fishery’s performance and management action is available to stakeholders on request, and explanations are provided for any actions or lack of action associated with findings and relevant recommendations emerging from research, monitoring evaluation and review activity.</w:t>
            </w:r>
          </w:p>
        </w:tc>
        <w:tc>
          <w:tcPr>
            <w:tcW w:w="743" w:type="pct"/>
            <w:shd w:val="clear" w:color="auto" w:fill="FFFFFF" w:themeFill="background1"/>
          </w:tcPr>
          <w:p w14:paraId="0C4CF37F" w14:textId="77777777" w:rsidR="005E3DA3" w:rsidRPr="00337AEF" w:rsidRDefault="005E3DA3" w:rsidP="0000573C">
            <w:pPr>
              <w:rPr>
                <w:rFonts w:cstheme="minorHAnsi"/>
                <w:sz w:val="18"/>
                <w:szCs w:val="18"/>
              </w:rPr>
            </w:pPr>
            <w:r w:rsidRPr="00337AEF">
              <w:rPr>
                <w:rFonts w:cstheme="minorHAnsi"/>
                <w:sz w:val="18"/>
                <w:szCs w:val="18"/>
              </w:rPr>
              <w:t>3.2.2 SI (d)</w:t>
            </w:r>
          </w:p>
        </w:tc>
        <w:tc>
          <w:tcPr>
            <w:tcW w:w="1082" w:type="pct"/>
            <w:shd w:val="clear" w:color="auto" w:fill="FFFFFF" w:themeFill="background1"/>
          </w:tcPr>
          <w:p w14:paraId="7F2613FE" w14:textId="77777777" w:rsidR="005E3DA3" w:rsidRPr="00337AEF" w:rsidRDefault="005E3DA3" w:rsidP="0000573C">
            <w:pPr>
              <w:rPr>
                <w:rFonts w:cstheme="minorHAnsi"/>
                <w:sz w:val="18"/>
                <w:szCs w:val="18"/>
              </w:rPr>
            </w:pPr>
            <w:r w:rsidRPr="00337AEF">
              <w:rPr>
                <w:rFonts w:cstheme="minorHAnsi"/>
                <w:sz w:val="18"/>
                <w:szCs w:val="18"/>
              </w:rPr>
              <w:t>2027</w:t>
            </w:r>
          </w:p>
        </w:tc>
      </w:tr>
      <w:tr w:rsidR="005E3DA3" w:rsidRPr="00337AEF" w14:paraId="0B95FC6E" w14:textId="77777777" w:rsidTr="0000573C">
        <w:tc>
          <w:tcPr>
            <w:tcW w:w="606" w:type="pct"/>
            <w:shd w:val="clear" w:color="auto" w:fill="FFFFFF" w:themeFill="background1"/>
          </w:tcPr>
          <w:p w14:paraId="2E8D79EE" w14:textId="77777777" w:rsidR="005E3DA3" w:rsidRPr="00337AEF" w:rsidRDefault="005E3DA3" w:rsidP="0000573C">
            <w:pPr>
              <w:rPr>
                <w:rFonts w:cstheme="minorHAnsi"/>
                <w:sz w:val="18"/>
                <w:szCs w:val="18"/>
              </w:rPr>
            </w:pPr>
            <w:r w:rsidRPr="00337AEF">
              <w:rPr>
                <w:rFonts w:cstheme="minorHAnsi"/>
                <w:sz w:val="18"/>
                <w:szCs w:val="18"/>
              </w:rPr>
              <w:t>6</w:t>
            </w:r>
          </w:p>
        </w:tc>
        <w:tc>
          <w:tcPr>
            <w:tcW w:w="2569" w:type="pct"/>
            <w:shd w:val="clear" w:color="auto" w:fill="FFFFFF" w:themeFill="background1"/>
          </w:tcPr>
          <w:p w14:paraId="048B5F87" w14:textId="77777777" w:rsidR="005E3DA3" w:rsidRPr="00337AEF" w:rsidRDefault="005E3DA3" w:rsidP="0000573C">
            <w:pPr>
              <w:jc w:val="both"/>
              <w:rPr>
                <w:rFonts w:cstheme="minorHAnsi"/>
                <w:sz w:val="18"/>
                <w:szCs w:val="18"/>
                <w:highlight w:val="yellow"/>
              </w:rPr>
            </w:pPr>
            <w:r w:rsidRPr="00337AEF">
              <w:rPr>
                <w:rFonts w:cstheme="minorHAnsi"/>
                <w:sz w:val="18"/>
                <w:szCs w:val="18"/>
              </w:rPr>
              <w:t>By year 4 of the surveillance audit, the national monitoring, control and surveillance system implemented in the fishery should have demonstrated an ability to enforce relevant management measures, strategies and/or rules. In addition, evidence should be provided that there is no systematic non-compliance in the fishery. Where there is non-compliance, evidence should be provided that sanctions are consistently applied and thought to provide effective deterrence</w:t>
            </w:r>
          </w:p>
        </w:tc>
        <w:tc>
          <w:tcPr>
            <w:tcW w:w="743" w:type="pct"/>
            <w:shd w:val="clear" w:color="auto" w:fill="FFFFFF" w:themeFill="background1"/>
          </w:tcPr>
          <w:p w14:paraId="71DC7D21" w14:textId="77777777" w:rsidR="005E3DA3" w:rsidRPr="00337AEF" w:rsidRDefault="005E3DA3" w:rsidP="0000573C">
            <w:pPr>
              <w:rPr>
                <w:rFonts w:cstheme="minorHAnsi"/>
                <w:sz w:val="18"/>
                <w:szCs w:val="18"/>
              </w:rPr>
            </w:pPr>
            <w:r w:rsidRPr="00337AEF">
              <w:rPr>
                <w:rFonts w:cstheme="minorHAnsi"/>
                <w:sz w:val="18"/>
                <w:szCs w:val="18"/>
              </w:rPr>
              <w:t>3.2.3</w:t>
            </w:r>
          </w:p>
        </w:tc>
        <w:tc>
          <w:tcPr>
            <w:tcW w:w="1082" w:type="pct"/>
            <w:shd w:val="clear" w:color="auto" w:fill="FFFFFF" w:themeFill="background1"/>
          </w:tcPr>
          <w:p w14:paraId="32B958F2" w14:textId="77777777" w:rsidR="005E3DA3" w:rsidRPr="00337AEF" w:rsidRDefault="005E3DA3" w:rsidP="0000573C">
            <w:pPr>
              <w:rPr>
                <w:rFonts w:cstheme="minorHAnsi"/>
                <w:sz w:val="18"/>
                <w:szCs w:val="18"/>
              </w:rPr>
            </w:pPr>
            <w:r w:rsidRPr="00337AEF">
              <w:rPr>
                <w:rFonts w:cstheme="minorHAnsi"/>
                <w:sz w:val="18"/>
                <w:szCs w:val="18"/>
              </w:rPr>
              <w:t>2027</w:t>
            </w:r>
          </w:p>
        </w:tc>
      </w:tr>
    </w:tbl>
    <w:p w14:paraId="2940F6AE" w14:textId="77777777" w:rsidR="005E3DA3" w:rsidRPr="005E3DA3" w:rsidRDefault="005E3DA3" w:rsidP="005E3DA3"/>
    <w:sectPr w:rsidR="005E3DA3" w:rsidRPr="005E3DA3" w:rsidSect="00265244">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6038" w14:textId="77777777" w:rsidR="00C61225" w:rsidRDefault="00C61225" w:rsidP="00A02C09">
      <w:pPr>
        <w:spacing w:after="0" w:line="240" w:lineRule="auto"/>
      </w:pPr>
      <w:r>
        <w:separator/>
      </w:r>
    </w:p>
  </w:endnote>
  <w:endnote w:type="continuationSeparator" w:id="0">
    <w:p w14:paraId="66987400" w14:textId="77777777" w:rsidR="00C61225" w:rsidRDefault="00C61225" w:rsidP="00A0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825843"/>
      <w:docPartObj>
        <w:docPartGallery w:val="Page Numbers (Bottom of Page)"/>
        <w:docPartUnique/>
      </w:docPartObj>
    </w:sdtPr>
    <w:sdtEndPr>
      <w:rPr>
        <w:rStyle w:val="PageNumber"/>
      </w:rPr>
    </w:sdtEndPr>
    <w:sdtContent>
      <w:p w14:paraId="69386340" w14:textId="640EF85E" w:rsidR="00F94E5D" w:rsidRDefault="00F94E5D" w:rsidP="00F94E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55CA23" w14:textId="77777777" w:rsidR="00F94E5D" w:rsidRDefault="00F94E5D" w:rsidP="00F94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61842"/>
      <w:docPartObj>
        <w:docPartGallery w:val="Page Numbers (Bottom of Page)"/>
        <w:docPartUnique/>
      </w:docPartObj>
    </w:sdtPr>
    <w:sdtEndPr>
      <w:rPr>
        <w:rFonts w:ascii="Segoe UI" w:hAnsi="Segoe UI" w:cs="Segoe UI"/>
        <w:noProof/>
        <w:sz w:val="18"/>
      </w:rPr>
    </w:sdtEndPr>
    <w:sdtContent>
      <w:p w14:paraId="5EFF49B4" w14:textId="77777777" w:rsidR="00E97B52" w:rsidRPr="00E040BD" w:rsidRDefault="00E97B52" w:rsidP="00F94E5D">
        <w:pPr>
          <w:pStyle w:val="Footer"/>
          <w:ind w:right="360"/>
          <w:jc w:val="center"/>
          <w:rPr>
            <w:sz w:val="18"/>
          </w:rPr>
        </w:pPr>
        <w:r w:rsidRPr="00E040BD">
          <w:rPr>
            <w:sz w:val="18"/>
          </w:rPr>
          <w:t>Key Traceability Ltd. Company Registered in England, Number 9730288, VAT No. 257022718</w:t>
        </w:r>
      </w:p>
      <w:p w14:paraId="02BB5CF4" w14:textId="77777777" w:rsidR="00E97B52" w:rsidRPr="00A02C09" w:rsidRDefault="00E97B52" w:rsidP="00A02C09">
        <w:pPr>
          <w:pStyle w:val="Footer"/>
          <w:jc w:val="center"/>
          <w:rPr>
            <w:rFonts w:ascii="Segoe UI" w:hAnsi="Segoe UI" w:cs="Segoe UI"/>
            <w:noProof/>
            <w:sz w:val="18"/>
          </w:rPr>
        </w:pPr>
        <w:hyperlink r:id="rId1" w:history="1">
          <w:r w:rsidRPr="00E040BD">
            <w:rPr>
              <w:rStyle w:val="Hyperlink"/>
              <w:sz w:val="18"/>
            </w:rPr>
            <w:t>http://keytraceability.com/</w:t>
          </w:r>
        </w:hyperlink>
        <w:r w:rsidRPr="00E040BD">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6004088"/>
      <w:docPartObj>
        <w:docPartGallery w:val="Page Numbers (Bottom of Page)"/>
        <w:docPartUnique/>
      </w:docPartObj>
    </w:sdtPr>
    <w:sdtEndPr>
      <w:rPr>
        <w:noProof/>
      </w:rPr>
    </w:sdtEndPr>
    <w:sdtContent>
      <w:p w14:paraId="3BEFC011" w14:textId="0357484F" w:rsidR="00C36D56" w:rsidRPr="00C36D56" w:rsidRDefault="00C36D56" w:rsidP="00C36D56">
        <w:pPr>
          <w:pStyle w:val="Footer"/>
          <w:jc w:val="center"/>
          <w:rPr>
            <w:sz w:val="18"/>
            <w:szCs w:val="18"/>
          </w:rPr>
        </w:pPr>
        <w:r w:rsidRPr="00C36D56">
          <w:rPr>
            <w:sz w:val="18"/>
            <w:szCs w:val="18"/>
          </w:rPr>
          <w:fldChar w:fldCharType="begin"/>
        </w:r>
        <w:r w:rsidRPr="00C36D56">
          <w:rPr>
            <w:sz w:val="18"/>
            <w:szCs w:val="18"/>
          </w:rPr>
          <w:instrText xml:space="preserve"> PAGE   \* MERGEFORMAT </w:instrText>
        </w:r>
        <w:r w:rsidRPr="00C36D56">
          <w:rPr>
            <w:sz w:val="18"/>
            <w:szCs w:val="18"/>
          </w:rPr>
          <w:fldChar w:fldCharType="separate"/>
        </w:r>
        <w:r w:rsidRPr="00C36D56">
          <w:rPr>
            <w:noProof/>
            <w:sz w:val="18"/>
            <w:szCs w:val="18"/>
          </w:rPr>
          <w:t>2</w:t>
        </w:r>
        <w:r w:rsidRPr="00C36D5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3CD4" w14:textId="77777777" w:rsidR="00C61225" w:rsidRDefault="00C61225" w:rsidP="00A02C09">
      <w:pPr>
        <w:spacing w:after="0" w:line="240" w:lineRule="auto"/>
      </w:pPr>
      <w:r>
        <w:separator/>
      </w:r>
    </w:p>
  </w:footnote>
  <w:footnote w:type="continuationSeparator" w:id="0">
    <w:p w14:paraId="7BD02B6F" w14:textId="77777777" w:rsidR="00C61225" w:rsidRDefault="00C61225" w:rsidP="00A0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0CC" w14:textId="598E2163" w:rsidR="00E97B52" w:rsidRPr="00D577CD" w:rsidRDefault="00C36D56" w:rsidP="00A02C09">
    <w:pPr>
      <w:jc w:val="right"/>
      <w:rPr>
        <w:rFonts w:cstheme="minorHAnsi"/>
        <w:sz w:val="16"/>
        <w:szCs w:val="20"/>
      </w:rPr>
    </w:pPr>
    <w:r w:rsidRPr="00C36D56">
      <w:rPr>
        <w:sz w:val="18"/>
        <w:szCs w:val="18"/>
      </w:rPr>
      <w:t xml:space="preserve">December 2024 </w:t>
    </w:r>
    <w:r w:rsidR="007325EF">
      <w:rPr>
        <w:noProof/>
      </w:rPr>
      <w:drawing>
        <wp:anchor distT="0" distB="0" distL="114300" distR="114300" simplePos="0" relativeHeight="251660288" behindDoc="0" locked="0" layoutInCell="1" allowOverlap="1" wp14:anchorId="65A49F94" wp14:editId="5B086249">
          <wp:simplePos x="0" y="0"/>
          <wp:positionH relativeFrom="leftMargin">
            <wp:posOffset>304800</wp:posOffset>
          </wp:positionH>
          <wp:positionV relativeFrom="paragraph">
            <wp:posOffset>-220980</wp:posOffset>
          </wp:positionV>
          <wp:extent cx="542925" cy="456565"/>
          <wp:effectExtent l="0" t="0" r="9525" b="635"/>
          <wp:wrapSquare wrapText="bothSides"/>
          <wp:docPr id="1293301214" name="Picture 12933012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4850" t="11119" r="18782" b="9840"/>
                  <a:stretch/>
                </pic:blipFill>
                <pic:spPr bwMode="auto">
                  <a:xfrm>
                    <a:off x="0" y="0"/>
                    <a:ext cx="54292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35F7">
      <w:rPr>
        <w:rFonts w:cstheme="minorHAnsi"/>
        <w:noProof/>
        <w:sz w:val="18"/>
        <w:szCs w:val="20"/>
        <w:lang w:eastAsia="en-GB"/>
      </w:rPr>
      <w:t xml:space="preserve"> </w:t>
    </w:r>
  </w:p>
  <w:p w14:paraId="799526E2" w14:textId="77777777" w:rsidR="00E97B52" w:rsidRDefault="00E9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D20D" w14:textId="1B958735" w:rsidR="008A1486" w:rsidRPr="00C36D56" w:rsidRDefault="008A1486">
    <w:pPr>
      <w:pStyle w:val="Header"/>
      <w:rPr>
        <w:sz w:val="18"/>
        <w:szCs w:val="18"/>
      </w:rPr>
    </w:pPr>
    <w:r w:rsidRPr="00C36D56">
      <w:rPr>
        <w:noProof/>
        <w:sz w:val="18"/>
        <w:szCs w:val="18"/>
      </w:rPr>
      <w:drawing>
        <wp:anchor distT="0" distB="0" distL="114300" distR="114300" simplePos="0" relativeHeight="251662336" behindDoc="0" locked="0" layoutInCell="1" allowOverlap="1" wp14:anchorId="7CAB36F9" wp14:editId="293CBB6B">
          <wp:simplePos x="0" y="0"/>
          <wp:positionH relativeFrom="leftMargin">
            <wp:align>right</wp:align>
          </wp:positionH>
          <wp:positionV relativeFrom="paragraph">
            <wp:posOffset>-230505</wp:posOffset>
          </wp:positionV>
          <wp:extent cx="657225" cy="553085"/>
          <wp:effectExtent l="0" t="0" r="9525" b="0"/>
          <wp:wrapSquare wrapText="bothSides"/>
          <wp:docPr id="666155946" name="Picture 66615594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4850" t="11119" r="18782" b="9840"/>
                  <a:stretch/>
                </pic:blipFill>
                <pic:spPr bwMode="auto">
                  <a:xfrm>
                    <a:off x="0" y="0"/>
                    <a:ext cx="657225" cy="553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D56">
      <w:rPr>
        <w:sz w:val="18"/>
        <w:szCs w:val="18"/>
      </w:rPr>
      <w:tab/>
    </w:r>
    <w:r w:rsidRPr="00C36D56">
      <w:rPr>
        <w:sz w:val="18"/>
        <w:szCs w:val="18"/>
      </w:rPr>
      <w:tab/>
    </w:r>
    <w:r w:rsidR="00B86940" w:rsidRPr="00C36D56">
      <w:rPr>
        <w:sz w:val="18"/>
        <w:szCs w:val="18"/>
      </w:rPr>
      <w:t>0004 Fortuna MSC</w:t>
    </w:r>
    <w:r w:rsidR="00054982" w:rsidRPr="00C36D56">
      <w:rPr>
        <w:sz w:val="18"/>
        <w:szCs w:val="18"/>
      </w:rPr>
      <w:t xml:space="preserve"> </w:t>
    </w:r>
    <w:r w:rsidR="00C36D56" w:rsidRPr="00C36D56">
      <w:rPr>
        <w:sz w:val="18"/>
        <w:szCs w:val="18"/>
      </w:rPr>
      <w:t xml:space="preserve">Fishery – December </w:t>
    </w:r>
    <w:r w:rsidR="00B86940" w:rsidRPr="00C36D56">
      <w:rPr>
        <w:sz w:val="18"/>
        <w:szCs w:val="18"/>
      </w:rPr>
      <w:t>2024</w:t>
    </w:r>
    <w:r w:rsidRPr="00C36D56">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0AB"/>
    <w:multiLevelType w:val="multilevel"/>
    <w:tmpl w:val="B2E23DB8"/>
    <w:lvl w:ilvl="0">
      <w:start w:val="1"/>
      <w:numFmt w:val="decimal"/>
      <w:pStyle w:val="Header2"/>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6920C50"/>
    <w:multiLevelType w:val="hybridMultilevel"/>
    <w:tmpl w:val="F1F6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B5E44"/>
    <w:multiLevelType w:val="hybridMultilevel"/>
    <w:tmpl w:val="2C3C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C299D"/>
    <w:multiLevelType w:val="hybridMultilevel"/>
    <w:tmpl w:val="66F4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C1BBD"/>
    <w:multiLevelType w:val="hybridMultilevel"/>
    <w:tmpl w:val="A6B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B7FB5"/>
    <w:multiLevelType w:val="multilevel"/>
    <w:tmpl w:val="3F2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12E92"/>
    <w:multiLevelType w:val="multilevel"/>
    <w:tmpl w:val="A0CA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85781"/>
    <w:multiLevelType w:val="multilevel"/>
    <w:tmpl w:val="8CD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E10D5"/>
    <w:multiLevelType w:val="multilevel"/>
    <w:tmpl w:val="B7B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28773">
    <w:abstractNumId w:val="0"/>
  </w:num>
  <w:num w:numId="2" w16cid:durableId="189925054">
    <w:abstractNumId w:val="6"/>
  </w:num>
  <w:num w:numId="3" w16cid:durableId="755595117">
    <w:abstractNumId w:val="7"/>
  </w:num>
  <w:num w:numId="4" w16cid:durableId="457651802">
    <w:abstractNumId w:val="8"/>
  </w:num>
  <w:num w:numId="5" w16cid:durableId="1370186893">
    <w:abstractNumId w:val="5"/>
  </w:num>
  <w:num w:numId="6" w16cid:durableId="67191653">
    <w:abstractNumId w:val="4"/>
  </w:num>
  <w:num w:numId="7" w16cid:durableId="362437898">
    <w:abstractNumId w:val="1"/>
  </w:num>
  <w:num w:numId="8" w16cid:durableId="393435606">
    <w:abstractNumId w:val="2"/>
  </w:num>
  <w:num w:numId="9" w16cid:durableId="19747490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9E"/>
    <w:rsid w:val="00001C17"/>
    <w:rsid w:val="00004819"/>
    <w:rsid w:val="00011CE3"/>
    <w:rsid w:val="00027256"/>
    <w:rsid w:val="000278C0"/>
    <w:rsid w:val="000300AB"/>
    <w:rsid w:val="00033DA0"/>
    <w:rsid w:val="00047593"/>
    <w:rsid w:val="00051F03"/>
    <w:rsid w:val="00054982"/>
    <w:rsid w:val="00063C80"/>
    <w:rsid w:val="0006460B"/>
    <w:rsid w:val="00070701"/>
    <w:rsid w:val="0007234D"/>
    <w:rsid w:val="00083E57"/>
    <w:rsid w:val="00095DC1"/>
    <w:rsid w:val="000A209E"/>
    <w:rsid w:val="000A636E"/>
    <w:rsid w:val="000C0F09"/>
    <w:rsid w:val="000C4C4A"/>
    <w:rsid w:val="000D28EB"/>
    <w:rsid w:val="000F758A"/>
    <w:rsid w:val="00101F0A"/>
    <w:rsid w:val="001057DB"/>
    <w:rsid w:val="001322F8"/>
    <w:rsid w:val="00142F61"/>
    <w:rsid w:val="001507FE"/>
    <w:rsid w:val="00152FE7"/>
    <w:rsid w:val="001618C6"/>
    <w:rsid w:val="00167535"/>
    <w:rsid w:val="00175C9C"/>
    <w:rsid w:val="001822C3"/>
    <w:rsid w:val="0019159F"/>
    <w:rsid w:val="0019519E"/>
    <w:rsid w:val="00195CC1"/>
    <w:rsid w:val="001976F2"/>
    <w:rsid w:val="001A088B"/>
    <w:rsid w:val="001A4DE0"/>
    <w:rsid w:val="001B0EA6"/>
    <w:rsid w:val="001C39A9"/>
    <w:rsid w:val="001D323D"/>
    <w:rsid w:val="001E0A30"/>
    <w:rsid w:val="001E22E5"/>
    <w:rsid w:val="002000B9"/>
    <w:rsid w:val="00201574"/>
    <w:rsid w:val="00206273"/>
    <w:rsid w:val="002167D8"/>
    <w:rsid w:val="002200F9"/>
    <w:rsid w:val="0022533B"/>
    <w:rsid w:val="0025193A"/>
    <w:rsid w:val="0025296D"/>
    <w:rsid w:val="00256D9D"/>
    <w:rsid w:val="00265244"/>
    <w:rsid w:val="00267AD2"/>
    <w:rsid w:val="00277D6E"/>
    <w:rsid w:val="00286ABF"/>
    <w:rsid w:val="00292FD7"/>
    <w:rsid w:val="002A66AC"/>
    <w:rsid w:val="002B0203"/>
    <w:rsid w:val="002B13C8"/>
    <w:rsid w:val="002B193F"/>
    <w:rsid w:val="002B57A3"/>
    <w:rsid w:val="002B6652"/>
    <w:rsid w:val="002C3858"/>
    <w:rsid w:val="002C636D"/>
    <w:rsid w:val="002C7D0C"/>
    <w:rsid w:val="002E3FEE"/>
    <w:rsid w:val="002F07D1"/>
    <w:rsid w:val="0030257E"/>
    <w:rsid w:val="0030524A"/>
    <w:rsid w:val="00316288"/>
    <w:rsid w:val="00324615"/>
    <w:rsid w:val="003341E4"/>
    <w:rsid w:val="00335F86"/>
    <w:rsid w:val="00340B51"/>
    <w:rsid w:val="0034299F"/>
    <w:rsid w:val="00344490"/>
    <w:rsid w:val="00344C9B"/>
    <w:rsid w:val="00345D39"/>
    <w:rsid w:val="00347C6D"/>
    <w:rsid w:val="003513DD"/>
    <w:rsid w:val="00360C11"/>
    <w:rsid w:val="003637A0"/>
    <w:rsid w:val="00384CD6"/>
    <w:rsid w:val="00390D2E"/>
    <w:rsid w:val="003A5EAA"/>
    <w:rsid w:val="003B1D74"/>
    <w:rsid w:val="003B64AA"/>
    <w:rsid w:val="003D1782"/>
    <w:rsid w:val="003E5E0F"/>
    <w:rsid w:val="003E6B6A"/>
    <w:rsid w:val="003F6A3A"/>
    <w:rsid w:val="00400D40"/>
    <w:rsid w:val="00404077"/>
    <w:rsid w:val="00410349"/>
    <w:rsid w:val="00412713"/>
    <w:rsid w:val="0041346B"/>
    <w:rsid w:val="00433ABF"/>
    <w:rsid w:val="00434980"/>
    <w:rsid w:val="00442F21"/>
    <w:rsid w:val="00446279"/>
    <w:rsid w:val="004466FE"/>
    <w:rsid w:val="00450653"/>
    <w:rsid w:val="00476EAB"/>
    <w:rsid w:val="004A7EBD"/>
    <w:rsid w:val="004C23CC"/>
    <w:rsid w:val="004C506C"/>
    <w:rsid w:val="004C790F"/>
    <w:rsid w:val="004E5AA1"/>
    <w:rsid w:val="004F3B75"/>
    <w:rsid w:val="00507F97"/>
    <w:rsid w:val="00521FE2"/>
    <w:rsid w:val="005364E5"/>
    <w:rsid w:val="00542729"/>
    <w:rsid w:val="00543D0A"/>
    <w:rsid w:val="00550C2A"/>
    <w:rsid w:val="005634FF"/>
    <w:rsid w:val="00563BF1"/>
    <w:rsid w:val="0056447B"/>
    <w:rsid w:val="00570BDF"/>
    <w:rsid w:val="00587E1F"/>
    <w:rsid w:val="00593B78"/>
    <w:rsid w:val="005B39AF"/>
    <w:rsid w:val="005C7F4D"/>
    <w:rsid w:val="005D70F0"/>
    <w:rsid w:val="005E256A"/>
    <w:rsid w:val="005E3DA3"/>
    <w:rsid w:val="005E4232"/>
    <w:rsid w:val="005F3ECD"/>
    <w:rsid w:val="005F4B51"/>
    <w:rsid w:val="00607243"/>
    <w:rsid w:val="00611C9E"/>
    <w:rsid w:val="00612D74"/>
    <w:rsid w:val="00613A06"/>
    <w:rsid w:val="006172AC"/>
    <w:rsid w:val="006228B0"/>
    <w:rsid w:val="006600B6"/>
    <w:rsid w:val="006619AA"/>
    <w:rsid w:val="0067788B"/>
    <w:rsid w:val="0069096B"/>
    <w:rsid w:val="00690AB1"/>
    <w:rsid w:val="006A7556"/>
    <w:rsid w:val="006B48A6"/>
    <w:rsid w:val="006C0137"/>
    <w:rsid w:val="006C7615"/>
    <w:rsid w:val="006D151B"/>
    <w:rsid w:val="006D2A10"/>
    <w:rsid w:val="006E0C05"/>
    <w:rsid w:val="006E0C1A"/>
    <w:rsid w:val="006E2F23"/>
    <w:rsid w:val="006E3C87"/>
    <w:rsid w:val="006E45D6"/>
    <w:rsid w:val="006E7A41"/>
    <w:rsid w:val="006F0704"/>
    <w:rsid w:val="006F2C6C"/>
    <w:rsid w:val="006F7A52"/>
    <w:rsid w:val="007143F1"/>
    <w:rsid w:val="00716E8E"/>
    <w:rsid w:val="00725497"/>
    <w:rsid w:val="007325EF"/>
    <w:rsid w:val="00747009"/>
    <w:rsid w:val="00752FCD"/>
    <w:rsid w:val="0078118F"/>
    <w:rsid w:val="00783206"/>
    <w:rsid w:val="00790214"/>
    <w:rsid w:val="00791EBE"/>
    <w:rsid w:val="0079325A"/>
    <w:rsid w:val="00796F64"/>
    <w:rsid w:val="007B13AA"/>
    <w:rsid w:val="007C0536"/>
    <w:rsid w:val="007C6CDB"/>
    <w:rsid w:val="007D1731"/>
    <w:rsid w:val="007D3E97"/>
    <w:rsid w:val="007E0DCA"/>
    <w:rsid w:val="007E7F1D"/>
    <w:rsid w:val="007F0F84"/>
    <w:rsid w:val="007F6BB8"/>
    <w:rsid w:val="00800910"/>
    <w:rsid w:val="00802F63"/>
    <w:rsid w:val="00804974"/>
    <w:rsid w:val="008103A6"/>
    <w:rsid w:val="008137E4"/>
    <w:rsid w:val="008140C3"/>
    <w:rsid w:val="00816ACC"/>
    <w:rsid w:val="00825FC9"/>
    <w:rsid w:val="00826645"/>
    <w:rsid w:val="00833215"/>
    <w:rsid w:val="008346CB"/>
    <w:rsid w:val="00865B86"/>
    <w:rsid w:val="00867A5D"/>
    <w:rsid w:val="00881216"/>
    <w:rsid w:val="008912C0"/>
    <w:rsid w:val="00894768"/>
    <w:rsid w:val="00896CA7"/>
    <w:rsid w:val="008A1486"/>
    <w:rsid w:val="008B37B1"/>
    <w:rsid w:val="008B3E6E"/>
    <w:rsid w:val="008B4124"/>
    <w:rsid w:val="008B5760"/>
    <w:rsid w:val="008C5548"/>
    <w:rsid w:val="008D1280"/>
    <w:rsid w:val="008E20B8"/>
    <w:rsid w:val="008E6D3F"/>
    <w:rsid w:val="008F0ACC"/>
    <w:rsid w:val="008F1474"/>
    <w:rsid w:val="00901316"/>
    <w:rsid w:val="00903A9D"/>
    <w:rsid w:val="0090589F"/>
    <w:rsid w:val="00906D75"/>
    <w:rsid w:val="00907917"/>
    <w:rsid w:val="00907A28"/>
    <w:rsid w:val="00914F9D"/>
    <w:rsid w:val="00917210"/>
    <w:rsid w:val="00932F33"/>
    <w:rsid w:val="00934B88"/>
    <w:rsid w:val="00937F04"/>
    <w:rsid w:val="009602F3"/>
    <w:rsid w:val="00960B23"/>
    <w:rsid w:val="00961155"/>
    <w:rsid w:val="0098148D"/>
    <w:rsid w:val="009B5DFA"/>
    <w:rsid w:val="009C3B78"/>
    <w:rsid w:val="009C5CA3"/>
    <w:rsid w:val="009D5243"/>
    <w:rsid w:val="009E4C85"/>
    <w:rsid w:val="00A02C09"/>
    <w:rsid w:val="00A0771D"/>
    <w:rsid w:val="00A30406"/>
    <w:rsid w:val="00A35EE1"/>
    <w:rsid w:val="00A44165"/>
    <w:rsid w:val="00A61815"/>
    <w:rsid w:val="00A62048"/>
    <w:rsid w:val="00A71C77"/>
    <w:rsid w:val="00A820FA"/>
    <w:rsid w:val="00A82F2E"/>
    <w:rsid w:val="00A90478"/>
    <w:rsid w:val="00A96E0E"/>
    <w:rsid w:val="00AA2E86"/>
    <w:rsid w:val="00AA6ABB"/>
    <w:rsid w:val="00AB0081"/>
    <w:rsid w:val="00AC6574"/>
    <w:rsid w:val="00AD695B"/>
    <w:rsid w:val="00B01FF9"/>
    <w:rsid w:val="00B15D7C"/>
    <w:rsid w:val="00B40588"/>
    <w:rsid w:val="00B47DF1"/>
    <w:rsid w:val="00B54D87"/>
    <w:rsid w:val="00B65A08"/>
    <w:rsid w:val="00B75686"/>
    <w:rsid w:val="00B75A55"/>
    <w:rsid w:val="00B86940"/>
    <w:rsid w:val="00B90343"/>
    <w:rsid w:val="00B9592D"/>
    <w:rsid w:val="00B972E7"/>
    <w:rsid w:val="00BA452D"/>
    <w:rsid w:val="00BB2864"/>
    <w:rsid w:val="00BB50D6"/>
    <w:rsid w:val="00BC3133"/>
    <w:rsid w:val="00BC5715"/>
    <w:rsid w:val="00BD74AD"/>
    <w:rsid w:val="00BF3444"/>
    <w:rsid w:val="00BF7294"/>
    <w:rsid w:val="00C05875"/>
    <w:rsid w:val="00C108C1"/>
    <w:rsid w:val="00C121F4"/>
    <w:rsid w:val="00C203FF"/>
    <w:rsid w:val="00C21417"/>
    <w:rsid w:val="00C2441C"/>
    <w:rsid w:val="00C24CF7"/>
    <w:rsid w:val="00C3275A"/>
    <w:rsid w:val="00C36D56"/>
    <w:rsid w:val="00C41160"/>
    <w:rsid w:val="00C415A0"/>
    <w:rsid w:val="00C61225"/>
    <w:rsid w:val="00C7290E"/>
    <w:rsid w:val="00C77760"/>
    <w:rsid w:val="00C8136B"/>
    <w:rsid w:val="00C86C25"/>
    <w:rsid w:val="00C91EE5"/>
    <w:rsid w:val="00CA25AA"/>
    <w:rsid w:val="00CB364C"/>
    <w:rsid w:val="00CC14C3"/>
    <w:rsid w:val="00CC6956"/>
    <w:rsid w:val="00CD57B0"/>
    <w:rsid w:val="00CE0CD2"/>
    <w:rsid w:val="00CE413E"/>
    <w:rsid w:val="00CE683E"/>
    <w:rsid w:val="00CF3737"/>
    <w:rsid w:val="00D027C6"/>
    <w:rsid w:val="00D035BA"/>
    <w:rsid w:val="00D0646A"/>
    <w:rsid w:val="00D15E90"/>
    <w:rsid w:val="00D21689"/>
    <w:rsid w:val="00D27E40"/>
    <w:rsid w:val="00D30ADF"/>
    <w:rsid w:val="00D357E9"/>
    <w:rsid w:val="00D375AE"/>
    <w:rsid w:val="00D4172A"/>
    <w:rsid w:val="00D45C04"/>
    <w:rsid w:val="00D57DA0"/>
    <w:rsid w:val="00D64751"/>
    <w:rsid w:val="00D942A2"/>
    <w:rsid w:val="00DA3094"/>
    <w:rsid w:val="00DA53AB"/>
    <w:rsid w:val="00DC158D"/>
    <w:rsid w:val="00DE14F8"/>
    <w:rsid w:val="00DE495E"/>
    <w:rsid w:val="00DE5FC3"/>
    <w:rsid w:val="00DE7D44"/>
    <w:rsid w:val="00DF39B7"/>
    <w:rsid w:val="00DF5EC8"/>
    <w:rsid w:val="00DF7B22"/>
    <w:rsid w:val="00E02353"/>
    <w:rsid w:val="00E033F2"/>
    <w:rsid w:val="00E07FBB"/>
    <w:rsid w:val="00E24294"/>
    <w:rsid w:val="00E25475"/>
    <w:rsid w:val="00E269F4"/>
    <w:rsid w:val="00E478C8"/>
    <w:rsid w:val="00E66CA7"/>
    <w:rsid w:val="00E72413"/>
    <w:rsid w:val="00E75FF1"/>
    <w:rsid w:val="00E76F9F"/>
    <w:rsid w:val="00E832A8"/>
    <w:rsid w:val="00E94726"/>
    <w:rsid w:val="00E97B52"/>
    <w:rsid w:val="00EA7ECB"/>
    <w:rsid w:val="00EB0E2F"/>
    <w:rsid w:val="00EB2969"/>
    <w:rsid w:val="00EB7C9E"/>
    <w:rsid w:val="00EC1766"/>
    <w:rsid w:val="00ED49E8"/>
    <w:rsid w:val="00ED64BF"/>
    <w:rsid w:val="00EE35F7"/>
    <w:rsid w:val="00EE406D"/>
    <w:rsid w:val="00EE5D1F"/>
    <w:rsid w:val="00EF1F77"/>
    <w:rsid w:val="00F115D9"/>
    <w:rsid w:val="00F532D1"/>
    <w:rsid w:val="00F56EB5"/>
    <w:rsid w:val="00F82B74"/>
    <w:rsid w:val="00F85F60"/>
    <w:rsid w:val="00F9187E"/>
    <w:rsid w:val="00F936F5"/>
    <w:rsid w:val="00F93ED7"/>
    <w:rsid w:val="00F94E5D"/>
    <w:rsid w:val="00FA2DBD"/>
    <w:rsid w:val="00FA59E0"/>
    <w:rsid w:val="00FB47A0"/>
    <w:rsid w:val="00FB589F"/>
    <w:rsid w:val="00FD4F47"/>
    <w:rsid w:val="00FD73AB"/>
    <w:rsid w:val="00FE1193"/>
    <w:rsid w:val="00FF1CC9"/>
    <w:rsid w:val="00FF286C"/>
    <w:rsid w:val="00FF2D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0DFD"/>
  <w15:chartTrackingRefBased/>
  <w15:docId w15:val="{045191D3-C859-4888-AFF7-CB1CD77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2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er 3."/>
    <w:basedOn w:val="Normal"/>
    <w:next w:val="Normal"/>
    <w:link w:val="Heading3Char"/>
    <w:uiPriority w:val="9"/>
    <w:unhideWhenUsed/>
    <w:rsid w:val="002B0203"/>
    <w:pPr>
      <w:keepNext/>
      <w:keepLines/>
      <w:spacing w:before="240" w:after="120"/>
      <w:ind w:left="720"/>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C09"/>
  </w:style>
  <w:style w:type="paragraph" w:styleId="Footer">
    <w:name w:val="footer"/>
    <w:basedOn w:val="Normal"/>
    <w:link w:val="FooterChar"/>
    <w:uiPriority w:val="99"/>
    <w:unhideWhenUsed/>
    <w:rsid w:val="00A02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C09"/>
  </w:style>
  <w:style w:type="character" w:styleId="Hyperlink">
    <w:name w:val="Hyperlink"/>
    <w:basedOn w:val="DefaultParagraphFont"/>
    <w:uiPriority w:val="99"/>
    <w:unhideWhenUsed/>
    <w:rsid w:val="00A02C09"/>
    <w:rPr>
      <w:color w:val="0563C1" w:themeColor="hyperlink"/>
      <w:u w:val="single"/>
    </w:rPr>
  </w:style>
  <w:style w:type="character" w:customStyle="1" w:styleId="Heading1Char">
    <w:name w:val="Heading 1 Char"/>
    <w:basedOn w:val="DefaultParagraphFont"/>
    <w:link w:val="Heading1"/>
    <w:uiPriority w:val="9"/>
    <w:rsid w:val="000A20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209E"/>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er 3. Char"/>
    <w:basedOn w:val="DefaultParagraphFont"/>
    <w:link w:val="Heading3"/>
    <w:uiPriority w:val="9"/>
    <w:rsid w:val="002B0203"/>
    <w:rPr>
      <w:rFonts w:ascii="Arial" w:eastAsiaTheme="majorEastAsia" w:hAnsi="Arial" w:cstheme="majorBidi"/>
      <w:color w:val="1F3763" w:themeColor="accent1" w:themeShade="7F"/>
      <w:sz w:val="24"/>
      <w:szCs w:val="24"/>
    </w:rPr>
  </w:style>
  <w:style w:type="table" w:styleId="TableGrid">
    <w:name w:val="Table Grid"/>
    <w:aliases w:val="Texttabelle"/>
    <w:basedOn w:val="TableNormal"/>
    <w:uiPriority w:val="59"/>
    <w:rsid w:val="000A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209E"/>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6600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00B6"/>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D375AE"/>
    <w:rPr>
      <w:color w:val="605E5C"/>
      <w:shd w:val="clear" w:color="auto" w:fill="E1DFDD"/>
    </w:rPr>
  </w:style>
  <w:style w:type="paragraph" w:styleId="ListParagraph">
    <w:name w:val="List Paragraph"/>
    <w:aliases w:val="CUP_List Paragraph,123 List Paragraph,List Paragraph1,Recommendation,List Paragraph11,List Paragraph2,Colorful List - Accent 12"/>
    <w:basedOn w:val="Normal"/>
    <w:link w:val="ListParagraphChar"/>
    <w:uiPriority w:val="34"/>
    <w:qFormat/>
    <w:rsid w:val="00612D74"/>
    <w:pPr>
      <w:ind w:left="720"/>
      <w:contextualSpacing/>
    </w:pPr>
  </w:style>
  <w:style w:type="paragraph" w:styleId="BalloonText">
    <w:name w:val="Balloon Text"/>
    <w:basedOn w:val="Normal"/>
    <w:link w:val="BalloonTextChar"/>
    <w:uiPriority w:val="99"/>
    <w:semiHidden/>
    <w:unhideWhenUsed/>
    <w:rsid w:val="00783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206"/>
    <w:rPr>
      <w:rFonts w:ascii="Segoe UI" w:hAnsi="Segoe UI" w:cs="Segoe UI"/>
      <w:sz w:val="18"/>
      <w:szCs w:val="18"/>
    </w:rPr>
  </w:style>
  <w:style w:type="paragraph" w:styleId="NoSpacing">
    <w:name w:val="No Spacing"/>
    <w:link w:val="NoSpacingChar"/>
    <w:uiPriority w:val="1"/>
    <w:qFormat/>
    <w:rsid w:val="00752FCD"/>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752FCD"/>
    <w:rPr>
      <w:rFonts w:eastAsiaTheme="minorEastAsia"/>
      <w:lang w:val="en-US" w:eastAsia="zh-CN"/>
    </w:rPr>
  </w:style>
  <w:style w:type="character" w:styleId="PageNumber">
    <w:name w:val="page number"/>
    <w:basedOn w:val="DefaultParagraphFont"/>
    <w:uiPriority w:val="99"/>
    <w:semiHidden/>
    <w:unhideWhenUsed/>
    <w:rsid w:val="00F94E5D"/>
  </w:style>
  <w:style w:type="character" w:styleId="CommentReference">
    <w:name w:val="annotation reference"/>
    <w:basedOn w:val="DefaultParagraphFont"/>
    <w:uiPriority w:val="99"/>
    <w:semiHidden/>
    <w:unhideWhenUsed/>
    <w:rsid w:val="00CA25AA"/>
    <w:rPr>
      <w:sz w:val="16"/>
      <w:szCs w:val="16"/>
    </w:rPr>
  </w:style>
  <w:style w:type="paragraph" w:styleId="CommentText">
    <w:name w:val="annotation text"/>
    <w:basedOn w:val="Normal"/>
    <w:link w:val="CommentTextChar"/>
    <w:uiPriority w:val="99"/>
    <w:unhideWhenUsed/>
    <w:rsid w:val="00CA25AA"/>
    <w:pPr>
      <w:spacing w:line="240" w:lineRule="auto"/>
    </w:pPr>
    <w:rPr>
      <w:sz w:val="20"/>
      <w:szCs w:val="20"/>
    </w:rPr>
  </w:style>
  <w:style w:type="character" w:customStyle="1" w:styleId="CommentTextChar">
    <w:name w:val="Comment Text Char"/>
    <w:basedOn w:val="DefaultParagraphFont"/>
    <w:link w:val="CommentText"/>
    <w:uiPriority w:val="99"/>
    <w:rsid w:val="00CA25AA"/>
    <w:rPr>
      <w:sz w:val="20"/>
      <w:szCs w:val="20"/>
    </w:rPr>
  </w:style>
  <w:style w:type="paragraph" w:styleId="CommentSubject">
    <w:name w:val="annotation subject"/>
    <w:basedOn w:val="CommentText"/>
    <w:next w:val="CommentText"/>
    <w:link w:val="CommentSubjectChar"/>
    <w:uiPriority w:val="99"/>
    <w:semiHidden/>
    <w:unhideWhenUsed/>
    <w:rsid w:val="00CA25AA"/>
    <w:rPr>
      <w:b/>
      <w:bCs/>
    </w:rPr>
  </w:style>
  <w:style w:type="character" w:customStyle="1" w:styleId="CommentSubjectChar">
    <w:name w:val="Comment Subject Char"/>
    <w:basedOn w:val="CommentTextChar"/>
    <w:link w:val="CommentSubject"/>
    <w:uiPriority w:val="99"/>
    <w:semiHidden/>
    <w:rsid w:val="00CA25AA"/>
    <w:rPr>
      <w:b/>
      <w:bCs/>
      <w:sz w:val="20"/>
      <w:szCs w:val="20"/>
    </w:rPr>
  </w:style>
  <w:style w:type="paragraph" w:styleId="Date">
    <w:name w:val="Date"/>
    <w:basedOn w:val="Normal"/>
    <w:next w:val="Normal"/>
    <w:link w:val="DateChar"/>
    <w:uiPriority w:val="99"/>
    <w:semiHidden/>
    <w:unhideWhenUsed/>
    <w:rsid w:val="00FD73AB"/>
  </w:style>
  <w:style w:type="character" w:customStyle="1" w:styleId="DateChar">
    <w:name w:val="Date Char"/>
    <w:basedOn w:val="DefaultParagraphFont"/>
    <w:link w:val="Date"/>
    <w:uiPriority w:val="99"/>
    <w:semiHidden/>
    <w:rsid w:val="00FD73AB"/>
  </w:style>
  <w:style w:type="paragraph" w:customStyle="1" w:styleId="Header1">
    <w:name w:val="Header 1"/>
    <w:basedOn w:val="Heading1"/>
    <w:next w:val="Normal"/>
    <w:rsid w:val="00FD73AB"/>
    <w:rPr>
      <w:rFonts w:ascii="Arial" w:hAnsi="Arial"/>
    </w:rPr>
  </w:style>
  <w:style w:type="paragraph" w:styleId="Caption">
    <w:name w:val="caption"/>
    <w:basedOn w:val="Normal"/>
    <w:next w:val="Normal"/>
    <w:uiPriority w:val="35"/>
    <w:unhideWhenUsed/>
    <w:qFormat/>
    <w:rsid w:val="00FD73AB"/>
    <w:pPr>
      <w:spacing w:after="200" w:line="240" w:lineRule="auto"/>
    </w:pPr>
    <w:rPr>
      <w:i/>
      <w:iCs/>
      <w:color w:val="44546A" w:themeColor="text2"/>
      <w:sz w:val="18"/>
      <w:szCs w:val="18"/>
    </w:rPr>
  </w:style>
  <w:style w:type="paragraph" w:customStyle="1" w:styleId="Header2">
    <w:name w:val="Header 2."/>
    <w:basedOn w:val="Heading1"/>
    <w:rsid w:val="00FD73AB"/>
    <w:pPr>
      <w:numPr>
        <w:numId w:val="1"/>
      </w:numPr>
      <w:spacing w:before="120" w:after="120"/>
      <w:ind w:left="714" w:hanging="357"/>
    </w:pPr>
    <w:rPr>
      <w:rFonts w:ascii="Arial" w:hAnsi="Arial"/>
    </w:rPr>
  </w:style>
  <w:style w:type="character" w:customStyle="1" w:styleId="ListParagraphChar">
    <w:name w:val="List Paragraph Char"/>
    <w:aliases w:val="CUP_List Paragraph Char,123 List Paragraph Char,List Paragraph1 Char,Recommendation Char,List Paragraph11 Char,List Paragraph2 Char,Colorful List - Accent 12 Char"/>
    <w:link w:val="ListParagraph"/>
    <w:uiPriority w:val="34"/>
    <w:locked/>
    <w:rsid w:val="00FD73AB"/>
  </w:style>
  <w:style w:type="character" w:styleId="Strong">
    <w:name w:val="Strong"/>
    <w:basedOn w:val="DefaultParagraphFont"/>
    <w:uiPriority w:val="22"/>
    <w:qFormat/>
    <w:rsid w:val="002B0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507">
      <w:bodyDiv w:val="1"/>
      <w:marLeft w:val="0"/>
      <w:marRight w:val="0"/>
      <w:marTop w:val="0"/>
      <w:marBottom w:val="0"/>
      <w:divBdr>
        <w:top w:val="none" w:sz="0" w:space="0" w:color="auto"/>
        <w:left w:val="none" w:sz="0" w:space="0" w:color="auto"/>
        <w:bottom w:val="none" w:sz="0" w:space="0" w:color="auto"/>
        <w:right w:val="none" w:sz="0" w:space="0" w:color="auto"/>
      </w:divBdr>
    </w:div>
    <w:div w:id="214320686">
      <w:bodyDiv w:val="1"/>
      <w:marLeft w:val="0"/>
      <w:marRight w:val="0"/>
      <w:marTop w:val="0"/>
      <w:marBottom w:val="0"/>
      <w:divBdr>
        <w:top w:val="none" w:sz="0" w:space="0" w:color="auto"/>
        <w:left w:val="none" w:sz="0" w:space="0" w:color="auto"/>
        <w:bottom w:val="none" w:sz="0" w:space="0" w:color="auto"/>
        <w:right w:val="none" w:sz="0" w:space="0" w:color="auto"/>
      </w:divBdr>
    </w:div>
    <w:div w:id="374893214">
      <w:bodyDiv w:val="1"/>
      <w:marLeft w:val="0"/>
      <w:marRight w:val="0"/>
      <w:marTop w:val="0"/>
      <w:marBottom w:val="0"/>
      <w:divBdr>
        <w:top w:val="none" w:sz="0" w:space="0" w:color="auto"/>
        <w:left w:val="none" w:sz="0" w:space="0" w:color="auto"/>
        <w:bottom w:val="none" w:sz="0" w:space="0" w:color="auto"/>
        <w:right w:val="none" w:sz="0" w:space="0" w:color="auto"/>
      </w:divBdr>
    </w:div>
    <w:div w:id="407922533">
      <w:bodyDiv w:val="1"/>
      <w:marLeft w:val="0"/>
      <w:marRight w:val="0"/>
      <w:marTop w:val="0"/>
      <w:marBottom w:val="0"/>
      <w:divBdr>
        <w:top w:val="none" w:sz="0" w:space="0" w:color="auto"/>
        <w:left w:val="none" w:sz="0" w:space="0" w:color="auto"/>
        <w:bottom w:val="none" w:sz="0" w:space="0" w:color="auto"/>
        <w:right w:val="none" w:sz="0" w:space="0" w:color="auto"/>
      </w:divBdr>
      <w:divsChild>
        <w:div w:id="1261646238">
          <w:marLeft w:val="1166"/>
          <w:marRight w:val="0"/>
          <w:marTop w:val="0"/>
          <w:marBottom w:val="0"/>
          <w:divBdr>
            <w:top w:val="none" w:sz="0" w:space="0" w:color="auto"/>
            <w:left w:val="none" w:sz="0" w:space="0" w:color="auto"/>
            <w:bottom w:val="none" w:sz="0" w:space="0" w:color="auto"/>
            <w:right w:val="none" w:sz="0" w:space="0" w:color="auto"/>
          </w:divBdr>
        </w:div>
        <w:div w:id="67770286">
          <w:marLeft w:val="1166"/>
          <w:marRight w:val="0"/>
          <w:marTop w:val="0"/>
          <w:marBottom w:val="0"/>
          <w:divBdr>
            <w:top w:val="none" w:sz="0" w:space="0" w:color="auto"/>
            <w:left w:val="none" w:sz="0" w:space="0" w:color="auto"/>
            <w:bottom w:val="none" w:sz="0" w:space="0" w:color="auto"/>
            <w:right w:val="none" w:sz="0" w:space="0" w:color="auto"/>
          </w:divBdr>
        </w:div>
        <w:div w:id="1318191625">
          <w:marLeft w:val="1166"/>
          <w:marRight w:val="0"/>
          <w:marTop w:val="0"/>
          <w:marBottom w:val="0"/>
          <w:divBdr>
            <w:top w:val="none" w:sz="0" w:space="0" w:color="auto"/>
            <w:left w:val="none" w:sz="0" w:space="0" w:color="auto"/>
            <w:bottom w:val="none" w:sz="0" w:space="0" w:color="auto"/>
            <w:right w:val="none" w:sz="0" w:space="0" w:color="auto"/>
          </w:divBdr>
        </w:div>
        <w:div w:id="465702524">
          <w:marLeft w:val="1166"/>
          <w:marRight w:val="0"/>
          <w:marTop w:val="0"/>
          <w:marBottom w:val="0"/>
          <w:divBdr>
            <w:top w:val="none" w:sz="0" w:space="0" w:color="auto"/>
            <w:left w:val="none" w:sz="0" w:space="0" w:color="auto"/>
            <w:bottom w:val="none" w:sz="0" w:space="0" w:color="auto"/>
            <w:right w:val="none" w:sz="0" w:space="0" w:color="auto"/>
          </w:divBdr>
        </w:div>
        <w:div w:id="402409808">
          <w:marLeft w:val="1166"/>
          <w:marRight w:val="0"/>
          <w:marTop w:val="0"/>
          <w:marBottom w:val="0"/>
          <w:divBdr>
            <w:top w:val="none" w:sz="0" w:space="0" w:color="auto"/>
            <w:left w:val="none" w:sz="0" w:space="0" w:color="auto"/>
            <w:bottom w:val="none" w:sz="0" w:space="0" w:color="auto"/>
            <w:right w:val="none" w:sz="0" w:space="0" w:color="auto"/>
          </w:divBdr>
        </w:div>
        <w:div w:id="1181890109">
          <w:marLeft w:val="1166"/>
          <w:marRight w:val="0"/>
          <w:marTop w:val="0"/>
          <w:marBottom w:val="0"/>
          <w:divBdr>
            <w:top w:val="none" w:sz="0" w:space="0" w:color="auto"/>
            <w:left w:val="none" w:sz="0" w:space="0" w:color="auto"/>
            <w:bottom w:val="none" w:sz="0" w:space="0" w:color="auto"/>
            <w:right w:val="none" w:sz="0" w:space="0" w:color="auto"/>
          </w:divBdr>
        </w:div>
        <w:div w:id="1316839114">
          <w:marLeft w:val="1166"/>
          <w:marRight w:val="0"/>
          <w:marTop w:val="0"/>
          <w:marBottom w:val="0"/>
          <w:divBdr>
            <w:top w:val="none" w:sz="0" w:space="0" w:color="auto"/>
            <w:left w:val="none" w:sz="0" w:space="0" w:color="auto"/>
            <w:bottom w:val="none" w:sz="0" w:space="0" w:color="auto"/>
            <w:right w:val="none" w:sz="0" w:space="0" w:color="auto"/>
          </w:divBdr>
        </w:div>
        <w:div w:id="2145615556">
          <w:marLeft w:val="1166"/>
          <w:marRight w:val="0"/>
          <w:marTop w:val="0"/>
          <w:marBottom w:val="0"/>
          <w:divBdr>
            <w:top w:val="none" w:sz="0" w:space="0" w:color="auto"/>
            <w:left w:val="none" w:sz="0" w:space="0" w:color="auto"/>
            <w:bottom w:val="none" w:sz="0" w:space="0" w:color="auto"/>
            <w:right w:val="none" w:sz="0" w:space="0" w:color="auto"/>
          </w:divBdr>
        </w:div>
        <w:div w:id="1430660154">
          <w:marLeft w:val="1166"/>
          <w:marRight w:val="0"/>
          <w:marTop w:val="0"/>
          <w:marBottom w:val="0"/>
          <w:divBdr>
            <w:top w:val="none" w:sz="0" w:space="0" w:color="auto"/>
            <w:left w:val="none" w:sz="0" w:space="0" w:color="auto"/>
            <w:bottom w:val="none" w:sz="0" w:space="0" w:color="auto"/>
            <w:right w:val="none" w:sz="0" w:space="0" w:color="auto"/>
          </w:divBdr>
        </w:div>
        <w:div w:id="544214800">
          <w:marLeft w:val="1166"/>
          <w:marRight w:val="0"/>
          <w:marTop w:val="0"/>
          <w:marBottom w:val="0"/>
          <w:divBdr>
            <w:top w:val="none" w:sz="0" w:space="0" w:color="auto"/>
            <w:left w:val="none" w:sz="0" w:space="0" w:color="auto"/>
            <w:bottom w:val="none" w:sz="0" w:space="0" w:color="auto"/>
            <w:right w:val="none" w:sz="0" w:space="0" w:color="auto"/>
          </w:divBdr>
        </w:div>
        <w:div w:id="1074356210">
          <w:marLeft w:val="1166"/>
          <w:marRight w:val="0"/>
          <w:marTop w:val="0"/>
          <w:marBottom w:val="0"/>
          <w:divBdr>
            <w:top w:val="none" w:sz="0" w:space="0" w:color="auto"/>
            <w:left w:val="none" w:sz="0" w:space="0" w:color="auto"/>
            <w:bottom w:val="none" w:sz="0" w:space="0" w:color="auto"/>
            <w:right w:val="none" w:sz="0" w:space="0" w:color="auto"/>
          </w:divBdr>
        </w:div>
        <w:div w:id="1285771705">
          <w:marLeft w:val="1166"/>
          <w:marRight w:val="0"/>
          <w:marTop w:val="0"/>
          <w:marBottom w:val="0"/>
          <w:divBdr>
            <w:top w:val="none" w:sz="0" w:space="0" w:color="auto"/>
            <w:left w:val="none" w:sz="0" w:space="0" w:color="auto"/>
            <w:bottom w:val="none" w:sz="0" w:space="0" w:color="auto"/>
            <w:right w:val="none" w:sz="0" w:space="0" w:color="auto"/>
          </w:divBdr>
        </w:div>
      </w:divsChild>
    </w:div>
    <w:div w:id="450442158">
      <w:bodyDiv w:val="1"/>
      <w:marLeft w:val="0"/>
      <w:marRight w:val="0"/>
      <w:marTop w:val="0"/>
      <w:marBottom w:val="0"/>
      <w:divBdr>
        <w:top w:val="none" w:sz="0" w:space="0" w:color="auto"/>
        <w:left w:val="none" w:sz="0" w:space="0" w:color="auto"/>
        <w:bottom w:val="none" w:sz="0" w:space="0" w:color="auto"/>
        <w:right w:val="none" w:sz="0" w:space="0" w:color="auto"/>
      </w:divBdr>
    </w:div>
    <w:div w:id="549346815">
      <w:bodyDiv w:val="1"/>
      <w:marLeft w:val="0"/>
      <w:marRight w:val="0"/>
      <w:marTop w:val="0"/>
      <w:marBottom w:val="0"/>
      <w:divBdr>
        <w:top w:val="none" w:sz="0" w:space="0" w:color="auto"/>
        <w:left w:val="none" w:sz="0" w:space="0" w:color="auto"/>
        <w:bottom w:val="none" w:sz="0" w:space="0" w:color="auto"/>
        <w:right w:val="none" w:sz="0" w:space="0" w:color="auto"/>
      </w:divBdr>
    </w:div>
    <w:div w:id="641009402">
      <w:bodyDiv w:val="1"/>
      <w:marLeft w:val="0"/>
      <w:marRight w:val="0"/>
      <w:marTop w:val="0"/>
      <w:marBottom w:val="0"/>
      <w:divBdr>
        <w:top w:val="none" w:sz="0" w:space="0" w:color="auto"/>
        <w:left w:val="none" w:sz="0" w:space="0" w:color="auto"/>
        <w:bottom w:val="none" w:sz="0" w:space="0" w:color="auto"/>
        <w:right w:val="none" w:sz="0" w:space="0" w:color="auto"/>
      </w:divBdr>
    </w:div>
    <w:div w:id="685402231">
      <w:bodyDiv w:val="1"/>
      <w:marLeft w:val="0"/>
      <w:marRight w:val="0"/>
      <w:marTop w:val="0"/>
      <w:marBottom w:val="0"/>
      <w:divBdr>
        <w:top w:val="none" w:sz="0" w:space="0" w:color="auto"/>
        <w:left w:val="none" w:sz="0" w:space="0" w:color="auto"/>
        <w:bottom w:val="none" w:sz="0" w:space="0" w:color="auto"/>
        <w:right w:val="none" w:sz="0" w:space="0" w:color="auto"/>
      </w:divBdr>
    </w:div>
    <w:div w:id="688599975">
      <w:bodyDiv w:val="1"/>
      <w:marLeft w:val="0"/>
      <w:marRight w:val="0"/>
      <w:marTop w:val="0"/>
      <w:marBottom w:val="0"/>
      <w:divBdr>
        <w:top w:val="none" w:sz="0" w:space="0" w:color="auto"/>
        <w:left w:val="none" w:sz="0" w:space="0" w:color="auto"/>
        <w:bottom w:val="none" w:sz="0" w:space="0" w:color="auto"/>
        <w:right w:val="none" w:sz="0" w:space="0" w:color="auto"/>
      </w:divBdr>
    </w:div>
    <w:div w:id="712970787">
      <w:bodyDiv w:val="1"/>
      <w:marLeft w:val="0"/>
      <w:marRight w:val="0"/>
      <w:marTop w:val="0"/>
      <w:marBottom w:val="0"/>
      <w:divBdr>
        <w:top w:val="none" w:sz="0" w:space="0" w:color="auto"/>
        <w:left w:val="none" w:sz="0" w:space="0" w:color="auto"/>
        <w:bottom w:val="none" w:sz="0" w:space="0" w:color="auto"/>
        <w:right w:val="none" w:sz="0" w:space="0" w:color="auto"/>
      </w:divBdr>
    </w:div>
    <w:div w:id="853306540">
      <w:bodyDiv w:val="1"/>
      <w:marLeft w:val="0"/>
      <w:marRight w:val="0"/>
      <w:marTop w:val="0"/>
      <w:marBottom w:val="0"/>
      <w:divBdr>
        <w:top w:val="none" w:sz="0" w:space="0" w:color="auto"/>
        <w:left w:val="none" w:sz="0" w:space="0" w:color="auto"/>
        <w:bottom w:val="none" w:sz="0" w:space="0" w:color="auto"/>
        <w:right w:val="none" w:sz="0" w:space="0" w:color="auto"/>
      </w:divBdr>
    </w:div>
    <w:div w:id="859392072">
      <w:bodyDiv w:val="1"/>
      <w:marLeft w:val="0"/>
      <w:marRight w:val="0"/>
      <w:marTop w:val="0"/>
      <w:marBottom w:val="0"/>
      <w:divBdr>
        <w:top w:val="none" w:sz="0" w:space="0" w:color="auto"/>
        <w:left w:val="none" w:sz="0" w:space="0" w:color="auto"/>
        <w:bottom w:val="none" w:sz="0" w:space="0" w:color="auto"/>
        <w:right w:val="none" w:sz="0" w:space="0" w:color="auto"/>
      </w:divBdr>
    </w:div>
    <w:div w:id="897285622">
      <w:bodyDiv w:val="1"/>
      <w:marLeft w:val="0"/>
      <w:marRight w:val="0"/>
      <w:marTop w:val="0"/>
      <w:marBottom w:val="0"/>
      <w:divBdr>
        <w:top w:val="none" w:sz="0" w:space="0" w:color="auto"/>
        <w:left w:val="none" w:sz="0" w:space="0" w:color="auto"/>
        <w:bottom w:val="none" w:sz="0" w:space="0" w:color="auto"/>
        <w:right w:val="none" w:sz="0" w:space="0" w:color="auto"/>
      </w:divBdr>
    </w:div>
    <w:div w:id="907155113">
      <w:bodyDiv w:val="1"/>
      <w:marLeft w:val="0"/>
      <w:marRight w:val="0"/>
      <w:marTop w:val="0"/>
      <w:marBottom w:val="0"/>
      <w:divBdr>
        <w:top w:val="none" w:sz="0" w:space="0" w:color="auto"/>
        <w:left w:val="none" w:sz="0" w:space="0" w:color="auto"/>
        <w:bottom w:val="none" w:sz="0" w:space="0" w:color="auto"/>
        <w:right w:val="none" w:sz="0" w:space="0" w:color="auto"/>
      </w:divBdr>
    </w:div>
    <w:div w:id="968558078">
      <w:bodyDiv w:val="1"/>
      <w:marLeft w:val="0"/>
      <w:marRight w:val="0"/>
      <w:marTop w:val="0"/>
      <w:marBottom w:val="0"/>
      <w:divBdr>
        <w:top w:val="none" w:sz="0" w:space="0" w:color="auto"/>
        <w:left w:val="none" w:sz="0" w:space="0" w:color="auto"/>
        <w:bottom w:val="none" w:sz="0" w:space="0" w:color="auto"/>
        <w:right w:val="none" w:sz="0" w:space="0" w:color="auto"/>
      </w:divBdr>
    </w:div>
    <w:div w:id="1110972410">
      <w:bodyDiv w:val="1"/>
      <w:marLeft w:val="0"/>
      <w:marRight w:val="0"/>
      <w:marTop w:val="0"/>
      <w:marBottom w:val="0"/>
      <w:divBdr>
        <w:top w:val="none" w:sz="0" w:space="0" w:color="auto"/>
        <w:left w:val="none" w:sz="0" w:space="0" w:color="auto"/>
        <w:bottom w:val="none" w:sz="0" w:space="0" w:color="auto"/>
        <w:right w:val="none" w:sz="0" w:space="0" w:color="auto"/>
      </w:divBdr>
    </w:div>
    <w:div w:id="1125778003">
      <w:bodyDiv w:val="1"/>
      <w:marLeft w:val="0"/>
      <w:marRight w:val="0"/>
      <w:marTop w:val="0"/>
      <w:marBottom w:val="0"/>
      <w:divBdr>
        <w:top w:val="none" w:sz="0" w:space="0" w:color="auto"/>
        <w:left w:val="none" w:sz="0" w:space="0" w:color="auto"/>
        <w:bottom w:val="none" w:sz="0" w:space="0" w:color="auto"/>
        <w:right w:val="none" w:sz="0" w:space="0" w:color="auto"/>
      </w:divBdr>
    </w:div>
    <w:div w:id="1131245396">
      <w:bodyDiv w:val="1"/>
      <w:marLeft w:val="0"/>
      <w:marRight w:val="0"/>
      <w:marTop w:val="0"/>
      <w:marBottom w:val="0"/>
      <w:divBdr>
        <w:top w:val="none" w:sz="0" w:space="0" w:color="auto"/>
        <w:left w:val="none" w:sz="0" w:space="0" w:color="auto"/>
        <w:bottom w:val="none" w:sz="0" w:space="0" w:color="auto"/>
        <w:right w:val="none" w:sz="0" w:space="0" w:color="auto"/>
      </w:divBdr>
    </w:div>
    <w:div w:id="1225094987">
      <w:bodyDiv w:val="1"/>
      <w:marLeft w:val="0"/>
      <w:marRight w:val="0"/>
      <w:marTop w:val="0"/>
      <w:marBottom w:val="0"/>
      <w:divBdr>
        <w:top w:val="none" w:sz="0" w:space="0" w:color="auto"/>
        <w:left w:val="none" w:sz="0" w:space="0" w:color="auto"/>
        <w:bottom w:val="none" w:sz="0" w:space="0" w:color="auto"/>
        <w:right w:val="none" w:sz="0" w:space="0" w:color="auto"/>
      </w:divBdr>
    </w:div>
    <w:div w:id="1278214394">
      <w:bodyDiv w:val="1"/>
      <w:marLeft w:val="0"/>
      <w:marRight w:val="0"/>
      <w:marTop w:val="0"/>
      <w:marBottom w:val="0"/>
      <w:divBdr>
        <w:top w:val="none" w:sz="0" w:space="0" w:color="auto"/>
        <w:left w:val="none" w:sz="0" w:space="0" w:color="auto"/>
        <w:bottom w:val="none" w:sz="0" w:space="0" w:color="auto"/>
        <w:right w:val="none" w:sz="0" w:space="0" w:color="auto"/>
      </w:divBdr>
    </w:div>
    <w:div w:id="1283030588">
      <w:bodyDiv w:val="1"/>
      <w:marLeft w:val="0"/>
      <w:marRight w:val="0"/>
      <w:marTop w:val="0"/>
      <w:marBottom w:val="0"/>
      <w:divBdr>
        <w:top w:val="none" w:sz="0" w:space="0" w:color="auto"/>
        <w:left w:val="none" w:sz="0" w:space="0" w:color="auto"/>
        <w:bottom w:val="none" w:sz="0" w:space="0" w:color="auto"/>
        <w:right w:val="none" w:sz="0" w:space="0" w:color="auto"/>
      </w:divBdr>
    </w:div>
    <w:div w:id="1421298209">
      <w:bodyDiv w:val="1"/>
      <w:marLeft w:val="0"/>
      <w:marRight w:val="0"/>
      <w:marTop w:val="0"/>
      <w:marBottom w:val="0"/>
      <w:divBdr>
        <w:top w:val="none" w:sz="0" w:space="0" w:color="auto"/>
        <w:left w:val="none" w:sz="0" w:space="0" w:color="auto"/>
        <w:bottom w:val="none" w:sz="0" w:space="0" w:color="auto"/>
        <w:right w:val="none" w:sz="0" w:space="0" w:color="auto"/>
      </w:divBdr>
    </w:div>
    <w:div w:id="1424767339">
      <w:bodyDiv w:val="1"/>
      <w:marLeft w:val="0"/>
      <w:marRight w:val="0"/>
      <w:marTop w:val="0"/>
      <w:marBottom w:val="0"/>
      <w:divBdr>
        <w:top w:val="none" w:sz="0" w:space="0" w:color="auto"/>
        <w:left w:val="none" w:sz="0" w:space="0" w:color="auto"/>
        <w:bottom w:val="none" w:sz="0" w:space="0" w:color="auto"/>
        <w:right w:val="none" w:sz="0" w:space="0" w:color="auto"/>
      </w:divBdr>
    </w:div>
    <w:div w:id="1485512154">
      <w:bodyDiv w:val="1"/>
      <w:marLeft w:val="0"/>
      <w:marRight w:val="0"/>
      <w:marTop w:val="0"/>
      <w:marBottom w:val="0"/>
      <w:divBdr>
        <w:top w:val="none" w:sz="0" w:space="0" w:color="auto"/>
        <w:left w:val="none" w:sz="0" w:space="0" w:color="auto"/>
        <w:bottom w:val="none" w:sz="0" w:space="0" w:color="auto"/>
        <w:right w:val="none" w:sz="0" w:space="0" w:color="auto"/>
      </w:divBdr>
    </w:div>
    <w:div w:id="1527013324">
      <w:bodyDiv w:val="1"/>
      <w:marLeft w:val="0"/>
      <w:marRight w:val="0"/>
      <w:marTop w:val="0"/>
      <w:marBottom w:val="0"/>
      <w:divBdr>
        <w:top w:val="none" w:sz="0" w:space="0" w:color="auto"/>
        <w:left w:val="none" w:sz="0" w:space="0" w:color="auto"/>
        <w:bottom w:val="none" w:sz="0" w:space="0" w:color="auto"/>
        <w:right w:val="none" w:sz="0" w:space="0" w:color="auto"/>
      </w:divBdr>
    </w:div>
    <w:div w:id="1725444709">
      <w:bodyDiv w:val="1"/>
      <w:marLeft w:val="0"/>
      <w:marRight w:val="0"/>
      <w:marTop w:val="0"/>
      <w:marBottom w:val="0"/>
      <w:divBdr>
        <w:top w:val="none" w:sz="0" w:space="0" w:color="auto"/>
        <w:left w:val="none" w:sz="0" w:space="0" w:color="auto"/>
        <w:bottom w:val="none" w:sz="0" w:space="0" w:color="auto"/>
        <w:right w:val="none" w:sz="0" w:space="0" w:color="auto"/>
      </w:divBdr>
    </w:div>
    <w:div w:id="1755086819">
      <w:bodyDiv w:val="1"/>
      <w:marLeft w:val="0"/>
      <w:marRight w:val="0"/>
      <w:marTop w:val="0"/>
      <w:marBottom w:val="0"/>
      <w:divBdr>
        <w:top w:val="none" w:sz="0" w:space="0" w:color="auto"/>
        <w:left w:val="none" w:sz="0" w:space="0" w:color="auto"/>
        <w:bottom w:val="none" w:sz="0" w:space="0" w:color="auto"/>
        <w:right w:val="none" w:sz="0" w:space="0" w:color="auto"/>
      </w:divBdr>
    </w:div>
    <w:div w:id="1840391394">
      <w:bodyDiv w:val="1"/>
      <w:marLeft w:val="0"/>
      <w:marRight w:val="0"/>
      <w:marTop w:val="0"/>
      <w:marBottom w:val="0"/>
      <w:divBdr>
        <w:top w:val="none" w:sz="0" w:space="0" w:color="auto"/>
        <w:left w:val="none" w:sz="0" w:space="0" w:color="auto"/>
        <w:bottom w:val="none" w:sz="0" w:space="0" w:color="auto"/>
        <w:right w:val="none" w:sz="0" w:space="0" w:color="auto"/>
      </w:divBdr>
    </w:div>
    <w:div w:id="1913856990">
      <w:bodyDiv w:val="1"/>
      <w:marLeft w:val="0"/>
      <w:marRight w:val="0"/>
      <w:marTop w:val="0"/>
      <w:marBottom w:val="0"/>
      <w:divBdr>
        <w:top w:val="none" w:sz="0" w:space="0" w:color="auto"/>
        <w:left w:val="none" w:sz="0" w:space="0" w:color="auto"/>
        <w:bottom w:val="none" w:sz="0" w:space="0" w:color="auto"/>
        <w:right w:val="none" w:sz="0" w:space="0" w:color="auto"/>
      </w:divBdr>
    </w:div>
    <w:div w:id="2021349163">
      <w:bodyDiv w:val="1"/>
      <w:marLeft w:val="0"/>
      <w:marRight w:val="0"/>
      <w:marTop w:val="0"/>
      <w:marBottom w:val="0"/>
      <w:divBdr>
        <w:top w:val="none" w:sz="0" w:space="0" w:color="auto"/>
        <w:left w:val="none" w:sz="0" w:space="0" w:color="auto"/>
        <w:bottom w:val="none" w:sz="0" w:space="0" w:color="auto"/>
        <w:right w:val="none" w:sz="0" w:space="0" w:color="auto"/>
      </w:divBdr>
    </w:div>
    <w:div w:id="20965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keytraceability.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ocuments\Custom%20Office%20Templates\Key%20Traceabil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Fil13</b:Tag>
    <b:SourceType>JournalArticle</b:SourceType>
    <b:Guid>{3500582C-B18C-4196-92F1-D54E25F9B3A6}</b:Guid>
    <b:Title>Looking behind the curtain: quantifying massive shark mortality in fish aggregating devices</b:Title>
    <b:JournalName>Frontiers in Ecology and the Environment</b:JournalName>
    <b:Year>2013</b:Year>
    <b:Pages>291-296</b:Pages>
    <b:Volume>11</b:Volume>
    <b:Issue>6</b:Issue>
    <b:Author>
      <b:Author>
        <b:NameList>
          <b:Person>
            <b:Last>Filmater</b:Last>
            <b:Middle>David</b:Middle>
            <b:First>John</b:First>
          </b:Person>
          <b:Person>
            <b:Last>Capello</b:Last>
            <b:First>Manuela</b:First>
          </b:Person>
          <b:Person>
            <b:Last>Deneubourg</b:Last>
            <b:First>Jean-Louis</b:First>
          </b:Person>
          <b:Person>
            <b:Last>Cowley</b:Last>
            <b:Middle>Denfer</b:Middle>
            <b:First>Paul</b:First>
          </b:Person>
          <b:Person>
            <b:Last>Dagorn</b:Last>
            <b:First>Laurent</b:First>
          </b:Person>
        </b:NameList>
      </b:Author>
    </b:Author>
    <b:RefOrder>1</b:RefOrder>
  </b:Source>
</b:Sources>
</file>

<file path=customXml/itemProps1.xml><?xml version="1.0" encoding="utf-8"?>
<ds:datastoreItem xmlns:ds="http://schemas.openxmlformats.org/officeDocument/2006/customXml" ds:itemID="{0B8F1214-0651-463A-9C54-1C36FE06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 Traceability</Template>
  <TotalTime>0</TotalTime>
  <Pages>1</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Fishery Progress six-month update for the Pacific Ocean longline (Liancheng) Fishery Improvement Project</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Fishery Progress six-month update for the Pacific Ocean longline (Liancheng) Fishery Improvement Project</dc:title>
  <dc:subject/>
  <dc:creator>Tom</dc:creator>
  <cp:keywords/>
  <dc:description/>
  <cp:lastModifiedBy>Tom Evans</cp:lastModifiedBy>
  <cp:revision>3</cp:revision>
  <dcterms:created xsi:type="dcterms:W3CDTF">2024-12-06T09:27:00Z</dcterms:created>
  <dcterms:modified xsi:type="dcterms:W3CDTF">2025-06-11T15:14:00Z</dcterms:modified>
</cp:coreProperties>
</file>