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F60B" w14:textId="77777777" w:rsidR="000B0497" w:rsidRDefault="000B0497"/>
    <w:p w14:paraId="74CF7F73" w14:textId="38BFF568" w:rsidR="000B0497" w:rsidRDefault="000B0497">
      <w:pPr>
        <w:rPr>
          <w:b/>
          <w:bCs/>
        </w:rPr>
      </w:pPr>
      <w:r>
        <w:rPr>
          <w:b/>
          <w:bCs/>
        </w:rPr>
        <w:t xml:space="preserve">PROPUESTA DE ADOPCIÓN DE </w:t>
      </w:r>
      <w:r w:rsidR="00550ED0">
        <w:rPr>
          <w:b/>
          <w:bCs/>
        </w:rPr>
        <w:t>MEDIDAS</w:t>
      </w:r>
      <w:r>
        <w:rPr>
          <w:b/>
          <w:bCs/>
        </w:rPr>
        <w:t xml:space="preserve"> PARA EVITAR LA SOBREPESCA DE CRECIMIENTO </w:t>
      </w:r>
      <w:r w:rsidR="00550ED0">
        <w:rPr>
          <w:b/>
          <w:bCs/>
        </w:rPr>
        <w:t xml:space="preserve">Y LA SOBREPESCA DE RECLUTAMIENTO </w:t>
      </w:r>
      <w:r>
        <w:rPr>
          <w:b/>
          <w:bCs/>
        </w:rPr>
        <w:t>EN LA PESQUERÍA DE LANGOSTA</w:t>
      </w:r>
      <w:r w:rsidR="00C62032">
        <w:rPr>
          <w:b/>
          <w:bCs/>
        </w:rPr>
        <w:t xml:space="preserve"> DE HONDURAS</w:t>
      </w:r>
    </w:p>
    <w:p w14:paraId="140ED49C" w14:textId="24347C83" w:rsidR="000B0497" w:rsidRPr="00550ED0" w:rsidRDefault="00550ED0">
      <w:pPr>
        <w:rPr>
          <w:sz w:val="22"/>
          <w:szCs w:val="22"/>
        </w:rPr>
      </w:pPr>
      <w:r w:rsidRPr="00550ED0">
        <w:rPr>
          <w:sz w:val="22"/>
          <w:szCs w:val="22"/>
        </w:rPr>
        <w:t>Dentro de las limitaciones de datos existentes en la pesquería de langosta, un esfuerzo reciente por digitalizar datos de producción por categoría comercial provee la posibilidad de definir algunas medidas que eviten la sobrepesca de crecimiento y la de reclutamiento.</w:t>
      </w:r>
    </w:p>
    <w:p w14:paraId="749AAA6C" w14:textId="03F8306B" w:rsidR="00550ED0" w:rsidRPr="00550ED0" w:rsidRDefault="00550ED0">
      <w:pPr>
        <w:rPr>
          <w:sz w:val="22"/>
          <w:szCs w:val="22"/>
          <w:u w:val="single"/>
        </w:rPr>
      </w:pPr>
      <w:r w:rsidRPr="00550ED0">
        <w:rPr>
          <w:i/>
          <w:iCs/>
          <w:sz w:val="22"/>
          <w:szCs w:val="22"/>
          <w:u w:val="single"/>
        </w:rPr>
        <w:t>Sobrepesca de crecimiento:</w:t>
      </w:r>
    </w:p>
    <w:p w14:paraId="5F9B1CB4" w14:textId="2B38EA05" w:rsidR="00550ED0" w:rsidRDefault="00550ED0">
      <w:pPr>
        <w:rPr>
          <w:sz w:val="22"/>
          <w:szCs w:val="22"/>
        </w:rPr>
      </w:pPr>
      <w:r w:rsidRPr="00550ED0">
        <w:rPr>
          <w:sz w:val="22"/>
          <w:szCs w:val="22"/>
        </w:rPr>
        <w:t>Se produce cuando se capturan demasiados ejemplares juveniles</w:t>
      </w:r>
      <w:r>
        <w:rPr>
          <w:sz w:val="22"/>
          <w:szCs w:val="22"/>
        </w:rPr>
        <w:t xml:space="preserve"> y se impide que lleguen a reproducirse al menos una vez.</w:t>
      </w:r>
    </w:p>
    <w:p w14:paraId="61E4857C" w14:textId="586C435F" w:rsidR="00550ED0" w:rsidRPr="00550ED0" w:rsidRDefault="00550ED0" w:rsidP="00550ED0">
      <w:pPr>
        <w:rPr>
          <w:sz w:val="22"/>
          <w:szCs w:val="22"/>
          <w:u w:val="single"/>
        </w:rPr>
      </w:pPr>
      <w:r w:rsidRPr="00550ED0">
        <w:rPr>
          <w:i/>
          <w:iCs/>
          <w:sz w:val="22"/>
          <w:szCs w:val="22"/>
          <w:u w:val="single"/>
        </w:rPr>
        <w:t xml:space="preserve">Sobrepesca de </w:t>
      </w:r>
      <w:r>
        <w:rPr>
          <w:i/>
          <w:iCs/>
          <w:sz w:val="22"/>
          <w:szCs w:val="22"/>
          <w:u w:val="single"/>
        </w:rPr>
        <w:t>recluta</w:t>
      </w:r>
      <w:r w:rsidRPr="00550ED0">
        <w:rPr>
          <w:i/>
          <w:iCs/>
          <w:sz w:val="22"/>
          <w:szCs w:val="22"/>
          <w:u w:val="single"/>
        </w:rPr>
        <w:t>miento:</w:t>
      </w:r>
    </w:p>
    <w:p w14:paraId="16E1DFCF" w14:textId="29C31D5B" w:rsidR="00550ED0" w:rsidRDefault="00550ED0" w:rsidP="00550ED0">
      <w:pPr>
        <w:rPr>
          <w:sz w:val="22"/>
          <w:szCs w:val="22"/>
        </w:rPr>
      </w:pPr>
      <w:r w:rsidRPr="00550ED0">
        <w:rPr>
          <w:sz w:val="22"/>
          <w:szCs w:val="22"/>
        </w:rPr>
        <w:t xml:space="preserve">Se produce cuando se capturan demasiados ejemplares </w:t>
      </w:r>
      <w:r>
        <w:rPr>
          <w:sz w:val="22"/>
          <w:szCs w:val="22"/>
        </w:rPr>
        <w:t>reproductores y se compromete la fuerza del reclutamiento de la siguiente cohorte.</w:t>
      </w:r>
    </w:p>
    <w:p w14:paraId="5AD4259B" w14:textId="77777777" w:rsidR="00550ED0" w:rsidRDefault="00550ED0" w:rsidP="00550ED0">
      <w:pPr>
        <w:rPr>
          <w:sz w:val="22"/>
          <w:szCs w:val="22"/>
        </w:rPr>
      </w:pPr>
    </w:p>
    <w:p w14:paraId="7A531AD6" w14:textId="7EFE320A" w:rsidR="00550ED0" w:rsidRDefault="009B0CDD">
      <w:pPr>
        <w:rPr>
          <w:sz w:val="22"/>
          <w:szCs w:val="22"/>
          <w:u w:val="single"/>
        </w:rPr>
      </w:pPr>
      <w:r>
        <w:rPr>
          <w:sz w:val="22"/>
          <w:szCs w:val="22"/>
          <w:u w:val="single"/>
        </w:rPr>
        <w:t>Datos disponibles:</w:t>
      </w:r>
    </w:p>
    <w:p w14:paraId="42CA9F82" w14:textId="367EB94A" w:rsidR="009B0CDD" w:rsidRPr="00541F9B" w:rsidRDefault="00541F9B">
      <w:pPr>
        <w:rPr>
          <w:sz w:val="22"/>
          <w:szCs w:val="22"/>
        </w:rPr>
      </w:pPr>
      <w:r>
        <w:rPr>
          <w:sz w:val="22"/>
          <w:szCs w:val="22"/>
        </w:rPr>
        <w:t>A partir de</w:t>
      </w:r>
      <w:r w:rsidR="009B0CDD" w:rsidRPr="00541F9B">
        <w:rPr>
          <w:sz w:val="22"/>
          <w:szCs w:val="22"/>
        </w:rPr>
        <w:t xml:space="preserve"> la digitalización de datos</w:t>
      </w:r>
      <w:r w:rsidRPr="00541F9B">
        <w:rPr>
          <w:sz w:val="22"/>
          <w:szCs w:val="22"/>
        </w:rPr>
        <w:t xml:space="preserve"> de la pesquería, y depurados los mismos para que reflejen solo la pesquería de nasas, se obtuvo la siguiente tabla:</w:t>
      </w:r>
    </w:p>
    <w:p w14:paraId="094AF621" w14:textId="67EA82AD" w:rsidR="00541F9B" w:rsidRDefault="00541F9B">
      <w:pPr>
        <w:rPr>
          <w:sz w:val="22"/>
          <w:szCs w:val="22"/>
          <w:u w:val="single"/>
        </w:rPr>
      </w:pPr>
      <w:r>
        <w:rPr>
          <w:noProof/>
        </w:rPr>
        <w:drawing>
          <wp:inline distT="0" distB="0" distL="0" distR="0" wp14:anchorId="2AA418E4" wp14:editId="3AC04248">
            <wp:extent cx="6095125" cy="1242104"/>
            <wp:effectExtent l="0" t="0" r="1270" b="0"/>
            <wp:docPr id="3" name="Imagen 2">
              <a:extLst xmlns:a="http://schemas.openxmlformats.org/drawingml/2006/main">
                <a:ext uri="{FF2B5EF4-FFF2-40B4-BE49-F238E27FC236}">
                  <a16:creationId xmlns:a16="http://schemas.microsoft.com/office/drawing/2014/main" id="{ED278932-C754-7FE7-0139-58DB7301D9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ED278932-C754-7FE7-0139-58DB7301D926}"/>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840" cy="1248159"/>
                    </a:xfrm>
                    <a:prstGeom prst="rect">
                      <a:avLst/>
                    </a:prstGeom>
                    <a:noFill/>
                  </pic:spPr>
                </pic:pic>
              </a:graphicData>
            </a:graphic>
          </wp:inline>
        </w:drawing>
      </w:r>
    </w:p>
    <w:p w14:paraId="41D791C5" w14:textId="043963C6" w:rsidR="00541F9B" w:rsidRDefault="00541F9B">
      <w:pPr>
        <w:rPr>
          <w:sz w:val="22"/>
          <w:szCs w:val="22"/>
        </w:rPr>
      </w:pPr>
    </w:p>
    <w:p w14:paraId="4FF742FF" w14:textId="20C0E2E7" w:rsidR="00541F9B" w:rsidRDefault="00541F9B">
      <w:pPr>
        <w:rPr>
          <w:sz w:val="22"/>
          <w:szCs w:val="22"/>
        </w:rPr>
      </w:pPr>
      <w:r>
        <w:rPr>
          <w:sz w:val="22"/>
          <w:szCs w:val="22"/>
        </w:rPr>
        <w:t>La representatividad de estos datos se obtuvo comparando los totales por año con los desembarques anuales informados por la DIGEPESCA:</w:t>
      </w:r>
    </w:p>
    <w:p w14:paraId="3ED16587" w14:textId="49616BD8" w:rsidR="00541F9B" w:rsidRDefault="007B3418">
      <w:pPr>
        <w:rPr>
          <w:sz w:val="22"/>
          <w:szCs w:val="22"/>
        </w:rPr>
      </w:pPr>
      <w:r>
        <w:rPr>
          <w:noProof/>
        </w:rPr>
        <w:drawing>
          <wp:inline distT="0" distB="0" distL="0" distR="0" wp14:anchorId="39731ECD" wp14:editId="35320433">
            <wp:extent cx="6188710" cy="803275"/>
            <wp:effectExtent l="0" t="0" r="2540" b="0"/>
            <wp:docPr id="6" name="Imagen 5">
              <a:extLst xmlns:a="http://schemas.openxmlformats.org/drawingml/2006/main">
                <a:ext uri="{FF2B5EF4-FFF2-40B4-BE49-F238E27FC236}">
                  <a16:creationId xmlns:a16="http://schemas.microsoft.com/office/drawing/2014/main" id="{67EFEA24-6126-9BA2-C4DF-BE2B269D6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67EFEA24-6126-9BA2-C4DF-BE2B269D67C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803275"/>
                    </a:xfrm>
                    <a:prstGeom prst="rect">
                      <a:avLst/>
                    </a:prstGeom>
                    <a:noFill/>
                  </pic:spPr>
                </pic:pic>
              </a:graphicData>
            </a:graphic>
          </wp:inline>
        </w:drawing>
      </w:r>
    </w:p>
    <w:p w14:paraId="25A87DCB" w14:textId="77777777" w:rsidR="007B3418" w:rsidRDefault="007B3418">
      <w:pPr>
        <w:rPr>
          <w:sz w:val="22"/>
          <w:szCs w:val="22"/>
        </w:rPr>
      </w:pPr>
    </w:p>
    <w:p w14:paraId="1711EE2C" w14:textId="433D416F" w:rsidR="00C62032" w:rsidRPr="00C62032" w:rsidRDefault="00C62032">
      <w:pPr>
        <w:rPr>
          <w:sz w:val="22"/>
          <w:szCs w:val="22"/>
          <w:u w:val="single"/>
        </w:rPr>
      </w:pPr>
      <w:r w:rsidRPr="00C62032">
        <w:rPr>
          <w:sz w:val="22"/>
          <w:szCs w:val="22"/>
          <w:u w:val="single"/>
        </w:rPr>
        <w:t>Medida sugerida para evitar la sobrepesca de crecimiento:</w:t>
      </w:r>
    </w:p>
    <w:p w14:paraId="1BDDE27F" w14:textId="273A9506" w:rsidR="007B3418" w:rsidRDefault="007B3418">
      <w:pPr>
        <w:rPr>
          <w:sz w:val="22"/>
          <w:szCs w:val="22"/>
        </w:rPr>
      </w:pPr>
      <w:r>
        <w:rPr>
          <w:sz w:val="22"/>
          <w:szCs w:val="22"/>
        </w:rPr>
        <w:t>Efectuando un promedio ponderado de la categoría comercial por año mediante la fórmula</w:t>
      </w:r>
    </w:p>
    <w:p w14:paraId="7D482417" w14:textId="63100089" w:rsidR="007B3418" w:rsidRPr="007B3418" w:rsidRDefault="00E6653E">
      <w:pPr>
        <w:rPr>
          <w:rFonts w:eastAsiaTheme="minorEastAsia"/>
          <w:sz w:val="22"/>
          <w:szCs w:val="22"/>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pt</m:t>
              </m:r>
            </m:sub>
          </m:sSub>
          <m:r>
            <w:rPr>
              <w:rFonts w:ascii="Cambria Math" w:hAnsi="Cambria Math"/>
              <w:sz w:val="22"/>
              <w:szCs w:val="22"/>
            </w:rPr>
            <m:t xml:space="preserve">= </m:t>
          </m:r>
          <m:f>
            <m:fPr>
              <m:ctrlPr>
                <w:rPr>
                  <w:rFonts w:ascii="Cambria Math" w:hAnsi="Cambria Math"/>
                  <w:i/>
                  <w:sz w:val="22"/>
                  <w:szCs w:val="22"/>
                </w:rPr>
              </m:ctrlPr>
            </m:fPr>
            <m:num>
              <m:nary>
                <m:naryPr>
                  <m:chr m:val="∑"/>
                  <m:limLoc m:val="undOvr"/>
                  <m:subHide m:val="1"/>
                  <m:supHide m:val="1"/>
                  <m:ctrlPr>
                    <w:rPr>
                      <w:rFonts w:ascii="Cambria Math" w:hAnsi="Cambria Math"/>
                      <w:i/>
                      <w:sz w:val="22"/>
                      <w:szCs w:val="22"/>
                    </w:rPr>
                  </m:ctrlPr>
                </m:naryPr>
                <m:sub/>
                <m:sup/>
                <m:e>
                  <m:r>
                    <w:rPr>
                      <w:rFonts w:ascii="Cambria Math" w:hAnsi="Cambria Math"/>
                      <w:sz w:val="22"/>
                      <w:szCs w:val="22"/>
                    </w:rPr>
                    <m:t xml:space="preserve">PMC </m:t>
                  </m:r>
                  <m:d>
                    <m:dPr>
                      <m:ctrlPr>
                        <w:rPr>
                          <w:rFonts w:ascii="Cambria Math" w:hAnsi="Cambria Math"/>
                          <w:i/>
                          <w:sz w:val="22"/>
                          <w:szCs w:val="22"/>
                        </w:rPr>
                      </m:ctrlPr>
                    </m:dPr>
                    <m:e>
                      <m:r>
                        <w:rPr>
                          <w:rFonts w:ascii="Cambria Math" w:hAnsi="Cambria Math"/>
                          <w:sz w:val="22"/>
                          <w:szCs w:val="22"/>
                        </w:rPr>
                        <m:t>Oz</m:t>
                      </m:r>
                    </m:e>
                  </m:d>
                  <m:r>
                    <w:rPr>
                      <w:rFonts w:ascii="Cambria Math" w:hAnsi="Cambria Math"/>
                      <w:sz w:val="22"/>
                      <w:szCs w:val="22"/>
                    </w:rPr>
                    <m:t>*PAC</m:t>
                  </m:r>
                </m:e>
              </m:nary>
            </m:num>
            <m:den>
              <m:nary>
                <m:naryPr>
                  <m:chr m:val="∑"/>
                  <m:limLoc m:val="undOvr"/>
                  <m:subHide m:val="1"/>
                  <m:supHide m:val="1"/>
                  <m:ctrlPr>
                    <w:rPr>
                      <w:rFonts w:ascii="Cambria Math" w:hAnsi="Cambria Math"/>
                      <w:i/>
                      <w:sz w:val="22"/>
                      <w:szCs w:val="22"/>
                    </w:rPr>
                  </m:ctrlPr>
                </m:naryPr>
                <m:sub/>
                <m:sup/>
                <m:e>
                  <m:r>
                    <w:rPr>
                      <w:rFonts w:ascii="Cambria Math" w:hAnsi="Cambria Math"/>
                      <w:sz w:val="22"/>
                      <w:szCs w:val="22"/>
                    </w:rPr>
                    <m:t>PAC</m:t>
                  </m:r>
                </m:e>
              </m:nary>
            </m:den>
          </m:f>
        </m:oMath>
      </m:oMathPara>
    </w:p>
    <w:p w14:paraId="04065AA8" w14:textId="1C127DE7" w:rsidR="007B3418" w:rsidRDefault="007B3418">
      <w:pPr>
        <w:rPr>
          <w:rFonts w:eastAsiaTheme="minorEastAsia"/>
          <w:sz w:val="22"/>
          <w:szCs w:val="22"/>
        </w:rPr>
      </w:pPr>
      <w:r>
        <w:rPr>
          <w:rFonts w:eastAsiaTheme="minorEastAsia"/>
          <w:sz w:val="22"/>
          <w:szCs w:val="22"/>
        </w:rPr>
        <w:t>Donde:</w:t>
      </w:r>
    </w:p>
    <w:p w14:paraId="77E2A68C" w14:textId="30E66FB4" w:rsidR="007B3418" w:rsidRDefault="007B3418">
      <w:pPr>
        <w:rPr>
          <w:rFonts w:eastAsiaTheme="minorEastAsia"/>
          <w:sz w:val="22"/>
          <w:szCs w:val="22"/>
        </w:rPr>
      </w:pPr>
      <w:proofErr w:type="spellStart"/>
      <w:proofErr w:type="gramStart"/>
      <w:r>
        <w:rPr>
          <w:rFonts w:eastAsiaTheme="minorEastAsia"/>
          <w:sz w:val="22"/>
          <w:szCs w:val="22"/>
        </w:rPr>
        <w:t>C</w:t>
      </w:r>
      <w:r>
        <w:rPr>
          <w:rFonts w:eastAsiaTheme="minorEastAsia"/>
          <w:sz w:val="22"/>
          <w:szCs w:val="22"/>
          <w:vertAlign w:val="subscript"/>
        </w:rPr>
        <w:t>pt</w:t>
      </w:r>
      <w:proofErr w:type="spellEnd"/>
      <w:r>
        <w:rPr>
          <w:rFonts w:eastAsiaTheme="minorEastAsia"/>
          <w:sz w:val="22"/>
          <w:szCs w:val="22"/>
          <w:vertAlign w:val="subscript"/>
        </w:rPr>
        <w:t xml:space="preserve"> :</w:t>
      </w:r>
      <w:proofErr w:type="gramEnd"/>
      <w:r>
        <w:rPr>
          <w:rFonts w:eastAsiaTheme="minorEastAsia"/>
          <w:sz w:val="22"/>
          <w:szCs w:val="22"/>
        </w:rPr>
        <w:t xml:space="preserve"> Categoría comercial promedio por temporada,</w:t>
      </w:r>
    </w:p>
    <w:p w14:paraId="35FC2B69" w14:textId="6C4EAEBC" w:rsidR="007B3418" w:rsidRDefault="007B3418">
      <w:pPr>
        <w:rPr>
          <w:rFonts w:eastAsiaTheme="minorEastAsia"/>
          <w:sz w:val="22"/>
          <w:szCs w:val="22"/>
        </w:rPr>
      </w:pPr>
      <w:r>
        <w:rPr>
          <w:rFonts w:eastAsiaTheme="minorEastAsia"/>
          <w:sz w:val="22"/>
          <w:szCs w:val="22"/>
        </w:rPr>
        <w:t xml:space="preserve">PMC: </w:t>
      </w:r>
      <w:r w:rsidR="00844A9F">
        <w:rPr>
          <w:rFonts w:eastAsiaTheme="minorEastAsia"/>
          <w:sz w:val="22"/>
          <w:szCs w:val="22"/>
        </w:rPr>
        <w:t>Peso medio de cada categoría comercial (oz)</w:t>
      </w:r>
    </w:p>
    <w:p w14:paraId="06558BA2" w14:textId="34913447" w:rsidR="00844A9F" w:rsidRDefault="00844A9F">
      <w:pPr>
        <w:rPr>
          <w:rFonts w:eastAsiaTheme="minorEastAsia"/>
          <w:sz w:val="22"/>
          <w:szCs w:val="22"/>
        </w:rPr>
      </w:pPr>
      <w:r>
        <w:rPr>
          <w:rFonts w:eastAsiaTheme="minorEastAsia"/>
          <w:sz w:val="22"/>
          <w:szCs w:val="22"/>
        </w:rPr>
        <w:t>PAC: Peso desembarcado por cada categoría comercial por temporada (lb)</w:t>
      </w:r>
    </w:p>
    <w:p w14:paraId="3561ECDC" w14:textId="61EE6F8B" w:rsidR="00844A9F" w:rsidRDefault="00844A9F">
      <w:pPr>
        <w:rPr>
          <w:rFonts w:eastAsiaTheme="minorEastAsia"/>
          <w:sz w:val="22"/>
          <w:szCs w:val="22"/>
        </w:rPr>
      </w:pPr>
    </w:p>
    <w:p w14:paraId="3315B4A2" w14:textId="664C3749" w:rsidR="00844A9F" w:rsidRDefault="00844A9F">
      <w:pPr>
        <w:rPr>
          <w:rFonts w:eastAsiaTheme="minorEastAsia"/>
          <w:sz w:val="22"/>
          <w:szCs w:val="22"/>
        </w:rPr>
      </w:pPr>
      <w:r>
        <w:rPr>
          <w:rFonts w:eastAsiaTheme="minorEastAsia"/>
          <w:sz w:val="22"/>
          <w:szCs w:val="22"/>
        </w:rPr>
        <w:t>De ese modo, obtenemos la siguiente tabla sobre evolución de la categoría comercial media por temporada:</w:t>
      </w:r>
    </w:p>
    <w:p w14:paraId="1F5D3059" w14:textId="626EDD0A" w:rsidR="00844A9F" w:rsidRDefault="00844A9F">
      <w:pPr>
        <w:rPr>
          <w:sz w:val="22"/>
          <w:szCs w:val="22"/>
        </w:rPr>
      </w:pPr>
      <w:r w:rsidRPr="00844A9F">
        <w:rPr>
          <w:noProof/>
        </w:rPr>
        <w:drawing>
          <wp:inline distT="0" distB="0" distL="0" distR="0" wp14:anchorId="427D31C4" wp14:editId="7B6B34EB">
            <wp:extent cx="6188710" cy="554990"/>
            <wp:effectExtent l="0" t="0" r="2540" b="0"/>
            <wp:docPr id="8846465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554990"/>
                    </a:xfrm>
                    <a:prstGeom prst="rect">
                      <a:avLst/>
                    </a:prstGeom>
                    <a:noFill/>
                    <a:ln>
                      <a:noFill/>
                    </a:ln>
                  </pic:spPr>
                </pic:pic>
              </a:graphicData>
            </a:graphic>
          </wp:inline>
        </w:drawing>
      </w:r>
    </w:p>
    <w:p w14:paraId="7D5D9CC4" w14:textId="77777777" w:rsidR="00844A9F" w:rsidRDefault="00844A9F">
      <w:pPr>
        <w:rPr>
          <w:sz w:val="22"/>
          <w:szCs w:val="22"/>
        </w:rPr>
      </w:pPr>
    </w:p>
    <w:p w14:paraId="05A2C366" w14:textId="2B43BC04" w:rsidR="00844A9F" w:rsidRDefault="00844A9F">
      <w:pPr>
        <w:rPr>
          <w:sz w:val="22"/>
          <w:szCs w:val="22"/>
        </w:rPr>
      </w:pPr>
      <w:r>
        <w:rPr>
          <w:sz w:val="22"/>
          <w:szCs w:val="22"/>
        </w:rPr>
        <w:t xml:space="preserve">Representamos la información obtenida en </w:t>
      </w:r>
      <w:r w:rsidR="004340AE">
        <w:rPr>
          <w:sz w:val="22"/>
          <w:szCs w:val="22"/>
        </w:rPr>
        <w:t>los</w:t>
      </w:r>
      <w:r>
        <w:rPr>
          <w:sz w:val="22"/>
          <w:szCs w:val="22"/>
        </w:rPr>
        <w:t xml:space="preserve"> siguiente gráfico</w:t>
      </w:r>
      <w:r w:rsidR="004340AE">
        <w:rPr>
          <w:sz w:val="22"/>
          <w:szCs w:val="22"/>
        </w:rPr>
        <w:t>s</w:t>
      </w:r>
      <w:r>
        <w:rPr>
          <w:sz w:val="22"/>
          <w:szCs w:val="22"/>
        </w:rPr>
        <w:t>:</w:t>
      </w:r>
    </w:p>
    <w:p w14:paraId="1950F67C" w14:textId="040012D5" w:rsidR="00844A9F" w:rsidRDefault="004340AE" w:rsidP="004340AE">
      <w:pPr>
        <w:jc w:val="center"/>
        <w:rPr>
          <w:sz w:val="22"/>
          <w:szCs w:val="22"/>
        </w:rPr>
      </w:pPr>
      <w:r>
        <w:rPr>
          <w:noProof/>
          <w:sz w:val="22"/>
          <w:szCs w:val="22"/>
        </w:rPr>
        <w:drawing>
          <wp:inline distT="0" distB="0" distL="0" distR="0" wp14:anchorId="2B596D71" wp14:editId="65F85C76">
            <wp:extent cx="4938395" cy="3060700"/>
            <wp:effectExtent l="0" t="0" r="0" b="6350"/>
            <wp:docPr id="179740936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8395" cy="3060700"/>
                    </a:xfrm>
                    <a:prstGeom prst="rect">
                      <a:avLst/>
                    </a:prstGeom>
                    <a:noFill/>
                  </pic:spPr>
                </pic:pic>
              </a:graphicData>
            </a:graphic>
          </wp:inline>
        </w:drawing>
      </w:r>
    </w:p>
    <w:p w14:paraId="284A487D" w14:textId="20E28F58" w:rsidR="004340AE" w:rsidRDefault="004340AE" w:rsidP="004340AE">
      <w:pPr>
        <w:jc w:val="center"/>
        <w:rPr>
          <w:sz w:val="20"/>
          <w:szCs w:val="20"/>
        </w:rPr>
      </w:pPr>
      <w:r>
        <w:rPr>
          <w:b/>
          <w:bCs/>
          <w:sz w:val="20"/>
          <w:szCs w:val="20"/>
        </w:rPr>
        <w:t xml:space="preserve">Gráfico 1. </w:t>
      </w:r>
      <w:r>
        <w:rPr>
          <w:sz w:val="20"/>
          <w:szCs w:val="20"/>
        </w:rPr>
        <w:t xml:space="preserve">Evolución de la categoría comercial media de los desembarques (2013-2025). </w:t>
      </w:r>
    </w:p>
    <w:p w14:paraId="16586F4A" w14:textId="77777777" w:rsidR="004340AE" w:rsidRDefault="004340AE" w:rsidP="004340AE">
      <w:pPr>
        <w:jc w:val="center"/>
        <w:rPr>
          <w:sz w:val="20"/>
          <w:szCs w:val="20"/>
        </w:rPr>
      </w:pPr>
    </w:p>
    <w:p w14:paraId="22D7D02E" w14:textId="297368C4" w:rsidR="004340AE" w:rsidRDefault="004340AE" w:rsidP="004340AE">
      <w:pPr>
        <w:jc w:val="center"/>
        <w:rPr>
          <w:sz w:val="20"/>
          <w:szCs w:val="20"/>
        </w:rPr>
      </w:pPr>
      <w:r>
        <w:rPr>
          <w:noProof/>
          <w:sz w:val="20"/>
          <w:szCs w:val="20"/>
        </w:rPr>
        <w:drawing>
          <wp:inline distT="0" distB="0" distL="0" distR="0" wp14:anchorId="3C53EDA0" wp14:editId="15D863A5">
            <wp:extent cx="4944110" cy="3060700"/>
            <wp:effectExtent l="0" t="0" r="8890" b="6350"/>
            <wp:docPr id="196928746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4110" cy="3060700"/>
                    </a:xfrm>
                    <a:prstGeom prst="rect">
                      <a:avLst/>
                    </a:prstGeom>
                    <a:noFill/>
                  </pic:spPr>
                </pic:pic>
              </a:graphicData>
            </a:graphic>
          </wp:inline>
        </w:drawing>
      </w:r>
    </w:p>
    <w:p w14:paraId="30412275" w14:textId="489FBA33" w:rsidR="004340AE" w:rsidRDefault="004340AE" w:rsidP="004340AE">
      <w:pPr>
        <w:jc w:val="center"/>
        <w:rPr>
          <w:sz w:val="20"/>
          <w:szCs w:val="20"/>
        </w:rPr>
      </w:pPr>
      <w:r>
        <w:rPr>
          <w:b/>
          <w:bCs/>
          <w:sz w:val="20"/>
          <w:szCs w:val="20"/>
        </w:rPr>
        <w:t xml:space="preserve">Gráfico 2. </w:t>
      </w:r>
      <w:r>
        <w:rPr>
          <w:sz w:val="20"/>
          <w:szCs w:val="20"/>
        </w:rPr>
        <w:t>Evolución de los desembarques (2013-2025). El promedio de la serie histórica es de 2.700.000 lb.</w:t>
      </w:r>
    </w:p>
    <w:p w14:paraId="362F1E79" w14:textId="77777777" w:rsidR="004340AE" w:rsidRDefault="004340AE" w:rsidP="004340AE">
      <w:pPr>
        <w:jc w:val="center"/>
        <w:rPr>
          <w:sz w:val="20"/>
          <w:szCs w:val="20"/>
        </w:rPr>
      </w:pPr>
    </w:p>
    <w:p w14:paraId="0B6A24E9" w14:textId="69540715" w:rsidR="004340AE" w:rsidRDefault="004340AE" w:rsidP="004340AE">
      <w:pPr>
        <w:rPr>
          <w:sz w:val="20"/>
          <w:szCs w:val="20"/>
        </w:rPr>
      </w:pPr>
      <w:r>
        <w:rPr>
          <w:sz w:val="20"/>
          <w:szCs w:val="20"/>
        </w:rPr>
        <w:t xml:space="preserve">Si observamos detenidamente la situación presentada en la temporada 2022-2023, vemos que con la menor categoría comercial promedio de la serie (7,75), se capturó uno de los mayores volúmenes de la serie, de alrededor de 3.200.000 libras, lo cual significa que ese gran volumen se compuso predominantemente de ejemplares menores a la media habitual, lo que quiere decir que, </w:t>
      </w:r>
      <w:r>
        <w:rPr>
          <w:b/>
          <w:bCs/>
          <w:sz w:val="20"/>
          <w:szCs w:val="20"/>
        </w:rPr>
        <w:t>en número de ejemplares</w:t>
      </w:r>
      <w:r>
        <w:rPr>
          <w:sz w:val="20"/>
          <w:szCs w:val="20"/>
        </w:rPr>
        <w:t>, el desembarque fue muy significativamente superior a otras temporadas, lo cual aumenta el riesgo de sobrepesca de crecimiento.</w:t>
      </w:r>
    </w:p>
    <w:p w14:paraId="59F30158" w14:textId="0F0F6CF7" w:rsidR="004340AE" w:rsidRDefault="00C62032" w:rsidP="004340AE">
      <w:pPr>
        <w:rPr>
          <w:sz w:val="20"/>
          <w:szCs w:val="20"/>
        </w:rPr>
      </w:pPr>
      <w:r>
        <w:rPr>
          <w:sz w:val="20"/>
          <w:szCs w:val="20"/>
        </w:rPr>
        <w:t>Para evitar este riesgo, y hasta tanto haya puntos de referencia biológicos más afinados, proponemos que las temporadas en las cuales se observa mensualmente que la categoría comercial media es menor a 8, se ponga un límite a los desembarques igual al promedio histórico registrado de 2.700.000 libras.</w:t>
      </w:r>
    </w:p>
    <w:p w14:paraId="0128E881" w14:textId="77777777" w:rsidR="00C62032" w:rsidRDefault="00C62032" w:rsidP="004340AE">
      <w:pPr>
        <w:rPr>
          <w:sz w:val="20"/>
          <w:szCs w:val="20"/>
        </w:rPr>
      </w:pPr>
    </w:p>
    <w:p w14:paraId="6DCB4ED3" w14:textId="43FA2780" w:rsidR="00C62032" w:rsidRPr="00C62032" w:rsidRDefault="00C62032" w:rsidP="004340AE">
      <w:pPr>
        <w:rPr>
          <w:sz w:val="20"/>
          <w:szCs w:val="20"/>
          <w:u w:val="single"/>
        </w:rPr>
      </w:pPr>
      <w:r>
        <w:rPr>
          <w:sz w:val="20"/>
          <w:szCs w:val="20"/>
          <w:u w:val="single"/>
        </w:rPr>
        <w:t>Medida sugerida para evitar la sobrepesca de reclutamiento</w:t>
      </w:r>
    </w:p>
    <w:p w14:paraId="535CF573" w14:textId="45129B36" w:rsidR="004340AE" w:rsidRDefault="00C62032" w:rsidP="00C62032">
      <w:pPr>
        <w:rPr>
          <w:sz w:val="20"/>
          <w:szCs w:val="20"/>
        </w:rPr>
      </w:pPr>
      <w:r>
        <w:rPr>
          <w:sz w:val="20"/>
          <w:szCs w:val="20"/>
        </w:rPr>
        <w:t xml:space="preserve">La pesca con nasas ofrece una protección natural contra la sobrepesca de reclutamiento, ya que ejemplares </w:t>
      </w:r>
      <w:proofErr w:type="spellStart"/>
      <w:r>
        <w:rPr>
          <w:sz w:val="20"/>
          <w:szCs w:val="20"/>
        </w:rPr>
        <w:t>super-reproductores</w:t>
      </w:r>
      <w:proofErr w:type="spellEnd"/>
      <w:r>
        <w:rPr>
          <w:sz w:val="20"/>
          <w:szCs w:val="20"/>
        </w:rPr>
        <w:t xml:space="preserve"> no pueden ingresar a las mismas. Sin embargo, se ha notado que la pesca por buceo si impacta en esos ejemplares mayores, por lo cual sugerimos dos limitaciones:</w:t>
      </w:r>
    </w:p>
    <w:p w14:paraId="295FA7A1" w14:textId="180AA644" w:rsidR="00C62032" w:rsidRDefault="00C62032" w:rsidP="00C62032">
      <w:pPr>
        <w:pStyle w:val="Prrafodelista"/>
        <w:numPr>
          <w:ilvl w:val="0"/>
          <w:numId w:val="1"/>
        </w:numPr>
        <w:rPr>
          <w:sz w:val="20"/>
          <w:szCs w:val="20"/>
        </w:rPr>
      </w:pPr>
      <w:r>
        <w:rPr>
          <w:sz w:val="20"/>
          <w:szCs w:val="20"/>
        </w:rPr>
        <w:t>No permitir que se agreguen nuevos permisionarios y embarcaciones de pesca por buceo a los</w:t>
      </w:r>
      <w:r w:rsidR="009C6ED7">
        <w:rPr>
          <w:sz w:val="20"/>
          <w:szCs w:val="20"/>
        </w:rPr>
        <w:t xml:space="preserve"> 28</w:t>
      </w:r>
      <w:r>
        <w:rPr>
          <w:sz w:val="20"/>
          <w:szCs w:val="20"/>
        </w:rPr>
        <w:t xml:space="preserve"> ya existentes, y</w:t>
      </w:r>
    </w:p>
    <w:p w14:paraId="25F3EBB7" w14:textId="37CA44AD" w:rsidR="00C62032" w:rsidRDefault="00C62032" w:rsidP="00C62032">
      <w:pPr>
        <w:pStyle w:val="Prrafodelista"/>
        <w:numPr>
          <w:ilvl w:val="0"/>
          <w:numId w:val="1"/>
        </w:numPr>
        <w:rPr>
          <w:sz w:val="20"/>
          <w:szCs w:val="20"/>
        </w:rPr>
      </w:pPr>
      <w:r>
        <w:rPr>
          <w:sz w:val="20"/>
          <w:szCs w:val="20"/>
        </w:rPr>
        <w:t xml:space="preserve">Establecer un límite de desembarque para esta </w:t>
      </w:r>
      <w:proofErr w:type="spellStart"/>
      <w:r>
        <w:rPr>
          <w:sz w:val="20"/>
          <w:szCs w:val="20"/>
        </w:rPr>
        <w:t>sub-pesquería</w:t>
      </w:r>
      <w:proofErr w:type="spellEnd"/>
      <w:r>
        <w:rPr>
          <w:sz w:val="20"/>
          <w:szCs w:val="20"/>
        </w:rPr>
        <w:t xml:space="preserve"> igual al mayor que hayan presentado en toda su serie histórica, pasado el cual se cierra la posibilidad de continuar operando.</w:t>
      </w:r>
    </w:p>
    <w:p w14:paraId="64C7CE53" w14:textId="066A2FBB" w:rsidR="00017691" w:rsidRPr="00C62032" w:rsidRDefault="00017691" w:rsidP="00C62032">
      <w:pPr>
        <w:pStyle w:val="Prrafodelista"/>
        <w:numPr>
          <w:ilvl w:val="0"/>
          <w:numId w:val="1"/>
        </w:numPr>
        <w:rPr>
          <w:sz w:val="20"/>
          <w:szCs w:val="20"/>
        </w:rPr>
      </w:pPr>
      <w:r>
        <w:rPr>
          <w:sz w:val="20"/>
          <w:szCs w:val="20"/>
        </w:rPr>
        <w:t>En general, como medida pr</w:t>
      </w:r>
      <w:r w:rsidR="009C6ED7">
        <w:rPr>
          <w:sz w:val="20"/>
          <w:szCs w:val="20"/>
        </w:rPr>
        <w:t>e</w:t>
      </w:r>
      <w:r>
        <w:rPr>
          <w:sz w:val="20"/>
          <w:szCs w:val="20"/>
        </w:rPr>
        <w:t>cautoria</w:t>
      </w:r>
      <w:r w:rsidR="009C6ED7">
        <w:rPr>
          <w:sz w:val="20"/>
          <w:szCs w:val="20"/>
        </w:rPr>
        <w:t xml:space="preserve">, y hasta tanto se cuente con evaluaciones de stock confiables, </w:t>
      </w:r>
      <w:r w:rsidR="001F276E">
        <w:rPr>
          <w:sz w:val="20"/>
          <w:szCs w:val="20"/>
        </w:rPr>
        <w:t xml:space="preserve">no debe incrementarse la flota </w:t>
      </w:r>
      <w:proofErr w:type="spellStart"/>
      <w:r w:rsidR="001F276E">
        <w:rPr>
          <w:sz w:val="20"/>
          <w:szCs w:val="20"/>
        </w:rPr>
        <w:t>nasera</w:t>
      </w:r>
      <w:proofErr w:type="spellEnd"/>
      <w:r w:rsidR="001F276E">
        <w:rPr>
          <w:sz w:val="20"/>
          <w:szCs w:val="20"/>
        </w:rPr>
        <w:t xml:space="preserve"> más allá de las actuales 87 embarcaciones y 2500 nasas activas por embarcación.</w:t>
      </w:r>
    </w:p>
    <w:sectPr w:rsidR="00017691" w:rsidRPr="00C62032" w:rsidSect="00541F9B">
      <w:head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67082" w14:textId="77777777" w:rsidR="00E6653E" w:rsidRDefault="00E6653E" w:rsidP="00017691">
      <w:pPr>
        <w:spacing w:after="0" w:line="240" w:lineRule="auto"/>
      </w:pPr>
      <w:r>
        <w:separator/>
      </w:r>
    </w:p>
  </w:endnote>
  <w:endnote w:type="continuationSeparator" w:id="0">
    <w:p w14:paraId="74174EF9" w14:textId="77777777" w:rsidR="00E6653E" w:rsidRDefault="00E6653E" w:rsidP="00017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528CC" w14:textId="77777777" w:rsidR="00E6653E" w:rsidRDefault="00E6653E" w:rsidP="00017691">
      <w:pPr>
        <w:spacing w:after="0" w:line="240" w:lineRule="auto"/>
      </w:pPr>
      <w:r>
        <w:separator/>
      </w:r>
    </w:p>
  </w:footnote>
  <w:footnote w:type="continuationSeparator" w:id="0">
    <w:p w14:paraId="30B508B3" w14:textId="77777777" w:rsidR="00E6653E" w:rsidRDefault="00E6653E" w:rsidP="00017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8E7F" w14:textId="142D27E1" w:rsidR="00017691" w:rsidRDefault="00017691">
    <w:pPr>
      <w:pStyle w:val="Encabezado"/>
    </w:pPr>
    <w:r w:rsidRPr="00DB7E7F">
      <w:rPr>
        <w:rFonts w:ascii="Verdana" w:eastAsia="Calibri" w:hAnsi="Verdana" w:cs="Times New Roman"/>
        <w:b/>
        <w:noProof/>
        <w:sz w:val="18"/>
        <w:szCs w:val="18"/>
        <w:lang w:val="es-419" w:eastAsia="es-419"/>
      </w:rPr>
      <w:drawing>
        <wp:anchor distT="0" distB="71755" distL="0" distR="107950" simplePos="0" relativeHeight="251659264" behindDoc="0" locked="0" layoutInCell="1" allowOverlap="1" wp14:anchorId="235FA4AD" wp14:editId="518B84F7">
          <wp:simplePos x="0" y="0"/>
          <wp:positionH relativeFrom="column">
            <wp:posOffset>5338404</wp:posOffset>
          </wp:positionH>
          <wp:positionV relativeFrom="paragraph">
            <wp:posOffset>-43129</wp:posOffset>
          </wp:positionV>
          <wp:extent cx="746635" cy="621792"/>
          <wp:effectExtent l="0" t="0" r="0" b="6985"/>
          <wp:wrapSquare wrapText="right"/>
          <wp:docPr id="9" name="Imagen 9" descr="pescadil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escadilla2"/>
                  <pic:cNvPicPr>
                    <a:picLocks noChangeAspect="1" noChangeArrowheads="1"/>
                  </pic:cNvPicPr>
                </pic:nvPicPr>
                <pic:blipFill>
                  <a:blip r:embed="rId1">
                    <a:extLst>
                      <a:ext uri="{28A0092B-C50C-407E-A947-70E740481C1C}">
                        <a14:useLocalDpi xmlns:a14="http://schemas.microsoft.com/office/drawing/2010/main" val="0"/>
                      </a:ext>
                    </a:extLst>
                  </a:blip>
                  <a:srcRect l="13870" t="13725" r="13089" b="16411"/>
                  <a:stretch>
                    <a:fillRect/>
                  </a:stretch>
                </pic:blipFill>
                <pic:spPr bwMode="auto">
                  <a:xfrm>
                    <a:off x="0" y="0"/>
                    <a:ext cx="746635" cy="62179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051994"/>
    <w:multiLevelType w:val="hybridMultilevel"/>
    <w:tmpl w:val="BC105E1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94295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97"/>
    <w:rsid w:val="00017691"/>
    <w:rsid w:val="000B0497"/>
    <w:rsid w:val="001F276E"/>
    <w:rsid w:val="004340AE"/>
    <w:rsid w:val="00541F9B"/>
    <w:rsid w:val="00550ED0"/>
    <w:rsid w:val="007A0B2D"/>
    <w:rsid w:val="007B3418"/>
    <w:rsid w:val="00844A9F"/>
    <w:rsid w:val="009B0CDD"/>
    <w:rsid w:val="009C6ED7"/>
    <w:rsid w:val="00C62032"/>
    <w:rsid w:val="00E1275B"/>
    <w:rsid w:val="00E665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E877"/>
  <w15:chartTrackingRefBased/>
  <w15:docId w15:val="{7A9CDAF5-A3F4-4E44-8A6E-C3F38F76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0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B0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B04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B04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B04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B04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B04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B04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B04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04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B04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B04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B04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B04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B04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B04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B04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B0497"/>
    <w:rPr>
      <w:rFonts w:eastAsiaTheme="majorEastAsia" w:cstheme="majorBidi"/>
      <w:color w:val="272727" w:themeColor="text1" w:themeTint="D8"/>
    </w:rPr>
  </w:style>
  <w:style w:type="paragraph" w:styleId="Ttulo">
    <w:name w:val="Title"/>
    <w:basedOn w:val="Normal"/>
    <w:next w:val="Normal"/>
    <w:link w:val="TtuloCar"/>
    <w:uiPriority w:val="10"/>
    <w:qFormat/>
    <w:rsid w:val="000B0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04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B04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B04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B0497"/>
    <w:pPr>
      <w:spacing w:before="160"/>
      <w:jc w:val="center"/>
    </w:pPr>
    <w:rPr>
      <w:i/>
      <w:iCs/>
      <w:color w:val="404040" w:themeColor="text1" w:themeTint="BF"/>
    </w:rPr>
  </w:style>
  <w:style w:type="character" w:customStyle="1" w:styleId="CitaCar">
    <w:name w:val="Cita Car"/>
    <w:basedOn w:val="Fuentedeprrafopredeter"/>
    <w:link w:val="Cita"/>
    <w:uiPriority w:val="29"/>
    <w:rsid w:val="000B0497"/>
    <w:rPr>
      <w:i/>
      <w:iCs/>
      <w:color w:val="404040" w:themeColor="text1" w:themeTint="BF"/>
    </w:rPr>
  </w:style>
  <w:style w:type="paragraph" w:styleId="Prrafodelista">
    <w:name w:val="List Paragraph"/>
    <w:basedOn w:val="Normal"/>
    <w:uiPriority w:val="34"/>
    <w:qFormat/>
    <w:rsid w:val="000B0497"/>
    <w:pPr>
      <w:ind w:left="720"/>
      <w:contextualSpacing/>
    </w:pPr>
  </w:style>
  <w:style w:type="character" w:styleId="nfasisintenso">
    <w:name w:val="Intense Emphasis"/>
    <w:basedOn w:val="Fuentedeprrafopredeter"/>
    <w:uiPriority w:val="21"/>
    <w:qFormat/>
    <w:rsid w:val="000B0497"/>
    <w:rPr>
      <w:i/>
      <w:iCs/>
      <w:color w:val="0F4761" w:themeColor="accent1" w:themeShade="BF"/>
    </w:rPr>
  </w:style>
  <w:style w:type="paragraph" w:styleId="Citadestacada">
    <w:name w:val="Intense Quote"/>
    <w:basedOn w:val="Normal"/>
    <w:next w:val="Normal"/>
    <w:link w:val="CitadestacadaCar"/>
    <w:uiPriority w:val="30"/>
    <w:qFormat/>
    <w:rsid w:val="000B0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B0497"/>
    <w:rPr>
      <w:i/>
      <w:iCs/>
      <w:color w:val="0F4761" w:themeColor="accent1" w:themeShade="BF"/>
    </w:rPr>
  </w:style>
  <w:style w:type="character" w:styleId="Referenciaintensa">
    <w:name w:val="Intense Reference"/>
    <w:basedOn w:val="Fuentedeprrafopredeter"/>
    <w:uiPriority w:val="32"/>
    <w:qFormat/>
    <w:rsid w:val="000B0497"/>
    <w:rPr>
      <w:b/>
      <w:bCs/>
      <w:smallCaps/>
      <w:color w:val="0F4761" w:themeColor="accent1" w:themeShade="BF"/>
      <w:spacing w:val="5"/>
    </w:rPr>
  </w:style>
  <w:style w:type="character" w:styleId="Textodelmarcadordeposicin">
    <w:name w:val="Placeholder Text"/>
    <w:basedOn w:val="Fuentedeprrafopredeter"/>
    <w:uiPriority w:val="99"/>
    <w:semiHidden/>
    <w:rsid w:val="007B3418"/>
    <w:rPr>
      <w:color w:val="666666"/>
    </w:rPr>
  </w:style>
  <w:style w:type="paragraph" w:styleId="Encabezado">
    <w:name w:val="header"/>
    <w:basedOn w:val="Normal"/>
    <w:link w:val="EncabezadoCar"/>
    <w:uiPriority w:val="99"/>
    <w:unhideWhenUsed/>
    <w:rsid w:val="000176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7691"/>
  </w:style>
  <w:style w:type="paragraph" w:styleId="Piedepgina">
    <w:name w:val="footer"/>
    <w:basedOn w:val="Normal"/>
    <w:link w:val="PiedepginaCar"/>
    <w:uiPriority w:val="99"/>
    <w:unhideWhenUsed/>
    <w:rsid w:val="000176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7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535</Words>
  <Characters>2945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Godelman</dc:creator>
  <cp:keywords/>
  <dc:description/>
  <cp:lastModifiedBy>Ernesto Godelman</cp:lastModifiedBy>
  <cp:revision>4</cp:revision>
  <dcterms:created xsi:type="dcterms:W3CDTF">2026-04-10T20:06:00Z</dcterms:created>
  <dcterms:modified xsi:type="dcterms:W3CDTF">2026-04-13T17:29:00Z</dcterms:modified>
</cp:coreProperties>
</file>