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C6EC1" w14:textId="14204A12" w:rsidR="005313C1" w:rsidRDefault="005313C1" w:rsidP="00D7669A">
      <w:pPr>
        <w:pStyle w:val="Heading2"/>
        <w:spacing w:before="200"/>
        <w:jc w:val="center"/>
        <w:rPr>
          <w:bCs/>
          <w:sz w:val="44"/>
          <w:szCs w:val="44"/>
        </w:rPr>
      </w:pPr>
      <w:r w:rsidRPr="005313C1">
        <w:rPr>
          <w:bCs/>
          <w:sz w:val="44"/>
          <w:szCs w:val="44"/>
        </w:rPr>
        <w:t>Maldives Yellowfin Tuna (YFT) Handline Fishery</w:t>
      </w:r>
    </w:p>
    <w:p w14:paraId="35C65115" w14:textId="1421637B" w:rsidR="005313C1" w:rsidRDefault="005313C1" w:rsidP="005313C1"/>
    <w:p w14:paraId="0FBC8234" w14:textId="77777777" w:rsidR="005313C1" w:rsidRPr="005313C1" w:rsidRDefault="005313C1" w:rsidP="005313C1">
      <w:pPr>
        <w:pStyle w:val="Heading2"/>
        <w:spacing w:before="200"/>
        <w:jc w:val="center"/>
        <w:rPr>
          <w:bCs/>
          <w:sz w:val="44"/>
          <w:szCs w:val="44"/>
        </w:rPr>
      </w:pPr>
      <w:r w:rsidRPr="005313C1">
        <w:rPr>
          <w:bCs/>
          <w:sz w:val="44"/>
          <w:szCs w:val="44"/>
        </w:rPr>
        <w:t>Client: Maldives Seafood Processors and Exporters</w:t>
      </w:r>
    </w:p>
    <w:p w14:paraId="5FF218C8" w14:textId="77777777" w:rsidR="005313C1" w:rsidRPr="005313C1" w:rsidRDefault="005313C1" w:rsidP="005313C1"/>
    <w:p w14:paraId="1C0B1A9D" w14:textId="76462954" w:rsidR="00D94EED" w:rsidRDefault="00E508EC" w:rsidP="00D7669A">
      <w:pPr>
        <w:pStyle w:val="Heading2"/>
        <w:spacing w:before="200"/>
        <w:jc w:val="center"/>
        <w:rPr>
          <w:b w:val="0"/>
          <w:sz w:val="48"/>
          <w:szCs w:val="48"/>
        </w:rPr>
      </w:pPr>
      <w:r w:rsidRPr="005313C1">
        <w:rPr>
          <w:bCs/>
          <w:sz w:val="44"/>
          <w:szCs w:val="44"/>
        </w:rPr>
        <w:t>Fishery Improvement</w:t>
      </w:r>
      <w:r>
        <w:rPr>
          <w:b w:val="0"/>
          <w:sz w:val="48"/>
          <w:szCs w:val="48"/>
        </w:rPr>
        <w:t xml:space="preserve"> </w:t>
      </w:r>
      <w:bookmarkStart w:id="0" w:name="_Hlk61938329"/>
      <w:r w:rsidRPr="005313C1">
        <w:rPr>
          <w:bCs/>
          <w:sz w:val="44"/>
          <w:szCs w:val="44"/>
        </w:rPr>
        <w:t>Project (FIP)</w:t>
      </w:r>
      <w:r w:rsidR="00070AFF" w:rsidRPr="005313C1">
        <w:rPr>
          <w:bCs/>
          <w:sz w:val="44"/>
          <w:szCs w:val="44"/>
        </w:rPr>
        <w:t xml:space="preserve"> </w:t>
      </w:r>
      <w:bookmarkEnd w:id="0"/>
      <w:r w:rsidRPr="005313C1">
        <w:rPr>
          <w:bCs/>
          <w:sz w:val="44"/>
          <w:szCs w:val="44"/>
        </w:rPr>
        <w:t>Workplan</w:t>
      </w:r>
    </w:p>
    <w:p w14:paraId="7108A6F7" w14:textId="77777777" w:rsidR="00D94EED" w:rsidRPr="002E0D72" w:rsidRDefault="00E508EC">
      <w:pPr>
        <w:pStyle w:val="Heading2"/>
        <w:rPr>
          <w:i/>
          <w:iCs/>
          <w:color w:val="0070C0"/>
        </w:rPr>
      </w:pPr>
      <w:bookmarkStart w:id="1" w:name="_xp5d23qdvuy2" w:colFirst="0" w:colLast="0"/>
      <w:bookmarkEnd w:id="1"/>
      <w:r w:rsidRPr="002E0D72">
        <w:rPr>
          <w:rFonts w:eastAsia="Calibri"/>
          <w:i/>
          <w:iCs/>
          <w:color w:val="0070C0"/>
          <w:sz w:val="28"/>
          <w:szCs w:val="28"/>
        </w:rPr>
        <w:t>Introduction</w:t>
      </w:r>
    </w:p>
    <w:p w14:paraId="426315A4" w14:textId="4F0BF6E5" w:rsidR="00AC492B" w:rsidRPr="002E0D72" w:rsidRDefault="00E508EC">
      <w:pPr>
        <w:rPr>
          <w:i/>
          <w:iCs/>
        </w:rPr>
      </w:pPr>
      <w:r w:rsidRPr="002E0D72">
        <w:rPr>
          <w:i/>
          <w:iCs/>
        </w:rPr>
        <w:t xml:space="preserve">Developing a </w:t>
      </w:r>
      <w:r w:rsidR="00176952" w:rsidRPr="002E0D72">
        <w:rPr>
          <w:i/>
          <w:iCs/>
        </w:rPr>
        <w:t>f</w:t>
      </w:r>
      <w:r w:rsidRPr="002E0D72">
        <w:rPr>
          <w:i/>
          <w:iCs/>
        </w:rPr>
        <w:t xml:space="preserve">ishery </w:t>
      </w:r>
      <w:r w:rsidR="00176952" w:rsidRPr="002E0D72">
        <w:rPr>
          <w:i/>
          <w:iCs/>
        </w:rPr>
        <w:t>i</w:t>
      </w:r>
      <w:r w:rsidRPr="002E0D72">
        <w:rPr>
          <w:i/>
          <w:iCs/>
        </w:rPr>
        <w:t xml:space="preserve">mprovement </w:t>
      </w:r>
      <w:r w:rsidR="00176952" w:rsidRPr="002E0D72">
        <w:rPr>
          <w:i/>
          <w:iCs/>
        </w:rPr>
        <w:t>p</w:t>
      </w:r>
      <w:r w:rsidRPr="002E0D72">
        <w:rPr>
          <w:i/>
          <w:iCs/>
        </w:rPr>
        <w:t>roject (FIP) workplan is an important, required step in the FIP process. The purpose of this document is to outline the information that must be included in a FIP workplan.</w:t>
      </w:r>
      <w:r w:rsidR="002E0D72">
        <w:rPr>
          <w:i/>
          <w:iCs/>
        </w:rPr>
        <w:t xml:space="preserve"> </w:t>
      </w:r>
      <w:r w:rsidR="00176952" w:rsidRPr="002E0D72">
        <w:rPr>
          <w:i/>
          <w:iCs/>
        </w:rPr>
        <w:t>The</w:t>
      </w:r>
      <w:r w:rsidRPr="002E0D72">
        <w:rPr>
          <w:i/>
          <w:iCs/>
        </w:rPr>
        <w:t xml:space="preserve"> FIP workplan </w:t>
      </w:r>
      <w:r w:rsidR="00176952" w:rsidRPr="002E0D72">
        <w:rPr>
          <w:i/>
          <w:iCs/>
        </w:rPr>
        <w:t xml:space="preserve">should be developed in collaboration with FIP </w:t>
      </w:r>
      <w:r w:rsidRPr="002E0D72">
        <w:rPr>
          <w:i/>
          <w:iCs/>
        </w:rPr>
        <w:t>stakeholder</w:t>
      </w:r>
      <w:r w:rsidR="00AC492B">
        <w:rPr>
          <w:i/>
          <w:iCs/>
        </w:rPr>
        <w:t>s</w:t>
      </w:r>
      <w:r w:rsidR="00176952" w:rsidRPr="002E0D72">
        <w:rPr>
          <w:i/>
          <w:iCs/>
        </w:rPr>
        <w:t>.</w:t>
      </w:r>
      <w:r w:rsidR="002E0D72">
        <w:rPr>
          <w:i/>
          <w:iCs/>
        </w:rPr>
        <w:t xml:space="preserve"> </w:t>
      </w:r>
      <w:r w:rsidRPr="002E0D72">
        <w:rPr>
          <w:i/>
          <w:iCs/>
        </w:rPr>
        <w:t xml:space="preserve">This template includes the important components of a workplan and provides the information needed to report progress on </w:t>
      </w:r>
      <w:r w:rsidR="00176952" w:rsidRPr="002E0D72">
        <w:rPr>
          <w:i/>
          <w:iCs/>
        </w:rPr>
        <w:t>F</w:t>
      </w:r>
      <w:r w:rsidRPr="002E0D72">
        <w:rPr>
          <w:i/>
          <w:iCs/>
        </w:rPr>
        <w:t>ishery</w:t>
      </w:r>
      <w:r w:rsidR="00176952" w:rsidRPr="002E0D72">
        <w:rPr>
          <w:i/>
          <w:iCs/>
        </w:rPr>
        <w:t>P</w:t>
      </w:r>
      <w:r w:rsidRPr="002E0D72">
        <w:rPr>
          <w:i/>
          <w:iCs/>
        </w:rPr>
        <w:t>rogress.org.</w:t>
      </w:r>
      <w:r w:rsidR="002E0D72">
        <w:rPr>
          <w:i/>
          <w:iCs/>
        </w:rPr>
        <w:t xml:space="preserve"> </w:t>
      </w:r>
      <w:r w:rsidRPr="002E0D72">
        <w:rPr>
          <w:i/>
          <w:iCs/>
        </w:rPr>
        <w:t>Upon completion, FIP workplans should be translated from the local language into English or from English into the local language to ensure adequate understanding among all stakeholders</w:t>
      </w:r>
      <w:r w:rsidR="00BC5B0D" w:rsidRPr="002E0D72">
        <w:rPr>
          <w:i/>
          <w:iCs/>
        </w:rPr>
        <w:t>.</w:t>
      </w:r>
      <w:r w:rsidR="002E0D72">
        <w:rPr>
          <w:i/>
          <w:iCs/>
        </w:rPr>
        <w:t xml:space="preserve"> </w:t>
      </w:r>
      <w:r w:rsidR="00AC492B" w:rsidRPr="002E0D72">
        <w:rPr>
          <w:i/>
          <w:iCs/>
          <w:color w:val="FF0000"/>
        </w:rPr>
        <w:t xml:space="preserve">Text in italics provides additional guidance about information that should be included in each section and should be removed from the final version of this document. </w:t>
      </w:r>
      <w:r w:rsidR="00AC492B" w:rsidRPr="002A6049">
        <w:rPr>
          <w:i/>
          <w:iCs/>
        </w:rPr>
        <w:t>Highlighted text should be replaced to reflect the information for your fishery.</w:t>
      </w:r>
    </w:p>
    <w:p w14:paraId="0933F709" w14:textId="77777777" w:rsidR="00AC492B" w:rsidRPr="005644BE" w:rsidRDefault="00AC492B">
      <w:pPr>
        <w:rPr>
          <w:b/>
          <w:color w:val="0070C0"/>
          <w:sz w:val="28"/>
          <w:szCs w:val="28"/>
        </w:rPr>
      </w:pPr>
    </w:p>
    <w:p w14:paraId="353215D0" w14:textId="79204D48" w:rsidR="00D94EED" w:rsidRPr="002E0D72" w:rsidRDefault="00EB7469">
      <w:pPr>
        <w:rPr>
          <w:b/>
          <w:i/>
          <w:iCs/>
          <w:sz w:val="28"/>
          <w:szCs w:val="28"/>
        </w:rPr>
      </w:pPr>
      <w:r w:rsidRPr="002E0D72">
        <w:rPr>
          <w:b/>
          <w:i/>
          <w:iCs/>
          <w:color w:val="0070C0"/>
          <w:sz w:val="28"/>
          <w:szCs w:val="28"/>
        </w:rPr>
        <w:t xml:space="preserve">Guidance </w:t>
      </w:r>
      <w:r w:rsidR="00E508EC" w:rsidRPr="002E0D72">
        <w:rPr>
          <w:b/>
          <w:i/>
          <w:iCs/>
          <w:color w:val="0070C0"/>
          <w:sz w:val="28"/>
          <w:szCs w:val="28"/>
        </w:rPr>
        <w:t>on how to use the workplan template</w:t>
      </w:r>
    </w:p>
    <w:p w14:paraId="5D7B9C36" w14:textId="50E9A707" w:rsidR="00D94EED" w:rsidRPr="002E0D72" w:rsidRDefault="00E508EC" w:rsidP="001273BE">
      <w:pPr>
        <w:rPr>
          <w:i/>
          <w:iCs/>
        </w:rPr>
      </w:pPr>
      <w:r w:rsidRPr="002E0D72">
        <w:rPr>
          <w:i/>
          <w:iCs/>
        </w:rPr>
        <w:t xml:space="preserve">The workplan template aims to help stakeholders develop a clear plan for implementing the fishery improvements that need to be </w:t>
      </w:r>
      <w:r w:rsidR="00157FF2" w:rsidRPr="002E0D72">
        <w:rPr>
          <w:i/>
          <w:iCs/>
        </w:rPr>
        <w:t>made and</w:t>
      </w:r>
      <w:r w:rsidRPr="002E0D72">
        <w:rPr>
          <w:i/>
          <w:iCs/>
        </w:rPr>
        <w:t xml:space="preserve"> ensures that information needed for reporting on Fishery</w:t>
      </w:r>
      <w:r w:rsidR="003F07D5" w:rsidRPr="002E0D72">
        <w:rPr>
          <w:i/>
          <w:iCs/>
        </w:rPr>
        <w:t>P</w:t>
      </w:r>
      <w:r w:rsidRPr="002E0D72">
        <w:rPr>
          <w:i/>
          <w:iCs/>
        </w:rPr>
        <w:t xml:space="preserve">rogress.org is included in the workplan. </w:t>
      </w:r>
      <w:r w:rsidR="001273BE" w:rsidRPr="004957BF">
        <w:rPr>
          <w:i/>
          <w:iCs/>
          <w:highlight w:val="yellow"/>
        </w:rPr>
        <w:t>For Comprehensive FIPs, e</w:t>
      </w:r>
      <w:r w:rsidRPr="004957BF">
        <w:rPr>
          <w:i/>
          <w:iCs/>
          <w:highlight w:val="yellow"/>
        </w:rPr>
        <w:t xml:space="preserve">ach </w:t>
      </w:r>
      <w:r w:rsidR="009829AA" w:rsidRPr="004957BF">
        <w:rPr>
          <w:i/>
          <w:iCs/>
          <w:highlight w:val="yellow"/>
        </w:rPr>
        <w:t>performance indicator (</w:t>
      </w:r>
      <w:r w:rsidRPr="004957BF">
        <w:rPr>
          <w:i/>
          <w:iCs/>
          <w:highlight w:val="yellow"/>
        </w:rPr>
        <w:t>PI</w:t>
      </w:r>
      <w:r w:rsidR="009829AA" w:rsidRPr="004957BF">
        <w:rPr>
          <w:i/>
          <w:iCs/>
          <w:highlight w:val="yellow"/>
        </w:rPr>
        <w:t>)</w:t>
      </w:r>
      <w:r w:rsidRPr="004957BF">
        <w:rPr>
          <w:i/>
          <w:iCs/>
          <w:highlight w:val="yellow"/>
        </w:rPr>
        <w:t xml:space="preserve"> that has a scoring category of &lt;60 (i.e., red) or 60-79 (i.e., </w:t>
      </w:r>
      <w:r w:rsidR="001D761D" w:rsidRPr="004957BF">
        <w:rPr>
          <w:i/>
          <w:iCs/>
          <w:highlight w:val="yellow"/>
        </w:rPr>
        <w:t>yellow</w:t>
      </w:r>
      <w:r w:rsidRPr="004957BF">
        <w:rPr>
          <w:i/>
          <w:iCs/>
          <w:highlight w:val="yellow"/>
        </w:rPr>
        <w:t xml:space="preserve">) must have at least one action directly linked to it, that would, when completed, result in </w:t>
      </w:r>
      <w:r w:rsidR="001273BE" w:rsidRPr="004957BF">
        <w:rPr>
          <w:i/>
          <w:iCs/>
          <w:highlight w:val="yellow"/>
        </w:rPr>
        <w:t>a score of &gt;80</w:t>
      </w:r>
      <w:r w:rsidRPr="004957BF">
        <w:rPr>
          <w:i/>
          <w:iCs/>
          <w:highlight w:val="yellow"/>
        </w:rPr>
        <w:t xml:space="preserve"> (i.e., meeti</w:t>
      </w:r>
      <w:r w:rsidR="00BC5B0D" w:rsidRPr="004957BF">
        <w:rPr>
          <w:i/>
          <w:iCs/>
          <w:highlight w:val="yellow"/>
        </w:rPr>
        <w:t>ng</w:t>
      </w:r>
      <w:r w:rsidRPr="004957BF">
        <w:rPr>
          <w:i/>
          <w:iCs/>
          <w:highlight w:val="yellow"/>
        </w:rPr>
        <w:t xml:space="preserve"> the requirements of the </w:t>
      </w:r>
      <w:r w:rsidR="001273BE" w:rsidRPr="004957BF">
        <w:rPr>
          <w:i/>
          <w:iCs/>
          <w:highlight w:val="yellow"/>
        </w:rPr>
        <w:t>&gt;80</w:t>
      </w:r>
      <w:r w:rsidRPr="004957BF">
        <w:rPr>
          <w:i/>
          <w:iCs/>
          <w:highlight w:val="yellow"/>
        </w:rPr>
        <w:t xml:space="preserve"> guidepost for that PI).</w:t>
      </w:r>
      <w:r w:rsidR="001273BE" w:rsidRPr="004957BF">
        <w:rPr>
          <w:i/>
          <w:iCs/>
          <w:highlight w:val="yellow"/>
        </w:rPr>
        <w:t xml:space="preserve"> For Basic FIPs, there must be at least one action directly linked to </w:t>
      </w:r>
      <w:r w:rsidR="004F001F" w:rsidRPr="004957BF">
        <w:rPr>
          <w:i/>
          <w:iCs/>
          <w:highlight w:val="yellow"/>
        </w:rPr>
        <w:t>a</w:t>
      </w:r>
      <w:r w:rsidR="001273BE" w:rsidRPr="004957BF">
        <w:rPr>
          <w:i/>
          <w:iCs/>
          <w:highlight w:val="yellow"/>
        </w:rPr>
        <w:t xml:space="preserve"> PI that has a scoring category of</w:t>
      </w:r>
      <w:r w:rsidR="001273BE" w:rsidRPr="002E0D72">
        <w:rPr>
          <w:i/>
          <w:iCs/>
        </w:rPr>
        <w:t xml:space="preserve"> &lt;60 (i.e., red) or 60-79 (i.e., yellow). The actions, when completed, must lead to at least one increased score change (i.e., meeting the requirements of the next scoring guidepost for that PI).</w:t>
      </w:r>
    </w:p>
    <w:p w14:paraId="0C5CF80B" w14:textId="77777777" w:rsidR="001273BE" w:rsidRPr="002E0D72" w:rsidRDefault="001273BE">
      <w:pPr>
        <w:rPr>
          <w:i/>
          <w:iCs/>
        </w:rPr>
      </w:pPr>
    </w:p>
    <w:p w14:paraId="6A24A0AD" w14:textId="6CBD02B0" w:rsidR="00D94EED" w:rsidRPr="002E0D72" w:rsidRDefault="00E508EC">
      <w:pPr>
        <w:rPr>
          <w:i/>
          <w:iCs/>
        </w:rPr>
      </w:pPr>
      <w:r w:rsidRPr="002E0D72">
        <w:rPr>
          <w:i/>
          <w:iCs/>
        </w:rPr>
        <w:t xml:space="preserve">The critical elements </w:t>
      </w:r>
      <w:r w:rsidR="003F07D5" w:rsidRPr="002E0D72">
        <w:rPr>
          <w:i/>
          <w:iCs/>
        </w:rPr>
        <w:t xml:space="preserve">that need to </w:t>
      </w:r>
      <w:r w:rsidRPr="002E0D72">
        <w:rPr>
          <w:i/>
          <w:iCs/>
        </w:rPr>
        <w:t xml:space="preserve">be included </w:t>
      </w:r>
      <w:r w:rsidR="003F5A96" w:rsidRPr="002E0D72">
        <w:rPr>
          <w:i/>
          <w:iCs/>
        </w:rPr>
        <w:t>in</w:t>
      </w:r>
      <w:r w:rsidRPr="002E0D72">
        <w:rPr>
          <w:i/>
          <w:iCs/>
        </w:rPr>
        <w:t xml:space="preserve"> the FIP workplan</w:t>
      </w:r>
      <w:r w:rsidR="003F5A96" w:rsidRPr="002E0D72">
        <w:rPr>
          <w:i/>
          <w:iCs/>
        </w:rPr>
        <w:t xml:space="preserve"> are</w:t>
      </w:r>
      <w:r w:rsidRPr="002E0D72">
        <w:rPr>
          <w:i/>
          <w:iCs/>
        </w:rPr>
        <w:t xml:space="preserve">: </w:t>
      </w:r>
    </w:p>
    <w:p w14:paraId="1A34FD9E" w14:textId="767B36B2" w:rsidR="00D94EED" w:rsidRPr="002E0D72" w:rsidRDefault="00E508EC">
      <w:pPr>
        <w:numPr>
          <w:ilvl w:val="0"/>
          <w:numId w:val="2"/>
        </w:numPr>
        <w:spacing w:after="120"/>
        <w:ind w:left="720"/>
        <w:rPr>
          <w:i/>
          <w:iCs/>
        </w:rPr>
      </w:pPr>
      <w:r w:rsidRPr="002E0D72">
        <w:rPr>
          <w:b/>
          <w:i/>
          <w:iCs/>
        </w:rPr>
        <w:t>Actions:</w:t>
      </w:r>
      <w:r w:rsidRPr="002E0D72">
        <w:rPr>
          <w:i/>
          <w:iCs/>
        </w:rPr>
        <w:t xml:space="preserve"> Defined as a major activity </w:t>
      </w:r>
      <w:r w:rsidR="003F07D5" w:rsidRPr="002E0D72">
        <w:rPr>
          <w:i/>
          <w:iCs/>
        </w:rPr>
        <w:t xml:space="preserve">in </w:t>
      </w:r>
      <w:r w:rsidRPr="002E0D72">
        <w:rPr>
          <w:i/>
          <w:iCs/>
        </w:rPr>
        <w:t xml:space="preserve">the FIP’s workplan that must be completed to address </w:t>
      </w:r>
      <w:r w:rsidR="003F07D5" w:rsidRPr="002E0D72">
        <w:rPr>
          <w:i/>
          <w:iCs/>
        </w:rPr>
        <w:t xml:space="preserve">specific </w:t>
      </w:r>
      <w:r w:rsidRPr="002E0D72">
        <w:rPr>
          <w:i/>
          <w:iCs/>
        </w:rPr>
        <w:t xml:space="preserve">deficiencies identified in the needs assessment (for basic FIPs) or MSC pre-assessment (for comprehensive FIPs). </w:t>
      </w:r>
      <w:r w:rsidR="003F07D5" w:rsidRPr="002E0D72">
        <w:rPr>
          <w:i/>
          <w:iCs/>
        </w:rPr>
        <w:t>For comprehensive FIPs, a</w:t>
      </w:r>
      <w:r w:rsidRPr="002E0D72">
        <w:rPr>
          <w:i/>
          <w:iCs/>
        </w:rPr>
        <w:t xml:space="preserve">ctions should clearly link to the PIs of the MSC Fisheries Standard. For FIPs reporting their progress on </w:t>
      </w:r>
      <w:hyperlink r:id="rId8">
        <w:r w:rsidR="003F07D5" w:rsidRPr="002E0D72">
          <w:rPr>
            <w:i/>
            <w:iCs/>
            <w:color w:val="1155CC"/>
            <w:u w:val="single"/>
          </w:rPr>
          <w:t>F</w:t>
        </w:r>
        <w:r w:rsidRPr="002E0D72">
          <w:rPr>
            <w:i/>
            <w:iCs/>
            <w:color w:val="1155CC"/>
            <w:u w:val="single"/>
          </w:rPr>
          <w:t>ishery</w:t>
        </w:r>
        <w:r w:rsidR="003F07D5" w:rsidRPr="002E0D72">
          <w:rPr>
            <w:i/>
            <w:iCs/>
            <w:color w:val="1155CC"/>
            <w:u w:val="single"/>
          </w:rPr>
          <w:t>P</w:t>
        </w:r>
        <w:r w:rsidRPr="002E0D72">
          <w:rPr>
            <w:i/>
            <w:iCs/>
            <w:color w:val="1155CC"/>
            <w:u w:val="single"/>
          </w:rPr>
          <w:t>rogress.org</w:t>
        </w:r>
      </w:hyperlink>
      <w:r w:rsidRPr="002E0D72">
        <w:rPr>
          <w:i/>
          <w:iCs/>
        </w:rPr>
        <w:t xml:space="preserve">, both basic and comprehensive FIPs need to report progress against the MSC Principles. </w:t>
      </w:r>
    </w:p>
    <w:p w14:paraId="7DF25808" w14:textId="77777777" w:rsidR="00D94EED" w:rsidRPr="002E0D72" w:rsidRDefault="00E508EC">
      <w:pPr>
        <w:numPr>
          <w:ilvl w:val="0"/>
          <w:numId w:val="2"/>
        </w:numPr>
        <w:spacing w:after="120"/>
        <w:ind w:left="720"/>
        <w:rPr>
          <w:i/>
          <w:iCs/>
        </w:rPr>
      </w:pPr>
      <w:r w:rsidRPr="002E0D72">
        <w:rPr>
          <w:b/>
          <w:i/>
          <w:iCs/>
        </w:rPr>
        <w:t>Completion dates:</w:t>
      </w:r>
      <w:r w:rsidRPr="002E0D72">
        <w:rPr>
          <w:i/>
          <w:iCs/>
        </w:rPr>
        <w:t xml:space="preserve"> To ensure accountability, an expected completion date should be included for each action.</w:t>
      </w:r>
    </w:p>
    <w:p w14:paraId="55282F9A" w14:textId="77777777" w:rsidR="00D94EED" w:rsidRPr="002E0D72" w:rsidRDefault="00E508EC">
      <w:pPr>
        <w:numPr>
          <w:ilvl w:val="0"/>
          <w:numId w:val="2"/>
        </w:numPr>
        <w:spacing w:after="120"/>
        <w:ind w:left="720"/>
        <w:rPr>
          <w:i/>
          <w:iCs/>
        </w:rPr>
      </w:pPr>
      <w:r w:rsidRPr="002E0D72">
        <w:rPr>
          <w:b/>
          <w:i/>
          <w:iCs/>
        </w:rPr>
        <w:lastRenderedPageBreak/>
        <w:t>Priority:</w:t>
      </w:r>
      <w:r w:rsidRPr="002E0D72">
        <w:rPr>
          <w:i/>
          <w:iCs/>
        </w:rPr>
        <w:t xml:space="preserve"> High, medium or low priority taking into account scoring in the needs assessment or MSC pre-assessment and sequencing of actions (output of one action needed to begin another action).</w:t>
      </w:r>
    </w:p>
    <w:p w14:paraId="01B71B2A" w14:textId="6FEE3476" w:rsidR="00D94EED" w:rsidRPr="002E0D72" w:rsidRDefault="00FA35A8">
      <w:pPr>
        <w:numPr>
          <w:ilvl w:val="0"/>
          <w:numId w:val="2"/>
        </w:numPr>
        <w:spacing w:after="120"/>
        <w:ind w:left="720"/>
        <w:rPr>
          <w:i/>
          <w:iCs/>
        </w:rPr>
      </w:pPr>
      <w:r w:rsidRPr="002E0D72">
        <w:rPr>
          <w:b/>
          <w:i/>
          <w:iCs/>
        </w:rPr>
        <w:t>Estimated Cost</w:t>
      </w:r>
      <w:r w:rsidR="00E508EC" w:rsidRPr="002E0D72">
        <w:rPr>
          <w:b/>
          <w:i/>
          <w:iCs/>
        </w:rPr>
        <w:t>:</w:t>
      </w:r>
      <w:r w:rsidR="00E508EC" w:rsidRPr="002E0D72">
        <w:rPr>
          <w:i/>
          <w:iCs/>
        </w:rPr>
        <w:t xml:space="preserve"> Costs for each action.</w:t>
      </w:r>
    </w:p>
    <w:p w14:paraId="6899C32B" w14:textId="77777777" w:rsidR="00D94EED" w:rsidRPr="002E0D72" w:rsidRDefault="00E508EC">
      <w:pPr>
        <w:numPr>
          <w:ilvl w:val="0"/>
          <w:numId w:val="2"/>
        </w:numPr>
        <w:spacing w:after="120"/>
        <w:ind w:left="720"/>
        <w:rPr>
          <w:i/>
          <w:iCs/>
        </w:rPr>
      </w:pPr>
      <w:r w:rsidRPr="002E0D72">
        <w:rPr>
          <w:b/>
          <w:i/>
          <w:iCs/>
        </w:rPr>
        <w:t>Responsible parties:</w:t>
      </w:r>
      <w:r w:rsidRPr="002E0D72">
        <w:rPr>
          <w:i/>
          <w:iCs/>
        </w:rPr>
        <w:t xml:space="preserve"> Organizations/individuals responsible for completing the actions as agreed upon by FIP stakeholders.</w:t>
      </w:r>
    </w:p>
    <w:p w14:paraId="6DE12934" w14:textId="77777777" w:rsidR="00D94EED" w:rsidRPr="002E0D72" w:rsidRDefault="00E508EC">
      <w:pPr>
        <w:numPr>
          <w:ilvl w:val="0"/>
          <w:numId w:val="2"/>
        </w:numPr>
        <w:spacing w:after="120"/>
        <w:ind w:left="720"/>
        <w:rPr>
          <w:i/>
          <w:iCs/>
        </w:rPr>
      </w:pPr>
      <w:r w:rsidRPr="002E0D72">
        <w:rPr>
          <w:b/>
          <w:i/>
          <w:iCs/>
        </w:rPr>
        <w:t>MSC PIs:</w:t>
      </w:r>
      <w:r w:rsidRPr="002E0D72">
        <w:rPr>
          <w:i/>
          <w:iCs/>
        </w:rPr>
        <w:t xml:space="preserve"> All PIs that will be addressed by the action.</w:t>
      </w:r>
    </w:p>
    <w:p w14:paraId="71F6A5E6" w14:textId="12755F7E" w:rsidR="00D94EED" w:rsidRDefault="00E508EC">
      <w:pPr>
        <w:numPr>
          <w:ilvl w:val="0"/>
          <w:numId w:val="2"/>
        </w:numPr>
        <w:spacing w:after="120"/>
        <w:ind w:left="720"/>
        <w:rPr>
          <w:i/>
          <w:iCs/>
        </w:rPr>
      </w:pPr>
      <w:r w:rsidRPr="002E0D72">
        <w:rPr>
          <w:b/>
          <w:i/>
          <w:iCs/>
        </w:rPr>
        <w:t>Tasks:</w:t>
      </w:r>
      <w:r w:rsidRPr="002E0D72">
        <w:rPr>
          <w:i/>
          <w:iCs/>
        </w:rPr>
        <w:t xml:space="preserve"> This section breaks the actions identified above down into specific steps that describe how the action will be accomplished. Tasks provide more clarity on how the FIP intends to complete each action. This allows participants to better track progress over time and communicate about </w:t>
      </w:r>
      <w:r w:rsidR="003F07D5" w:rsidRPr="002E0D72">
        <w:rPr>
          <w:i/>
          <w:iCs/>
        </w:rPr>
        <w:t>progress being made in the FIP</w:t>
      </w:r>
      <w:r w:rsidRPr="002E0D72">
        <w:rPr>
          <w:i/>
          <w:iCs/>
        </w:rPr>
        <w:t>.</w:t>
      </w:r>
    </w:p>
    <w:p w14:paraId="029D54EF" w14:textId="77777777" w:rsidR="00AC492B" w:rsidRPr="00AC492B" w:rsidRDefault="00AC492B" w:rsidP="002E0D72">
      <w:pPr>
        <w:spacing w:after="120"/>
      </w:pPr>
    </w:p>
    <w:p w14:paraId="0A5A85A9" w14:textId="6242D3D3" w:rsidR="00AC492B" w:rsidRPr="002E0D72" w:rsidRDefault="009A17DA" w:rsidP="009A17DA">
      <w:pPr>
        <w:pStyle w:val="Caption"/>
        <w:keepNext/>
        <w:rPr>
          <w:b/>
          <w:bCs/>
          <w:sz w:val="20"/>
          <w:szCs w:val="20"/>
        </w:rPr>
      </w:pPr>
      <w:r>
        <w:t xml:space="preserve">Table </w:t>
      </w:r>
      <w:r>
        <w:fldChar w:fldCharType="begin"/>
      </w:r>
      <w:r>
        <w:instrText xml:space="preserve"> SEQ Table \* ARABIC </w:instrText>
      </w:r>
      <w:r>
        <w:fldChar w:fldCharType="separate"/>
      </w:r>
      <w:r w:rsidR="000779F6">
        <w:rPr>
          <w:noProof/>
        </w:rPr>
        <w:t>1</w:t>
      </w:r>
      <w:r>
        <w:fldChar w:fldCharType="end"/>
      </w:r>
      <w:r w:rsidR="00AC492B" w:rsidRPr="002E0D72">
        <w:rPr>
          <w:b/>
          <w:bCs/>
          <w:sz w:val="20"/>
          <w:szCs w:val="20"/>
        </w:rPr>
        <w:t>: Workplan Overview</w:t>
      </w:r>
    </w:p>
    <w:tbl>
      <w:tblPr>
        <w:tblStyle w:val="TableGrid"/>
        <w:tblW w:w="5000" w:type="pct"/>
        <w:tblLook w:val="04A0" w:firstRow="1" w:lastRow="0" w:firstColumn="1" w:lastColumn="0" w:noHBand="0" w:noVBand="1"/>
      </w:tblPr>
      <w:tblGrid>
        <w:gridCol w:w="6024"/>
        <w:gridCol w:w="6926"/>
      </w:tblGrid>
      <w:tr w:rsidR="00AC492B" w:rsidRPr="00BC6665" w14:paraId="188F399F" w14:textId="77777777" w:rsidTr="000F6D2F">
        <w:tc>
          <w:tcPr>
            <w:tcW w:w="2326" w:type="pct"/>
            <w:shd w:val="clear" w:color="auto" w:fill="0070C0"/>
          </w:tcPr>
          <w:p w14:paraId="4DC652A0" w14:textId="3529226E" w:rsidR="00AC492B" w:rsidRPr="002E0D72" w:rsidRDefault="00AC492B" w:rsidP="000779F6">
            <w:pPr>
              <w:rPr>
                <w:b/>
                <w:bCs/>
                <w:color w:val="FFFFFF" w:themeColor="background1"/>
                <w:lang w:val="en-GB"/>
              </w:rPr>
            </w:pPr>
            <w:r w:rsidRPr="002E0D72">
              <w:rPr>
                <w:b/>
                <w:color w:val="FFFFFF" w:themeColor="background1"/>
                <w:lang w:val="en-GB"/>
              </w:rPr>
              <w:t>Workplan Version and Date</w:t>
            </w:r>
          </w:p>
        </w:tc>
        <w:tc>
          <w:tcPr>
            <w:tcW w:w="2674" w:type="pct"/>
            <w:shd w:val="clear" w:color="auto" w:fill="auto"/>
          </w:tcPr>
          <w:p w14:paraId="4C5CA0BC" w14:textId="0DDE1C6F" w:rsidR="00AC492B" w:rsidRPr="00BC6665" w:rsidRDefault="00B965D6" w:rsidP="000779F6">
            <w:pPr>
              <w:rPr>
                <w:b/>
                <w:bCs/>
                <w:lang w:val="en-GB"/>
              </w:rPr>
            </w:pPr>
            <w:r>
              <w:rPr>
                <w:b/>
                <w:bCs/>
                <w:lang w:val="en-GB"/>
              </w:rPr>
              <w:t>Version 1.0 February 2021</w:t>
            </w:r>
            <w:r w:rsidR="00814965">
              <w:rPr>
                <w:b/>
                <w:bCs/>
                <w:lang w:val="en-GB"/>
              </w:rPr>
              <w:t>, revised Nov 2024</w:t>
            </w:r>
          </w:p>
        </w:tc>
      </w:tr>
      <w:tr w:rsidR="00AC492B" w:rsidRPr="00BC6665" w14:paraId="131EC702" w14:textId="77777777" w:rsidTr="000F6D2F">
        <w:trPr>
          <w:trHeight w:val="309"/>
        </w:trPr>
        <w:tc>
          <w:tcPr>
            <w:tcW w:w="2326" w:type="pct"/>
            <w:shd w:val="clear" w:color="auto" w:fill="0070C0"/>
          </w:tcPr>
          <w:p w14:paraId="49A23CC3" w14:textId="3EA6BDFB" w:rsidR="00AC492B" w:rsidRPr="002E0D72" w:rsidRDefault="00AC492B" w:rsidP="000779F6">
            <w:pPr>
              <w:rPr>
                <w:b/>
                <w:bCs/>
                <w:color w:val="FFFFFF" w:themeColor="background1"/>
                <w:lang w:val="en-GB"/>
              </w:rPr>
            </w:pPr>
            <w:r w:rsidRPr="002E0D72">
              <w:rPr>
                <w:b/>
                <w:bCs/>
                <w:color w:val="FFFFFF" w:themeColor="background1"/>
                <w:lang w:val="en-GB"/>
              </w:rPr>
              <w:t xml:space="preserve">Start date </w:t>
            </w:r>
            <w:r w:rsidR="00970327">
              <w:rPr>
                <w:b/>
                <w:bCs/>
                <w:color w:val="FFFFFF" w:themeColor="background1"/>
                <w:lang w:val="en-GB"/>
              </w:rPr>
              <w:t>May</w:t>
            </w:r>
            <w:r w:rsidR="00A33ABB">
              <w:rPr>
                <w:b/>
                <w:bCs/>
                <w:color w:val="FFFFFF" w:themeColor="background1"/>
                <w:lang w:val="en-GB"/>
              </w:rPr>
              <w:t xml:space="preserve"> 2022</w:t>
            </w:r>
          </w:p>
        </w:tc>
        <w:tc>
          <w:tcPr>
            <w:tcW w:w="2674" w:type="pct"/>
            <w:shd w:val="clear" w:color="auto" w:fill="0070C0"/>
          </w:tcPr>
          <w:p w14:paraId="7001E0ED" w14:textId="36A17071" w:rsidR="00AC492B" w:rsidRPr="00BC6665" w:rsidRDefault="00AC492B" w:rsidP="000779F6">
            <w:pPr>
              <w:rPr>
                <w:b/>
                <w:lang w:val="en-GB"/>
              </w:rPr>
            </w:pPr>
            <w:r w:rsidRPr="002E0D72">
              <w:rPr>
                <w:b/>
                <w:color w:val="FFFFFF" w:themeColor="background1"/>
                <w:lang w:val="en-GB"/>
              </w:rPr>
              <w:t>End date</w:t>
            </w:r>
            <w:r w:rsidR="00814965">
              <w:rPr>
                <w:b/>
                <w:color w:val="FFFFFF" w:themeColor="background1"/>
                <w:lang w:val="en-GB"/>
              </w:rPr>
              <w:t>: May 2026</w:t>
            </w:r>
          </w:p>
        </w:tc>
      </w:tr>
      <w:tr w:rsidR="00AC492B" w:rsidRPr="00BC6665" w14:paraId="160C59D3" w14:textId="77777777" w:rsidTr="000F6D2F">
        <w:trPr>
          <w:trHeight w:val="308"/>
        </w:trPr>
        <w:tc>
          <w:tcPr>
            <w:tcW w:w="2326" w:type="pct"/>
          </w:tcPr>
          <w:p w14:paraId="1EC54237" w14:textId="77777777" w:rsidR="00AC492B" w:rsidRPr="00BC6665" w:rsidRDefault="00AC492B" w:rsidP="000779F6">
            <w:pPr>
              <w:rPr>
                <w:b/>
                <w:bCs/>
                <w:lang w:val="en-GB"/>
              </w:rPr>
            </w:pPr>
          </w:p>
        </w:tc>
        <w:tc>
          <w:tcPr>
            <w:tcW w:w="2674" w:type="pct"/>
          </w:tcPr>
          <w:p w14:paraId="1089EB16" w14:textId="77777777" w:rsidR="00AC492B" w:rsidRPr="00BC6665" w:rsidRDefault="00AC492B" w:rsidP="000779F6">
            <w:pPr>
              <w:rPr>
                <w:b/>
                <w:lang w:val="en-GB"/>
              </w:rPr>
            </w:pPr>
          </w:p>
        </w:tc>
      </w:tr>
      <w:tr w:rsidR="00AC492B" w:rsidRPr="00BC6665" w14:paraId="1EA56773" w14:textId="77777777" w:rsidTr="000F6D2F">
        <w:trPr>
          <w:trHeight w:val="620"/>
        </w:trPr>
        <w:tc>
          <w:tcPr>
            <w:tcW w:w="2326" w:type="pct"/>
            <w:shd w:val="clear" w:color="auto" w:fill="0070C0"/>
          </w:tcPr>
          <w:p w14:paraId="72DEBB48" w14:textId="3DCC128F" w:rsidR="00AC492B" w:rsidRPr="002E0D72" w:rsidRDefault="00AC492B" w:rsidP="000779F6">
            <w:pPr>
              <w:rPr>
                <w:b/>
                <w:bCs/>
                <w:color w:val="FFFFFF" w:themeColor="background1"/>
                <w:lang w:val="en-GB"/>
              </w:rPr>
            </w:pPr>
            <w:r w:rsidRPr="002E0D72">
              <w:rPr>
                <w:b/>
                <w:bCs/>
                <w:color w:val="FFFFFF" w:themeColor="background1"/>
                <w:lang w:val="en-GB"/>
              </w:rPr>
              <w:t>FIP Lead</w:t>
            </w:r>
            <w:r w:rsidRPr="002E0D72">
              <w:rPr>
                <w:bCs/>
                <w:color w:val="FFFFFF" w:themeColor="background1"/>
                <w:lang w:val="en-GB"/>
              </w:rPr>
              <w:t xml:space="preserve">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ation/individual responsible for Action Plan)</w:t>
            </w:r>
          </w:p>
        </w:tc>
        <w:tc>
          <w:tcPr>
            <w:tcW w:w="2674" w:type="pct"/>
            <w:shd w:val="clear" w:color="auto" w:fill="0070C0"/>
          </w:tcPr>
          <w:p w14:paraId="65C3ABDF" w14:textId="012C9999" w:rsidR="00AC492B" w:rsidRPr="002E0D72" w:rsidRDefault="00AC492B" w:rsidP="000779F6">
            <w:pPr>
              <w:rPr>
                <w:b/>
                <w:color w:val="FFFFFF" w:themeColor="background1"/>
                <w:lang w:val="en-GB"/>
              </w:rPr>
            </w:pPr>
            <w:r w:rsidRPr="002E0D72">
              <w:rPr>
                <w:b/>
                <w:color w:val="FFFFFF" w:themeColor="background1"/>
                <w:lang w:val="en-GB"/>
              </w:rPr>
              <w:t xml:space="preserve">Improvements recommended by </w:t>
            </w:r>
            <w:r w:rsidRPr="000F6D2F">
              <w:rPr>
                <w:color w:val="FFFFFF" w:themeColor="background1"/>
                <w:sz w:val="20"/>
                <w:szCs w:val="20"/>
                <w:lang w:val="en-GB"/>
              </w:rPr>
              <w:t>(meeting/group that supported the development)</w:t>
            </w:r>
          </w:p>
        </w:tc>
      </w:tr>
      <w:tr w:rsidR="00AC492B" w:rsidRPr="00BC6665" w14:paraId="48678897" w14:textId="77777777" w:rsidTr="000F6D2F">
        <w:trPr>
          <w:trHeight w:val="620"/>
        </w:trPr>
        <w:tc>
          <w:tcPr>
            <w:tcW w:w="2326" w:type="pct"/>
          </w:tcPr>
          <w:p w14:paraId="4A7E6DA9" w14:textId="0AB4FA3F" w:rsidR="00824CF3" w:rsidRPr="00BC6665" w:rsidRDefault="00824CF3" w:rsidP="000779F6">
            <w:pPr>
              <w:rPr>
                <w:b/>
                <w:bCs/>
                <w:lang w:val="en-GB"/>
              </w:rPr>
            </w:pPr>
            <w:r>
              <w:rPr>
                <w:b/>
                <w:bCs/>
                <w:lang w:val="en-GB"/>
              </w:rPr>
              <w:t>M. Shiham Adam</w:t>
            </w:r>
          </w:p>
        </w:tc>
        <w:tc>
          <w:tcPr>
            <w:tcW w:w="2674" w:type="pct"/>
          </w:tcPr>
          <w:p w14:paraId="6F41BFCA" w14:textId="5064FBD8" w:rsidR="00B965D6" w:rsidRPr="00BC6665" w:rsidRDefault="00B965D6" w:rsidP="000779F6">
            <w:pPr>
              <w:rPr>
                <w:b/>
                <w:lang w:val="en-GB"/>
              </w:rPr>
            </w:pPr>
            <w:r>
              <w:rPr>
                <w:b/>
                <w:lang w:val="en-GB"/>
              </w:rPr>
              <w:t>A Hough, Hough Associates Ltd</w:t>
            </w:r>
          </w:p>
        </w:tc>
      </w:tr>
      <w:tr w:rsidR="00AC492B" w:rsidRPr="00BC6665" w14:paraId="3740EFF3" w14:textId="77777777" w:rsidTr="000F6D2F">
        <w:trPr>
          <w:trHeight w:val="480"/>
        </w:trPr>
        <w:tc>
          <w:tcPr>
            <w:tcW w:w="2326" w:type="pct"/>
            <w:shd w:val="clear" w:color="auto" w:fill="0070C0"/>
          </w:tcPr>
          <w:p w14:paraId="46EFEB63" w14:textId="58F0C71C" w:rsidR="00AC492B" w:rsidRPr="002E0D72" w:rsidRDefault="00AC492B" w:rsidP="000779F6">
            <w:pPr>
              <w:rPr>
                <w:b/>
                <w:bCs/>
                <w:color w:val="FFFFFF" w:themeColor="background1"/>
                <w:lang w:val="en-GB"/>
              </w:rPr>
            </w:pPr>
            <w:r w:rsidRPr="002E0D72">
              <w:rPr>
                <w:b/>
                <w:bCs/>
                <w:color w:val="FFFFFF" w:themeColor="background1"/>
                <w:lang w:val="en-GB"/>
              </w:rPr>
              <w:t xml:space="preserve">FIP Coordinator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 xml:space="preserve">ation/individual responsible for </w:t>
            </w:r>
            <w:r w:rsidR="00FC3B5F" w:rsidRPr="000F6D2F">
              <w:rPr>
                <w:bCs/>
                <w:color w:val="FFFFFF" w:themeColor="background1"/>
                <w:sz w:val="20"/>
                <w:szCs w:val="20"/>
                <w:lang w:val="en-GB"/>
              </w:rPr>
              <w:t xml:space="preserve">reporting on </w:t>
            </w:r>
            <w:proofErr w:type="spellStart"/>
            <w:r w:rsidRPr="000F6D2F">
              <w:rPr>
                <w:bCs/>
                <w:color w:val="FFFFFF" w:themeColor="background1"/>
                <w:sz w:val="20"/>
                <w:szCs w:val="20"/>
                <w:lang w:val="en-GB"/>
              </w:rPr>
              <w:t>FisheryProgress</w:t>
            </w:r>
            <w:proofErr w:type="spellEnd"/>
            <w:r w:rsidRPr="000F6D2F">
              <w:rPr>
                <w:bCs/>
                <w:color w:val="FFFFFF" w:themeColor="background1"/>
                <w:sz w:val="20"/>
                <w:szCs w:val="20"/>
                <w:lang w:val="en-GB"/>
              </w:rPr>
              <w:t>)</w:t>
            </w:r>
          </w:p>
        </w:tc>
        <w:tc>
          <w:tcPr>
            <w:tcW w:w="2674" w:type="pct"/>
            <w:tcBorders>
              <w:bottom w:val="single" w:sz="4" w:space="0" w:color="auto"/>
            </w:tcBorders>
            <w:shd w:val="clear" w:color="auto" w:fill="0070C0"/>
          </w:tcPr>
          <w:p w14:paraId="7D260955" w14:textId="270D2187" w:rsidR="00AC492B" w:rsidRPr="002E0D72" w:rsidRDefault="00AC492B" w:rsidP="000779F6">
            <w:pPr>
              <w:rPr>
                <w:b/>
                <w:color w:val="FFFFFF" w:themeColor="background1"/>
                <w:lang w:val="en-GB"/>
              </w:rPr>
            </w:pPr>
            <w:r w:rsidRPr="002E0D72">
              <w:rPr>
                <w:b/>
                <w:color w:val="FFFFFF" w:themeColor="background1"/>
                <w:lang w:val="en-GB"/>
              </w:rPr>
              <w:t xml:space="preserve">Workplan developed by </w:t>
            </w:r>
            <w:r w:rsidRPr="000F6D2F">
              <w:rPr>
                <w:color w:val="FFFFFF" w:themeColor="background1"/>
                <w:sz w:val="20"/>
                <w:szCs w:val="20"/>
                <w:lang w:val="en-GB"/>
              </w:rPr>
              <w:t>(consultant or person)</w:t>
            </w:r>
          </w:p>
        </w:tc>
      </w:tr>
      <w:tr w:rsidR="00AC492B" w:rsidRPr="00BC6665" w14:paraId="378446D5" w14:textId="77777777" w:rsidTr="000F6D2F">
        <w:trPr>
          <w:trHeight w:val="480"/>
        </w:trPr>
        <w:tc>
          <w:tcPr>
            <w:tcW w:w="2326" w:type="pct"/>
          </w:tcPr>
          <w:p w14:paraId="43D51A3A" w14:textId="77777777" w:rsidR="00AC492B" w:rsidRDefault="00AC492B" w:rsidP="000779F6">
            <w:pPr>
              <w:rPr>
                <w:b/>
                <w:bCs/>
                <w:lang w:val="en-GB"/>
              </w:rPr>
            </w:pPr>
          </w:p>
          <w:p w14:paraId="514210AC" w14:textId="0B945900" w:rsidR="00824CF3" w:rsidRPr="00BC6665" w:rsidRDefault="00824CF3" w:rsidP="000779F6">
            <w:pPr>
              <w:rPr>
                <w:b/>
                <w:bCs/>
                <w:lang w:val="en-GB"/>
              </w:rPr>
            </w:pPr>
            <w:r>
              <w:rPr>
                <w:b/>
                <w:bCs/>
                <w:lang w:val="en-GB"/>
              </w:rPr>
              <w:t>M. Shiham Adam</w:t>
            </w:r>
          </w:p>
        </w:tc>
        <w:tc>
          <w:tcPr>
            <w:tcW w:w="2674" w:type="pct"/>
          </w:tcPr>
          <w:p w14:paraId="6E8676B1" w14:textId="12FEFA55" w:rsidR="00B965D6" w:rsidRPr="00BC6665" w:rsidRDefault="00B965D6" w:rsidP="000779F6">
            <w:pPr>
              <w:rPr>
                <w:b/>
                <w:lang w:val="en-GB"/>
              </w:rPr>
            </w:pPr>
            <w:r>
              <w:rPr>
                <w:b/>
                <w:lang w:val="en-GB"/>
              </w:rPr>
              <w:t>A Hough, Hough Associates Ltd</w:t>
            </w:r>
          </w:p>
        </w:tc>
      </w:tr>
    </w:tbl>
    <w:p w14:paraId="72D3E317" w14:textId="77777777" w:rsidR="00AC492B" w:rsidRDefault="00AC492B">
      <w:pPr>
        <w:rPr>
          <w:color w:val="4A86E8"/>
          <w:sz w:val="36"/>
          <w:szCs w:val="36"/>
        </w:rPr>
      </w:pPr>
    </w:p>
    <w:p w14:paraId="678501F8" w14:textId="77777777" w:rsidR="00D94EED" w:rsidRDefault="00E508EC" w:rsidP="00DB5FB6">
      <w:pPr>
        <w:pStyle w:val="Heading4"/>
      </w:pPr>
      <w:bookmarkStart w:id="2" w:name="_u4s1yqvhvo50" w:colFirst="0" w:colLast="0"/>
      <w:bookmarkStart w:id="3" w:name="_rmrd6jjowz2u" w:colFirst="0" w:colLast="0"/>
      <w:bookmarkStart w:id="4" w:name="_v68uztjwrqim" w:colFirst="0" w:colLast="0"/>
      <w:bookmarkStart w:id="5" w:name="_k5nvuqf6095j" w:colFirst="0" w:colLast="0"/>
      <w:bookmarkStart w:id="6" w:name="_t1bcrkyaq2r5" w:colFirst="0" w:colLast="0"/>
      <w:bookmarkStart w:id="7" w:name="_6jm7tye42zvq" w:colFirst="0" w:colLast="0"/>
      <w:bookmarkStart w:id="8" w:name="_999cdg257s53" w:colFirst="0" w:colLast="0"/>
      <w:bookmarkStart w:id="9" w:name="_xits1swpkd9g" w:colFirst="0" w:colLast="0"/>
      <w:bookmarkStart w:id="10" w:name="_90k9uqd9bkdo" w:colFirst="0" w:colLast="0"/>
      <w:bookmarkStart w:id="11" w:name="_2qdfxt8nulls" w:colFirst="0" w:colLast="0"/>
      <w:bookmarkStart w:id="12" w:name="_w8w72hxsctrb" w:colFirst="0" w:colLast="0"/>
      <w:bookmarkStart w:id="13" w:name="_ulyhtfamyxqs" w:colFirst="0" w:colLast="0"/>
      <w:bookmarkEnd w:id="2"/>
      <w:bookmarkEnd w:id="3"/>
      <w:bookmarkEnd w:id="4"/>
      <w:bookmarkEnd w:id="5"/>
      <w:bookmarkEnd w:id="6"/>
      <w:bookmarkEnd w:id="7"/>
      <w:bookmarkEnd w:id="8"/>
      <w:bookmarkEnd w:id="9"/>
      <w:bookmarkEnd w:id="10"/>
      <w:bookmarkEnd w:id="11"/>
      <w:bookmarkEnd w:id="12"/>
      <w:bookmarkEnd w:id="13"/>
      <w:r>
        <w:t xml:space="preserve">Acronyms </w:t>
      </w:r>
    </w:p>
    <w:p w14:paraId="74A9862B" w14:textId="77777777" w:rsidR="00D94EED" w:rsidRDefault="00E508EC" w:rsidP="00DB5FB6">
      <w:pPr>
        <w:keepNext/>
      </w:pPr>
      <w:r>
        <w:t xml:space="preserve"> </w:t>
      </w:r>
    </w:p>
    <w:tbl>
      <w:tblPr>
        <w:tblW w:w="3446" w:type="pct"/>
        <w:tblCellMar>
          <w:left w:w="0" w:type="dxa"/>
          <w:right w:w="170" w:type="dxa"/>
        </w:tblCellMar>
        <w:tblLook w:val="0000" w:firstRow="0" w:lastRow="0" w:firstColumn="0" w:lastColumn="0" w:noHBand="0" w:noVBand="0"/>
      </w:tblPr>
      <w:tblGrid>
        <w:gridCol w:w="1701"/>
        <w:gridCol w:w="7231"/>
      </w:tblGrid>
      <w:tr w:rsidR="00591A0B" w:rsidRPr="00591A0B" w14:paraId="143DED36" w14:textId="77777777" w:rsidTr="00591A0B">
        <w:tc>
          <w:tcPr>
            <w:tcW w:w="952" w:type="pct"/>
            <w:shd w:val="clear" w:color="auto" w:fill="auto"/>
          </w:tcPr>
          <w:p w14:paraId="4B3E3240" w14:textId="3DC74962" w:rsidR="00591A0B" w:rsidRPr="00591A0B" w:rsidRDefault="00591A0B" w:rsidP="00591A0B">
            <w:pPr>
              <w:keepLines/>
              <w:spacing w:before="20" w:after="20"/>
              <w:rPr>
                <w:rFonts w:ascii="Verdana" w:eastAsia="SimSun" w:hAnsi="Verdana" w:cs="Verdana"/>
                <w:bCs/>
                <w:sz w:val="18"/>
                <w:szCs w:val="18"/>
                <w:lang w:val="en-GB" w:eastAsia="zh-CN"/>
              </w:rPr>
            </w:pPr>
            <w:bookmarkStart w:id="14" w:name="_87bh2lyj7v4r" w:colFirst="0" w:colLast="0"/>
            <w:bookmarkEnd w:id="14"/>
          </w:p>
        </w:tc>
        <w:tc>
          <w:tcPr>
            <w:tcW w:w="4048" w:type="pct"/>
            <w:shd w:val="clear" w:color="auto" w:fill="auto"/>
          </w:tcPr>
          <w:p w14:paraId="2C1A9E76" w14:textId="4B6A0825" w:rsidR="00591A0B" w:rsidRPr="00591A0B" w:rsidRDefault="00591A0B" w:rsidP="00591A0B">
            <w:pPr>
              <w:keepLines/>
              <w:spacing w:before="20" w:after="20"/>
              <w:rPr>
                <w:rFonts w:ascii="Verdana" w:eastAsia="SimSun" w:hAnsi="Verdana" w:cs="Verdana"/>
                <w:sz w:val="18"/>
                <w:szCs w:val="18"/>
                <w:lang w:val="en-GB" w:eastAsia="zh-CN"/>
              </w:rPr>
            </w:pPr>
          </w:p>
        </w:tc>
      </w:tr>
      <w:tr w:rsidR="00591A0B" w:rsidRPr="00591A0B" w14:paraId="17190915" w14:textId="77777777" w:rsidTr="00591A0B">
        <w:tc>
          <w:tcPr>
            <w:tcW w:w="952" w:type="pct"/>
            <w:shd w:val="clear" w:color="auto" w:fill="auto"/>
          </w:tcPr>
          <w:p w14:paraId="26C1EA04"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CC</w:t>
            </w:r>
          </w:p>
        </w:tc>
        <w:tc>
          <w:tcPr>
            <w:tcW w:w="4048" w:type="pct"/>
            <w:shd w:val="clear" w:color="auto" w:fill="auto"/>
          </w:tcPr>
          <w:p w14:paraId="783B542C"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Compliance Committee of the IOTC</w:t>
            </w:r>
          </w:p>
        </w:tc>
      </w:tr>
      <w:tr w:rsidR="00591A0B" w:rsidRPr="00591A0B" w14:paraId="1A3C64D6" w14:textId="77777777" w:rsidTr="00591A0B">
        <w:tc>
          <w:tcPr>
            <w:tcW w:w="952" w:type="pct"/>
            <w:shd w:val="clear" w:color="auto" w:fill="auto"/>
          </w:tcPr>
          <w:p w14:paraId="367E3017"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CCRF</w:t>
            </w:r>
          </w:p>
        </w:tc>
        <w:tc>
          <w:tcPr>
            <w:tcW w:w="4048" w:type="pct"/>
            <w:shd w:val="clear" w:color="auto" w:fill="auto"/>
          </w:tcPr>
          <w:p w14:paraId="2207A472"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Code of Conduct for Responsible Fishing</w:t>
            </w:r>
          </w:p>
        </w:tc>
      </w:tr>
      <w:tr w:rsidR="00591A0B" w:rsidRPr="00591A0B" w14:paraId="1F72618D" w14:textId="77777777" w:rsidTr="00591A0B">
        <w:tc>
          <w:tcPr>
            <w:tcW w:w="952" w:type="pct"/>
            <w:shd w:val="clear" w:color="auto" w:fill="auto"/>
          </w:tcPr>
          <w:p w14:paraId="19F51ACB"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CITES</w:t>
            </w:r>
          </w:p>
        </w:tc>
        <w:tc>
          <w:tcPr>
            <w:tcW w:w="4048" w:type="pct"/>
            <w:shd w:val="clear" w:color="auto" w:fill="auto"/>
          </w:tcPr>
          <w:p w14:paraId="6B11A84C"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Convention on International Trade in Endangered Species of Fauna and Flora</w:t>
            </w:r>
          </w:p>
        </w:tc>
      </w:tr>
      <w:tr w:rsidR="00591A0B" w:rsidRPr="00591A0B" w14:paraId="0CC9BEAC" w14:textId="77777777" w:rsidTr="00591A0B">
        <w:tc>
          <w:tcPr>
            <w:tcW w:w="952" w:type="pct"/>
            <w:shd w:val="clear" w:color="auto" w:fill="auto"/>
          </w:tcPr>
          <w:p w14:paraId="02150E1B"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CMM</w:t>
            </w:r>
          </w:p>
        </w:tc>
        <w:tc>
          <w:tcPr>
            <w:tcW w:w="4048" w:type="pct"/>
            <w:shd w:val="clear" w:color="auto" w:fill="auto"/>
          </w:tcPr>
          <w:p w14:paraId="7CCAD7E7"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Conservation Management Measures of the IOTC</w:t>
            </w:r>
          </w:p>
        </w:tc>
      </w:tr>
      <w:tr w:rsidR="00591A0B" w:rsidRPr="00591A0B" w14:paraId="69CB3CA4" w14:textId="77777777" w:rsidTr="00591A0B">
        <w:tc>
          <w:tcPr>
            <w:tcW w:w="952" w:type="pct"/>
            <w:shd w:val="clear" w:color="auto" w:fill="auto"/>
          </w:tcPr>
          <w:p w14:paraId="32A4795E"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CP</w:t>
            </w:r>
          </w:p>
        </w:tc>
        <w:tc>
          <w:tcPr>
            <w:tcW w:w="4048" w:type="pct"/>
            <w:shd w:val="clear" w:color="auto" w:fill="auto"/>
          </w:tcPr>
          <w:p w14:paraId="6AD0DD6B"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Contracting Parties of the IOTC</w:t>
            </w:r>
          </w:p>
        </w:tc>
      </w:tr>
      <w:tr w:rsidR="00591A0B" w:rsidRPr="00591A0B" w14:paraId="07F27DE0" w14:textId="77777777" w:rsidTr="00591A0B">
        <w:tc>
          <w:tcPr>
            <w:tcW w:w="952" w:type="pct"/>
            <w:shd w:val="clear" w:color="auto" w:fill="auto"/>
          </w:tcPr>
          <w:p w14:paraId="34E259A3"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EEZ</w:t>
            </w:r>
          </w:p>
        </w:tc>
        <w:tc>
          <w:tcPr>
            <w:tcW w:w="4048" w:type="pct"/>
            <w:shd w:val="clear" w:color="auto" w:fill="auto"/>
          </w:tcPr>
          <w:p w14:paraId="6A9597EE"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Exclusive Economic Zone</w:t>
            </w:r>
          </w:p>
        </w:tc>
      </w:tr>
      <w:tr w:rsidR="00591A0B" w:rsidRPr="00591A0B" w14:paraId="427412E8" w14:textId="77777777" w:rsidTr="00591A0B">
        <w:tc>
          <w:tcPr>
            <w:tcW w:w="952" w:type="pct"/>
            <w:shd w:val="clear" w:color="auto" w:fill="auto"/>
          </w:tcPr>
          <w:p w14:paraId="7CD3A9E0"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EPA</w:t>
            </w:r>
          </w:p>
        </w:tc>
        <w:tc>
          <w:tcPr>
            <w:tcW w:w="4048" w:type="pct"/>
            <w:shd w:val="clear" w:color="auto" w:fill="auto"/>
          </w:tcPr>
          <w:p w14:paraId="5F28FCB8"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Environmental Protection Agency</w:t>
            </w:r>
          </w:p>
        </w:tc>
      </w:tr>
      <w:tr w:rsidR="00591A0B" w:rsidRPr="00591A0B" w14:paraId="6B4C760F" w14:textId="77777777" w:rsidTr="00591A0B">
        <w:tc>
          <w:tcPr>
            <w:tcW w:w="952" w:type="pct"/>
            <w:shd w:val="clear" w:color="auto" w:fill="auto"/>
          </w:tcPr>
          <w:p w14:paraId="7A0635FB"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lastRenderedPageBreak/>
              <w:t>ETP</w:t>
            </w:r>
          </w:p>
        </w:tc>
        <w:tc>
          <w:tcPr>
            <w:tcW w:w="4048" w:type="pct"/>
            <w:shd w:val="clear" w:color="auto" w:fill="auto"/>
          </w:tcPr>
          <w:p w14:paraId="5B51C702"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s="Verdana"/>
                <w:sz w:val="18"/>
                <w:szCs w:val="18"/>
                <w:lang w:val="en-GB" w:eastAsia="zh-CN"/>
              </w:rPr>
              <w:t>Endangered, threatened and protected species</w:t>
            </w:r>
          </w:p>
        </w:tc>
      </w:tr>
      <w:tr w:rsidR="00591A0B" w:rsidRPr="00591A0B" w14:paraId="53D0476A" w14:textId="77777777" w:rsidTr="00591A0B">
        <w:tc>
          <w:tcPr>
            <w:tcW w:w="952" w:type="pct"/>
            <w:shd w:val="clear" w:color="auto" w:fill="auto"/>
          </w:tcPr>
          <w:p w14:paraId="6F5A1196"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FAB</w:t>
            </w:r>
          </w:p>
        </w:tc>
        <w:tc>
          <w:tcPr>
            <w:tcW w:w="4048" w:type="pct"/>
            <w:shd w:val="clear" w:color="auto" w:fill="auto"/>
          </w:tcPr>
          <w:p w14:paraId="6D61964F"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olor w:val="000000"/>
                <w:sz w:val="18"/>
                <w:szCs w:val="18"/>
                <w:lang w:val="en-GB" w:eastAsia="zh-CN"/>
              </w:rPr>
              <w:t>Fisheries Advisory Board</w:t>
            </w:r>
          </w:p>
        </w:tc>
      </w:tr>
      <w:tr w:rsidR="00591A0B" w:rsidRPr="00591A0B" w14:paraId="269661A8" w14:textId="77777777" w:rsidTr="00591A0B">
        <w:tc>
          <w:tcPr>
            <w:tcW w:w="952" w:type="pct"/>
            <w:shd w:val="clear" w:color="auto" w:fill="auto"/>
          </w:tcPr>
          <w:p w14:paraId="74769F4A" w14:textId="77777777" w:rsid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FAO</w:t>
            </w:r>
          </w:p>
          <w:p w14:paraId="78508AF1" w14:textId="29450C66" w:rsidR="00591A0B" w:rsidRPr="00591A0B" w:rsidRDefault="00591A0B" w:rsidP="00591A0B">
            <w:pPr>
              <w:keepLines/>
              <w:spacing w:before="20" w:after="20"/>
              <w:rPr>
                <w:rFonts w:ascii="Verdana" w:eastAsia="SimSun" w:hAnsi="Verdana" w:cs="Verdana"/>
                <w:bCs/>
                <w:sz w:val="18"/>
                <w:szCs w:val="18"/>
                <w:lang w:val="en-GB" w:eastAsia="zh-CN"/>
              </w:rPr>
            </w:pPr>
            <w:r>
              <w:rPr>
                <w:rFonts w:ascii="Verdana" w:eastAsia="SimSun" w:hAnsi="Verdana" w:cs="Verdana"/>
                <w:bCs/>
                <w:sz w:val="18"/>
                <w:szCs w:val="18"/>
                <w:lang w:val="en-GB" w:eastAsia="zh-CN"/>
              </w:rPr>
              <w:t>HL</w:t>
            </w:r>
          </w:p>
        </w:tc>
        <w:tc>
          <w:tcPr>
            <w:tcW w:w="4048" w:type="pct"/>
            <w:shd w:val="clear" w:color="auto" w:fill="auto"/>
          </w:tcPr>
          <w:p w14:paraId="25C8E018" w14:textId="77777777" w:rsid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Food and Agriculture Organization</w:t>
            </w:r>
          </w:p>
          <w:p w14:paraId="44EF2CCC" w14:textId="6C9727F2" w:rsidR="00591A0B" w:rsidRPr="00591A0B" w:rsidRDefault="00591A0B" w:rsidP="00591A0B">
            <w:pPr>
              <w:keepLines/>
              <w:spacing w:before="20" w:after="20"/>
              <w:rPr>
                <w:rFonts w:ascii="Verdana" w:eastAsia="SimSun" w:hAnsi="Verdana"/>
                <w:color w:val="000000"/>
                <w:sz w:val="18"/>
                <w:szCs w:val="18"/>
                <w:lang w:val="en-GB" w:eastAsia="zh-CN"/>
              </w:rPr>
            </w:pPr>
            <w:r>
              <w:rPr>
                <w:rFonts w:ascii="Verdana" w:eastAsia="SimSun" w:hAnsi="Verdana"/>
                <w:color w:val="000000"/>
                <w:sz w:val="18"/>
                <w:szCs w:val="18"/>
                <w:lang w:val="en-GB" w:eastAsia="zh-CN"/>
              </w:rPr>
              <w:t>Handline</w:t>
            </w:r>
          </w:p>
        </w:tc>
      </w:tr>
      <w:tr w:rsidR="00591A0B" w:rsidRPr="00591A0B" w14:paraId="1491CA64" w14:textId="77777777" w:rsidTr="00591A0B">
        <w:tc>
          <w:tcPr>
            <w:tcW w:w="952" w:type="pct"/>
            <w:shd w:val="clear" w:color="auto" w:fill="auto"/>
          </w:tcPr>
          <w:p w14:paraId="722D31CF"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IO</w:t>
            </w:r>
          </w:p>
        </w:tc>
        <w:tc>
          <w:tcPr>
            <w:tcW w:w="4048" w:type="pct"/>
            <w:shd w:val="clear" w:color="auto" w:fill="auto"/>
          </w:tcPr>
          <w:p w14:paraId="4ADCD2DA"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Indian Ocean</w:t>
            </w:r>
          </w:p>
        </w:tc>
      </w:tr>
      <w:tr w:rsidR="00591A0B" w:rsidRPr="00591A0B" w14:paraId="6AB4E234" w14:textId="77777777" w:rsidTr="00591A0B">
        <w:tc>
          <w:tcPr>
            <w:tcW w:w="952" w:type="pct"/>
            <w:shd w:val="clear" w:color="auto" w:fill="auto"/>
          </w:tcPr>
          <w:p w14:paraId="380E25F6"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IOTC</w:t>
            </w:r>
          </w:p>
        </w:tc>
        <w:tc>
          <w:tcPr>
            <w:tcW w:w="4048" w:type="pct"/>
            <w:shd w:val="clear" w:color="auto" w:fill="auto"/>
          </w:tcPr>
          <w:p w14:paraId="11D31AB9"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Indian Ocean Tuna Commission</w:t>
            </w:r>
          </w:p>
        </w:tc>
      </w:tr>
      <w:tr w:rsidR="00591A0B" w:rsidRPr="00591A0B" w14:paraId="12EE068D" w14:textId="77777777" w:rsidTr="00591A0B">
        <w:tc>
          <w:tcPr>
            <w:tcW w:w="952" w:type="pct"/>
            <w:shd w:val="clear" w:color="auto" w:fill="auto"/>
          </w:tcPr>
          <w:p w14:paraId="3856CB2B"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IUU</w:t>
            </w:r>
          </w:p>
        </w:tc>
        <w:tc>
          <w:tcPr>
            <w:tcW w:w="4048" w:type="pct"/>
            <w:shd w:val="clear" w:color="auto" w:fill="auto"/>
          </w:tcPr>
          <w:p w14:paraId="74BD0822"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Illegal, unreported and unregulated</w:t>
            </w:r>
          </w:p>
        </w:tc>
      </w:tr>
      <w:tr w:rsidR="00591A0B" w:rsidRPr="00591A0B" w14:paraId="386BA87D" w14:textId="77777777" w:rsidTr="00591A0B">
        <w:tc>
          <w:tcPr>
            <w:tcW w:w="952" w:type="pct"/>
            <w:shd w:val="clear" w:color="auto" w:fill="auto"/>
          </w:tcPr>
          <w:p w14:paraId="507E0EFC"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LOS</w:t>
            </w:r>
          </w:p>
        </w:tc>
        <w:tc>
          <w:tcPr>
            <w:tcW w:w="4048" w:type="pct"/>
            <w:shd w:val="clear" w:color="auto" w:fill="auto"/>
          </w:tcPr>
          <w:p w14:paraId="0F11C97E"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Law of the Sea</w:t>
            </w:r>
          </w:p>
        </w:tc>
      </w:tr>
      <w:tr w:rsidR="00591A0B" w:rsidRPr="00591A0B" w14:paraId="162CC561" w14:textId="77777777" w:rsidTr="00591A0B">
        <w:tc>
          <w:tcPr>
            <w:tcW w:w="952" w:type="pct"/>
            <w:shd w:val="clear" w:color="auto" w:fill="auto"/>
          </w:tcPr>
          <w:p w14:paraId="152B825A"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MCS</w:t>
            </w:r>
          </w:p>
        </w:tc>
        <w:tc>
          <w:tcPr>
            <w:tcW w:w="4048" w:type="pct"/>
            <w:shd w:val="clear" w:color="auto" w:fill="auto"/>
          </w:tcPr>
          <w:p w14:paraId="4134805A"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Monitoring, Control and Surveillance</w:t>
            </w:r>
          </w:p>
        </w:tc>
      </w:tr>
      <w:tr w:rsidR="00591A0B" w:rsidRPr="00591A0B" w14:paraId="184FB5D8" w14:textId="77777777" w:rsidTr="00591A0B">
        <w:tc>
          <w:tcPr>
            <w:tcW w:w="952" w:type="pct"/>
            <w:shd w:val="clear" w:color="auto" w:fill="auto"/>
          </w:tcPr>
          <w:p w14:paraId="4E9CD50E"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MIFCO</w:t>
            </w:r>
          </w:p>
        </w:tc>
        <w:tc>
          <w:tcPr>
            <w:tcW w:w="4048" w:type="pct"/>
            <w:shd w:val="clear" w:color="auto" w:fill="auto"/>
          </w:tcPr>
          <w:p w14:paraId="71A66A7A"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Maldives Industrial Fisheries Company Limited</w:t>
            </w:r>
          </w:p>
        </w:tc>
      </w:tr>
      <w:tr w:rsidR="00591A0B" w:rsidRPr="00591A0B" w14:paraId="3A66D225" w14:textId="77777777" w:rsidTr="00591A0B">
        <w:tc>
          <w:tcPr>
            <w:tcW w:w="952" w:type="pct"/>
            <w:shd w:val="clear" w:color="auto" w:fill="auto"/>
          </w:tcPr>
          <w:p w14:paraId="44FFEC1F"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MNDF</w:t>
            </w:r>
          </w:p>
        </w:tc>
        <w:tc>
          <w:tcPr>
            <w:tcW w:w="4048" w:type="pct"/>
            <w:shd w:val="clear" w:color="auto" w:fill="auto"/>
          </w:tcPr>
          <w:p w14:paraId="29123422"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Maldives National Defence Force</w:t>
            </w:r>
          </w:p>
        </w:tc>
      </w:tr>
      <w:tr w:rsidR="00591A0B" w:rsidRPr="00591A0B" w14:paraId="75CFC79B" w14:textId="77777777" w:rsidTr="00591A0B">
        <w:tc>
          <w:tcPr>
            <w:tcW w:w="952" w:type="pct"/>
            <w:shd w:val="clear" w:color="auto" w:fill="auto"/>
          </w:tcPr>
          <w:p w14:paraId="1598AE76" w14:textId="09555502" w:rsidR="00591A0B" w:rsidRPr="00591A0B" w:rsidRDefault="00CA3004" w:rsidP="00591A0B">
            <w:pPr>
              <w:keepLines/>
              <w:spacing w:before="20" w:after="20"/>
              <w:rPr>
                <w:rFonts w:ascii="Verdana" w:eastAsia="SimSun" w:hAnsi="Verdana" w:cs="Verdana"/>
                <w:bCs/>
                <w:sz w:val="18"/>
                <w:szCs w:val="18"/>
                <w:lang w:val="en-GB" w:eastAsia="zh-CN"/>
              </w:rPr>
            </w:pPr>
            <w:proofErr w:type="spellStart"/>
            <w:r>
              <w:rPr>
                <w:rFonts w:ascii="Verdana" w:eastAsia="SimSun" w:hAnsi="Verdana"/>
                <w:color w:val="000000"/>
                <w:sz w:val="18"/>
                <w:szCs w:val="18"/>
                <w:lang w:val="en-GB" w:eastAsia="zh-CN"/>
              </w:rPr>
              <w:t>MoFOR</w:t>
            </w:r>
            <w:proofErr w:type="spellEnd"/>
            <w:r>
              <w:rPr>
                <w:rFonts w:ascii="Verdana" w:eastAsia="SimSun" w:hAnsi="Verdana"/>
                <w:color w:val="000000"/>
                <w:sz w:val="18"/>
                <w:szCs w:val="18"/>
                <w:lang w:val="en-GB" w:eastAsia="zh-CN"/>
              </w:rPr>
              <w:t xml:space="preserve"> </w:t>
            </w:r>
          </w:p>
        </w:tc>
        <w:tc>
          <w:tcPr>
            <w:tcW w:w="4048" w:type="pct"/>
            <w:shd w:val="clear" w:color="auto" w:fill="auto"/>
          </w:tcPr>
          <w:p w14:paraId="1D699041" w14:textId="6B545BBF" w:rsidR="00591A0B" w:rsidRPr="00591A0B" w:rsidRDefault="00591A0B" w:rsidP="00591A0B">
            <w:pPr>
              <w:widowControl w:val="0"/>
              <w:autoSpaceDE w:val="0"/>
              <w:autoSpaceDN w:val="0"/>
              <w:adjustRightInd w:val="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Ministry of Fisheries</w:t>
            </w:r>
            <w:r w:rsidR="00352AAC">
              <w:rPr>
                <w:rFonts w:ascii="Verdana" w:eastAsia="SimSun" w:hAnsi="Verdana"/>
                <w:color w:val="000000"/>
                <w:sz w:val="18"/>
                <w:szCs w:val="18"/>
                <w:lang w:val="en-GB" w:eastAsia="zh-CN"/>
              </w:rPr>
              <w:t xml:space="preserve"> &amp; Ocean </w:t>
            </w:r>
            <w:r w:rsidRPr="00591A0B">
              <w:rPr>
                <w:rFonts w:ascii="Verdana" w:eastAsia="SimSun" w:hAnsi="Verdana"/>
                <w:color w:val="000000"/>
                <w:sz w:val="18"/>
                <w:szCs w:val="18"/>
                <w:lang w:val="en-GB" w:eastAsia="zh-CN"/>
              </w:rPr>
              <w:t>Resources</w:t>
            </w:r>
          </w:p>
        </w:tc>
      </w:tr>
      <w:tr w:rsidR="00591A0B" w:rsidRPr="00591A0B" w14:paraId="4AFD1A8F" w14:textId="77777777" w:rsidTr="00591A0B">
        <w:tc>
          <w:tcPr>
            <w:tcW w:w="952" w:type="pct"/>
            <w:shd w:val="clear" w:color="auto" w:fill="auto"/>
          </w:tcPr>
          <w:p w14:paraId="3F2975C7" w14:textId="5B30BB13"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M</w:t>
            </w:r>
            <w:r w:rsidR="00352AAC">
              <w:rPr>
                <w:rFonts w:ascii="Verdana" w:eastAsia="SimSun" w:hAnsi="Verdana"/>
                <w:color w:val="000000"/>
                <w:sz w:val="18"/>
                <w:szCs w:val="18"/>
                <w:lang w:val="en-GB" w:eastAsia="zh-CN"/>
              </w:rPr>
              <w:t>MRI</w:t>
            </w:r>
          </w:p>
        </w:tc>
        <w:tc>
          <w:tcPr>
            <w:tcW w:w="4048" w:type="pct"/>
            <w:shd w:val="clear" w:color="auto" w:fill="auto"/>
          </w:tcPr>
          <w:p w14:paraId="34981F7F" w14:textId="04D588F2" w:rsidR="00591A0B" w:rsidRPr="00591A0B" w:rsidRDefault="00352AAC" w:rsidP="00591A0B">
            <w:pPr>
              <w:widowControl w:val="0"/>
              <w:autoSpaceDE w:val="0"/>
              <w:autoSpaceDN w:val="0"/>
              <w:adjustRightInd w:val="0"/>
              <w:rPr>
                <w:rFonts w:ascii="Verdana" w:eastAsia="SimSun" w:hAnsi="Verdana"/>
                <w:color w:val="000000"/>
                <w:sz w:val="18"/>
                <w:szCs w:val="18"/>
                <w:lang w:val="en-GB" w:eastAsia="zh-CN"/>
              </w:rPr>
            </w:pPr>
            <w:r>
              <w:rPr>
                <w:rFonts w:ascii="Verdana" w:eastAsia="SimSun" w:hAnsi="Verdana"/>
                <w:color w:val="000000"/>
                <w:sz w:val="18"/>
                <w:szCs w:val="18"/>
                <w:lang w:val="en-GB" w:eastAsia="zh-CN"/>
              </w:rPr>
              <w:t xml:space="preserve">Maldives Marine Research </w:t>
            </w:r>
            <w:proofErr w:type="spellStart"/>
            <w:r>
              <w:rPr>
                <w:rFonts w:ascii="Verdana" w:eastAsia="SimSun" w:hAnsi="Verdana"/>
                <w:color w:val="000000"/>
                <w:sz w:val="18"/>
                <w:szCs w:val="18"/>
                <w:lang w:val="en-GB" w:eastAsia="zh-CN"/>
              </w:rPr>
              <w:t>Institue</w:t>
            </w:r>
            <w:proofErr w:type="spellEnd"/>
          </w:p>
        </w:tc>
      </w:tr>
      <w:tr w:rsidR="00591A0B" w:rsidRPr="00591A0B" w14:paraId="79A0B872" w14:textId="77777777" w:rsidTr="00591A0B">
        <w:tc>
          <w:tcPr>
            <w:tcW w:w="952" w:type="pct"/>
            <w:shd w:val="clear" w:color="auto" w:fill="auto"/>
          </w:tcPr>
          <w:p w14:paraId="6AF0CE77"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sz w:val="18"/>
                <w:szCs w:val="18"/>
                <w:lang w:val="en-GB" w:eastAsia="zh-CN"/>
              </w:rPr>
              <w:t>MSC</w:t>
            </w:r>
          </w:p>
        </w:tc>
        <w:tc>
          <w:tcPr>
            <w:tcW w:w="4048" w:type="pct"/>
            <w:shd w:val="clear" w:color="auto" w:fill="auto"/>
          </w:tcPr>
          <w:p w14:paraId="332DA85D"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sz w:val="18"/>
                <w:szCs w:val="18"/>
                <w:lang w:val="en-GB" w:eastAsia="zh-CN"/>
              </w:rPr>
              <w:t>Marine Stewardship Council</w:t>
            </w:r>
          </w:p>
        </w:tc>
      </w:tr>
      <w:tr w:rsidR="00591A0B" w:rsidRPr="00591A0B" w14:paraId="4CD2CF56" w14:textId="77777777" w:rsidTr="00591A0B">
        <w:tc>
          <w:tcPr>
            <w:tcW w:w="952" w:type="pct"/>
            <w:shd w:val="clear" w:color="auto" w:fill="auto"/>
          </w:tcPr>
          <w:p w14:paraId="25D0E441"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s="Verdana"/>
                <w:sz w:val="18"/>
                <w:szCs w:val="18"/>
                <w:lang w:val="en-GB" w:eastAsia="zh-CN"/>
              </w:rPr>
              <w:t>MSPEA</w:t>
            </w:r>
          </w:p>
        </w:tc>
        <w:tc>
          <w:tcPr>
            <w:tcW w:w="4048" w:type="pct"/>
            <w:shd w:val="clear" w:color="auto" w:fill="auto"/>
          </w:tcPr>
          <w:p w14:paraId="59D14862"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olor w:val="000000"/>
                <w:sz w:val="18"/>
                <w:szCs w:val="18"/>
                <w:lang w:val="en-GB" w:eastAsia="zh-CN"/>
              </w:rPr>
              <w:t>Maldives Seafood Processors and Exporters Association</w:t>
            </w:r>
          </w:p>
        </w:tc>
      </w:tr>
      <w:tr w:rsidR="00591A0B" w:rsidRPr="00591A0B" w14:paraId="20FEFBB7" w14:textId="77777777" w:rsidTr="00591A0B">
        <w:tc>
          <w:tcPr>
            <w:tcW w:w="952" w:type="pct"/>
            <w:shd w:val="clear" w:color="auto" w:fill="auto"/>
          </w:tcPr>
          <w:p w14:paraId="4E68FA1F"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s="Verdana"/>
                <w:sz w:val="18"/>
                <w:szCs w:val="18"/>
                <w:lang w:val="en-GB" w:eastAsia="zh-CN"/>
              </w:rPr>
              <w:t>NGO</w:t>
            </w:r>
          </w:p>
        </w:tc>
        <w:tc>
          <w:tcPr>
            <w:tcW w:w="4048" w:type="pct"/>
            <w:shd w:val="clear" w:color="auto" w:fill="auto"/>
          </w:tcPr>
          <w:p w14:paraId="2C5055F9"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Non-Governmental Organisation</w:t>
            </w:r>
          </w:p>
        </w:tc>
      </w:tr>
      <w:tr w:rsidR="00591A0B" w:rsidRPr="00591A0B" w14:paraId="6D9EA9FB" w14:textId="77777777" w:rsidTr="00591A0B">
        <w:tc>
          <w:tcPr>
            <w:tcW w:w="952" w:type="pct"/>
            <w:shd w:val="clear" w:color="auto" w:fill="auto"/>
          </w:tcPr>
          <w:p w14:paraId="710B4F2E"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s="Verdana"/>
                <w:sz w:val="18"/>
                <w:szCs w:val="18"/>
                <w:lang w:val="en-GB" w:eastAsia="zh-CN"/>
              </w:rPr>
              <w:t>NCP</w:t>
            </w:r>
          </w:p>
        </w:tc>
        <w:tc>
          <w:tcPr>
            <w:tcW w:w="4048" w:type="pct"/>
            <w:shd w:val="clear" w:color="auto" w:fill="auto"/>
          </w:tcPr>
          <w:p w14:paraId="59E97E49"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Non- contracting parties</w:t>
            </w:r>
          </w:p>
        </w:tc>
      </w:tr>
      <w:tr w:rsidR="00591A0B" w:rsidRPr="00591A0B" w14:paraId="0ED512D2" w14:textId="77777777" w:rsidTr="00591A0B">
        <w:tc>
          <w:tcPr>
            <w:tcW w:w="952" w:type="pct"/>
            <w:shd w:val="clear" w:color="auto" w:fill="auto"/>
          </w:tcPr>
          <w:p w14:paraId="7AEBFEDC"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s="Verdana"/>
                <w:sz w:val="18"/>
                <w:szCs w:val="18"/>
                <w:lang w:val="en-GB" w:eastAsia="zh-CN"/>
              </w:rPr>
              <w:t>NPOA</w:t>
            </w:r>
          </w:p>
        </w:tc>
        <w:tc>
          <w:tcPr>
            <w:tcW w:w="4048" w:type="pct"/>
            <w:shd w:val="clear" w:color="auto" w:fill="auto"/>
          </w:tcPr>
          <w:p w14:paraId="4A9D47B7"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National Plan of Action</w:t>
            </w:r>
          </w:p>
        </w:tc>
      </w:tr>
      <w:tr w:rsidR="00591A0B" w:rsidRPr="00591A0B" w14:paraId="766AE641" w14:textId="77777777" w:rsidTr="00591A0B">
        <w:tc>
          <w:tcPr>
            <w:tcW w:w="952" w:type="pct"/>
            <w:shd w:val="clear" w:color="auto" w:fill="auto"/>
          </w:tcPr>
          <w:p w14:paraId="1F3FC5E0"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s="Verdana"/>
                <w:sz w:val="18"/>
                <w:szCs w:val="18"/>
                <w:lang w:val="en-GB" w:eastAsia="zh-CN"/>
              </w:rPr>
              <w:t>P&amp;L</w:t>
            </w:r>
          </w:p>
        </w:tc>
        <w:tc>
          <w:tcPr>
            <w:tcW w:w="4048" w:type="pct"/>
            <w:shd w:val="clear" w:color="auto" w:fill="auto"/>
          </w:tcPr>
          <w:p w14:paraId="6C96F611"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Pole and Line</w:t>
            </w:r>
          </w:p>
        </w:tc>
      </w:tr>
      <w:tr w:rsidR="00591A0B" w:rsidRPr="00591A0B" w14:paraId="31F03C4A" w14:textId="77777777" w:rsidTr="00591A0B">
        <w:tc>
          <w:tcPr>
            <w:tcW w:w="952" w:type="pct"/>
            <w:shd w:val="clear" w:color="auto" w:fill="auto"/>
          </w:tcPr>
          <w:p w14:paraId="7E104405"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s="Verdana"/>
                <w:sz w:val="18"/>
                <w:szCs w:val="18"/>
                <w:lang w:val="en-GB" w:eastAsia="zh-CN"/>
              </w:rPr>
              <w:t>PI</w:t>
            </w:r>
          </w:p>
        </w:tc>
        <w:tc>
          <w:tcPr>
            <w:tcW w:w="4048" w:type="pct"/>
            <w:shd w:val="clear" w:color="auto" w:fill="auto"/>
          </w:tcPr>
          <w:p w14:paraId="510E701F"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s="Verdana"/>
                <w:sz w:val="18"/>
                <w:szCs w:val="18"/>
                <w:lang w:val="en-GB" w:eastAsia="zh-CN"/>
              </w:rPr>
              <w:t>Performance indicator</w:t>
            </w:r>
          </w:p>
        </w:tc>
      </w:tr>
      <w:tr w:rsidR="00591A0B" w:rsidRPr="00591A0B" w14:paraId="438F9ACC" w14:textId="77777777" w:rsidTr="00591A0B">
        <w:tc>
          <w:tcPr>
            <w:tcW w:w="952" w:type="pct"/>
            <w:shd w:val="clear" w:color="auto" w:fill="auto"/>
          </w:tcPr>
          <w:p w14:paraId="6845B35B"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PISG</w:t>
            </w:r>
          </w:p>
        </w:tc>
        <w:tc>
          <w:tcPr>
            <w:tcW w:w="4048" w:type="pct"/>
            <w:shd w:val="clear" w:color="auto" w:fill="auto"/>
          </w:tcPr>
          <w:p w14:paraId="54FE870B"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s="Verdana"/>
                <w:sz w:val="18"/>
                <w:szCs w:val="18"/>
                <w:lang w:val="en-GB" w:eastAsia="zh-CN"/>
              </w:rPr>
              <w:t>Performance Indicator Scoring Guidepost</w:t>
            </w:r>
          </w:p>
        </w:tc>
      </w:tr>
      <w:tr w:rsidR="00591A0B" w:rsidRPr="00591A0B" w14:paraId="0152DD20" w14:textId="77777777" w:rsidTr="00591A0B">
        <w:tc>
          <w:tcPr>
            <w:tcW w:w="952" w:type="pct"/>
            <w:shd w:val="clear" w:color="auto" w:fill="auto"/>
          </w:tcPr>
          <w:p w14:paraId="773249DD"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olor w:val="000000"/>
                <w:sz w:val="18"/>
                <w:szCs w:val="18"/>
                <w:lang w:val="en-GB" w:eastAsia="zh-CN"/>
              </w:rPr>
              <w:t>PRIOTCO1</w:t>
            </w:r>
          </w:p>
        </w:tc>
        <w:tc>
          <w:tcPr>
            <w:tcW w:w="4048" w:type="pct"/>
            <w:shd w:val="clear" w:color="auto" w:fill="auto"/>
          </w:tcPr>
          <w:p w14:paraId="5F48A79B" w14:textId="77777777" w:rsidR="00591A0B" w:rsidRPr="00591A0B" w:rsidRDefault="00591A0B" w:rsidP="00591A0B">
            <w:pPr>
              <w:widowControl w:val="0"/>
              <w:autoSpaceDE w:val="0"/>
              <w:autoSpaceDN w:val="0"/>
              <w:adjustRightInd w:val="0"/>
              <w:rPr>
                <w:rFonts w:ascii="Verdana" w:eastAsia="SimSun" w:hAnsi="Verdana" w:cs="Verdana"/>
                <w:sz w:val="18"/>
                <w:szCs w:val="18"/>
                <w:lang w:val="en-GB" w:eastAsia="zh-CN"/>
              </w:rPr>
            </w:pPr>
            <w:r w:rsidRPr="00591A0B">
              <w:rPr>
                <w:rFonts w:ascii="Verdana" w:eastAsia="SimSun" w:hAnsi="Verdana"/>
                <w:color w:val="000000"/>
                <w:sz w:val="18"/>
                <w:szCs w:val="18"/>
                <w:lang w:val="en-GB" w:eastAsia="zh-CN"/>
              </w:rPr>
              <w:t>Performance review of the IOTC – report 1</w:t>
            </w:r>
          </w:p>
        </w:tc>
      </w:tr>
      <w:tr w:rsidR="00591A0B" w:rsidRPr="00591A0B" w14:paraId="7DB003E9" w14:textId="77777777" w:rsidTr="00591A0B">
        <w:tc>
          <w:tcPr>
            <w:tcW w:w="952" w:type="pct"/>
            <w:shd w:val="clear" w:color="auto" w:fill="auto"/>
          </w:tcPr>
          <w:p w14:paraId="62F9B2BF"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PRIOTCO2</w:t>
            </w:r>
          </w:p>
        </w:tc>
        <w:tc>
          <w:tcPr>
            <w:tcW w:w="4048" w:type="pct"/>
            <w:shd w:val="clear" w:color="auto" w:fill="auto"/>
          </w:tcPr>
          <w:p w14:paraId="204B23FA" w14:textId="77777777" w:rsidR="00591A0B" w:rsidRPr="00591A0B" w:rsidRDefault="00591A0B" w:rsidP="00591A0B">
            <w:pPr>
              <w:widowControl w:val="0"/>
              <w:autoSpaceDE w:val="0"/>
              <w:autoSpaceDN w:val="0"/>
              <w:adjustRightInd w:val="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Performance review of the IOTC – report 2</w:t>
            </w:r>
          </w:p>
        </w:tc>
      </w:tr>
      <w:tr w:rsidR="00591A0B" w:rsidRPr="00591A0B" w14:paraId="67FCBFC3" w14:textId="77777777" w:rsidTr="00591A0B">
        <w:tc>
          <w:tcPr>
            <w:tcW w:w="952" w:type="pct"/>
            <w:shd w:val="clear" w:color="auto" w:fill="auto"/>
          </w:tcPr>
          <w:p w14:paraId="6492F688"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RFMO</w:t>
            </w:r>
          </w:p>
        </w:tc>
        <w:tc>
          <w:tcPr>
            <w:tcW w:w="4048" w:type="pct"/>
            <w:shd w:val="clear" w:color="auto" w:fill="auto"/>
          </w:tcPr>
          <w:p w14:paraId="7508A707" w14:textId="77777777" w:rsidR="00591A0B" w:rsidRPr="00591A0B" w:rsidRDefault="00591A0B" w:rsidP="00591A0B">
            <w:pPr>
              <w:widowControl w:val="0"/>
              <w:autoSpaceDE w:val="0"/>
              <w:autoSpaceDN w:val="0"/>
              <w:adjustRightInd w:val="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Regional Fisheries Management Organisation</w:t>
            </w:r>
          </w:p>
        </w:tc>
      </w:tr>
      <w:tr w:rsidR="00591A0B" w:rsidRPr="00591A0B" w14:paraId="718963CE" w14:textId="77777777" w:rsidTr="00591A0B">
        <w:tc>
          <w:tcPr>
            <w:tcW w:w="952" w:type="pct"/>
            <w:shd w:val="clear" w:color="auto" w:fill="auto"/>
          </w:tcPr>
          <w:p w14:paraId="66557E5E" w14:textId="77777777" w:rsidR="00591A0B" w:rsidRPr="00591A0B" w:rsidRDefault="00591A0B" w:rsidP="00591A0B">
            <w:pPr>
              <w:keepLines/>
              <w:spacing w:before="20" w:after="2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SC</w:t>
            </w:r>
          </w:p>
        </w:tc>
        <w:tc>
          <w:tcPr>
            <w:tcW w:w="4048" w:type="pct"/>
            <w:shd w:val="clear" w:color="auto" w:fill="auto"/>
          </w:tcPr>
          <w:p w14:paraId="78DDD6E1" w14:textId="77777777" w:rsidR="00591A0B" w:rsidRPr="00591A0B" w:rsidRDefault="00591A0B" w:rsidP="00591A0B">
            <w:pPr>
              <w:widowControl w:val="0"/>
              <w:autoSpaceDE w:val="0"/>
              <w:autoSpaceDN w:val="0"/>
              <w:adjustRightInd w:val="0"/>
              <w:rPr>
                <w:rFonts w:ascii="Verdana" w:eastAsia="SimSun" w:hAnsi="Verdana"/>
                <w:color w:val="000000"/>
                <w:sz w:val="18"/>
                <w:szCs w:val="18"/>
                <w:lang w:val="en-GB" w:eastAsia="zh-CN"/>
              </w:rPr>
            </w:pPr>
            <w:r w:rsidRPr="00591A0B">
              <w:rPr>
                <w:rFonts w:ascii="Verdana" w:eastAsia="SimSun" w:hAnsi="Verdana"/>
                <w:color w:val="000000"/>
                <w:sz w:val="18"/>
                <w:szCs w:val="18"/>
                <w:lang w:val="en-GB" w:eastAsia="zh-CN"/>
              </w:rPr>
              <w:t>Scientific Committee</w:t>
            </w:r>
          </w:p>
        </w:tc>
      </w:tr>
      <w:tr w:rsidR="00591A0B" w:rsidRPr="00591A0B" w14:paraId="43C94A00" w14:textId="77777777" w:rsidTr="00591A0B">
        <w:tc>
          <w:tcPr>
            <w:tcW w:w="952" w:type="pct"/>
            <w:shd w:val="clear" w:color="auto" w:fill="auto"/>
          </w:tcPr>
          <w:p w14:paraId="3EC6CF98"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SG</w:t>
            </w:r>
          </w:p>
        </w:tc>
        <w:tc>
          <w:tcPr>
            <w:tcW w:w="4048" w:type="pct"/>
            <w:shd w:val="clear" w:color="auto" w:fill="auto"/>
          </w:tcPr>
          <w:p w14:paraId="6C16DA80"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s="Verdana"/>
                <w:sz w:val="18"/>
                <w:szCs w:val="18"/>
                <w:lang w:val="en-GB" w:eastAsia="zh-CN"/>
              </w:rPr>
              <w:t>Scoring Guidepost</w:t>
            </w:r>
          </w:p>
        </w:tc>
      </w:tr>
      <w:tr w:rsidR="00591A0B" w:rsidRPr="00591A0B" w14:paraId="39B1D1AE" w14:textId="77777777" w:rsidTr="00591A0B">
        <w:tc>
          <w:tcPr>
            <w:tcW w:w="952" w:type="pct"/>
            <w:shd w:val="clear" w:color="auto" w:fill="auto"/>
          </w:tcPr>
          <w:p w14:paraId="1C28B240"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sz w:val="18"/>
                <w:szCs w:val="18"/>
                <w:lang w:val="en-GB" w:eastAsia="zh-CN"/>
              </w:rPr>
              <w:t>TAC</w:t>
            </w:r>
          </w:p>
        </w:tc>
        <w:tc>
          <w:tcPr>
            <w:tcW w:w="4048" w:type="pct"/>
            <w:shd w:val="clear" w:color="auto" w:fill="auto"/>
          </w:tcPr>
          <w:p w14:paraId="604B0954"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sz w:val="18"/>
                <w:szCs w:val="18"/>
                <w:lang w:val="en-GB" w:eastAsia="zh-CN"/>
              </w:rPr>
              <w:t>Total allowable catch</w:t>
            </w:r>
          </w:p>
        </w:tc>
      </w:tr>
      <w:tr w:rsidR="00591A0B" w:rsidRPr="00591A0B" w14:paraId="69044B19" w14:textId="77777777" w:rsidTr="00591A0B">
        <w:tc>
          <w:tcPr>
            <w:tcW w:w="952" w:type="pct"/>
            <w:shd w:val="clear" w:color="auto" w:fill="auto"/>
          </w:tcPr>
          <w:p w14:paraId="75C5C4D8" w14:textId="77777777" w:rsidR="00591A0B" w:rsidRPr="00591A0B" w:rsidRDefault="00591A0B" w:rsidP="00591A0B">
            <w:pPr>
              <w:keepLines/>
              <w:spacing w:before="20" w:after="20"/>
              <w:rPr>
                <w:rFonts w:ascii="Verdana" w:eastAsia="SimSun" w:hAnsi="Verdana" w:cs="Verdana"/>
                <w:sz w:val="18"/>
                <w:szCs w:val="18"/>
                <w:lang w:val="en-GB" w:eastAsia="zh-CN"/>
              </w:rPr>
            </w:pPr>
            <w:proofErr w:type="spellStart"/>
            <w:r w:rsidRPr="00591A0B">
              <w:rPr>
                <w:rFonts w:ascii="Verdana" w:eastAsia="SimSun" w:hAnsi="Verdana"/>
                <w:color w:val="000000"/>
                <w:sz w:val="18"/>
                <w:szCs w:val="18"/>
                <w:lang w:val="en-GB" w:eastAsia="zh-CN"/>
              </w:rPr>
              <w:t>UoA</w:t>
            </w:r>
            <w:proofErr w:type="spellEnd"/>
          </w:p>
        </w:tc>
        <w:tc>
          <w:tcPr>
            <w:tcW w:w="4048" w:type="pct"/>
            <w:shd w:val="clear" w:color="auto" w:fill="auto"/>
          </w:tcPr>
          <w:p w14:paraId="3F1D7AFE" w14:textId="77777777" w:rsidR="00591A0B" w:rsidRPr="00591A0B" w:rsidRDefault="00591A0B" w:rsidP="00591A0B">
            <w:pPr>
              <w:rPr>
                <w:rFonts w:ascii="Verdana" w:eastAsia="SimSun" w:hAnsi="Verdana" w:cs="Verdana"/>
                <w:sz w:val="18"/>
                <w:szCs w:val="18"/>
                <w:lang w:val="en-GB" w:eastAsia="zh-CN"/>
              </w:rPr>
            </w:pPr>
            <w:r w:rsidRPr="00591A0B">
              <w:rPr>
                <w:rFonts w:ascii="Verdana" w:eastAsia="SimSun" w:hAnsi="Verdana"/>
                <w:color w:val="000000"/>
                <w:sz w:val="18"/>
                <w:szCs w:val="18"/>
                <w:lang w:val="en-GB" w:eastAsia="zh-CN"/>
              </w:rPr>
              <w:t>Unit of Assessment</w:t>
            </w:r>
          </w:p>
        </w:tc>
      </w:tr>
      <w:tr w:rsidR="00591A0B" w:rsidRPr="00591A0B" w14:paraId="2DBEB8B9" w14:textId="77777777" w:rsidTr="00591A0B">
        <w:tc>
          <w:tcPr>
            <w:tcW w:w="952" w:type="pct"/>
            <w:shd w:val="clear" w:color="auto" w:fill="auto"/>
          </w:tcPr>
          <w:p w14:paraId="64C1DC57" w14:textId="77777777" w:rsidR="00591A0B" w:rsidRPr="00591A0B" w:rsidRDefault="00591A0B" w:rsidP="00591A0B">
            <w:pPr>
              <w:keepLines/>
              <w:spacing w:before="20" w:after="20"/>
              <w:rPr>
                <w:rFonts w:ascii="Verdana" w:eastAsia="SimSun" w:hAnsi="Verdana" w:cs="Verdana"/>
                <w:bCs/>
                <w:sz w:val="18"/>
                <w:szCs w:val="18"/>
                <w:lang w:val="en-GB" w:eastAsia="zh-CN"/>
              </w:rPr>
            </w:pPr>
            <w:r w:rsidRPr="00591A0B">
              <w:rPr>
                <w:rFonts w:ascii="Verdana" w:eastAsia="SimSun" w:hAnsi="Verdana" w:cs="Verdana"/>
                <w:bCs/>
                <w:sz w:val="18"/>
                <w:szCs w:val="18"/>
                <w:lang w:val="en-GB" w:eastAsia="zh-CN"/>
              </w:rPr>
              <w:t>VME</w:t>
            </w:r>
          </w:p>
        </w:tc>
        <w:tc>
          <w:tcPr>
            <w:tcW w:w="4048" w:type="pct"/>
            <w:shd w:val="clear" w:color="auto" w:fill="auto"/>
          </w:tcPr>
          <w:p w14:paraId="7C2EE2C6" w14:textId="77777777" w:rsidR="00591A0B" w:rsidRPr="00591A0B" w:rsidRDefault="00591A0B" w:rsidP="00591A0B">
            <w:pPr>
              <w:keepLines/>
              <w:spacing w:before="20" w:after="20"/>
              <w:rPr>
                <w:rFonts w:ascii="Verdana" w:eastAsia="SimSun" w:hAnsi="Verdana" w:cs="Verdana"/>
                <w:sz w:val="18"/>
                <w:szCs w:val="18"/>
                <w:lang w:val="en-GB" w:eastAsia="zh-CN"/>
              </w:rPr>
            </w:pPr>
            <w:r w:rsidRPr="00591A0B">
              <w:rPr>
                <w:rFonts w:ascii="Verdana" w:eastAsia="SimSun" w:hAnsi="Verdana" w:cs="Verdana"/>
                <w:sz w:val="18"/>
                <w:szCs w:val="18"/>
                <w:lang w:val="en-GB" w:eastAsia="zh-CN"/>
              </w:rPr>
              <w:t>Vulnerable marine ecosystems</w:t>
            </w:r>
          </w:p>
        </w:tc>
      </w:tr>
    </w:tbl>
    <w:p w14:paraId="75FD2095" w14:textId="77777777" w:rsidR="004833B2" w:rsidRPr="004833B2" w:rsidRDefault="004833B2" w:rsidP="004833B2"/>
    <w:p w14:paraId="62220F75" w14:textId="7243326E" w:rsidR="004833B2" w:rsidRPr="00293D34" w:rsidRDefault="004833B2" w:rsidP="004833B2">
      <w:pPr>
        <w:pStyle w:val="Heading4"/>
      </w:pPr>
      <w:r>
        <w:t>Unit of Assessment(s)</w:t>
      </w:r>
    </w:p>
    <w:p w14:paraId="4FB7D9C3" w14:textId="77777777" w:rsidR="004833B2" w:rsidRDefault="004833B2" w:rsidP="004833B2">
      <w:pPr>
        <w:widowControl w:val="0"/>
      </w:pPr>
    </w:p>
    <w:p w14:paraId="3D8FA248" w14:textId="1E800557" w:rsidR="004833B2" w:rsidRDefault="009A17DA" w:rsidP="009A17DA">
      <w:pPr>
        <w:pStyle w:val="Caption"/>
        <w:keepNext/>
      </w:pPr>
      <w:r>
        <w:t xml:space="preserve">Table </w:t>
      </w:r>
      <w:r>
        <w:fldChar w:fldCharType="begin"/>
      </w:r>
      <w:r>
        <w:instrText xml:space="preserve"> SEQ Table \* ARABIC </w:instrText>
      </w:r>
      <w:r>
        <w:fldChar w:fldCharType="separate"/>
      </w:r>
      <w:r w:rsidR="0037143B">
        <w:rPr>
          <w:noProof/>
        </w:rPr>
        <w:t>2</w:t>
      </w:r>
      <w:r>
        <w:fldChar w:fldCharType="end"/>
      </w:r>
      <w:r w:rsidR="004833B2" w:rsidRPr="00137F58">
        <w:rPr>
          <w:b/>
          <w:sz w:val="20"/>
          <w:szCs w:val="20"/>
        </w:rPr>
        <w:t>. Unit</w:t>
      </w:r>
      <w:r w:rsidR="004833B2">
        <w:rPr>
          <w:b/>
          <w:sz w:val="20"/>
          <w:szCs w:val="20"/>
        </w:rPr>
        <w:t>(s)</w:t>
      </w:r>
      <w:r w:rsidR="004833B2" w:rsidRPr="00137F58">
        <w:rPr>
          <w:b/>
          <w:sz w:val="20"/>
          <w:szCs w:val="20"/>
        </w:rPr>
        <w:t xml:space="preserve"> of Assessment</w:t>
      </w:r>
      <w:r w:rsidR="004833B2">
        <w:rPr>
          <w:b/>
          <w:sz w:val="20"/>
          <w:szCs w:val="20"/>
        </w:rPr>
        <w:t xml:space="preserve"> (</w:t>
      </w:r>
      <w:proofErr w:type="spellStart"/>
      <w:r w:rsidR="004833B2">
        <w:rPr>
          <w:b/>
          <w:sz w:val="20"/>
          <w:szCs w:val="20"/>
        </w:rPr>
        <w:t>UoA</w:t>
      </w:r>
      <w:proofErr w:type="spellEnd"/>
      <w:r w:rsidR="004833B2">
        <w:rPr>
          <w:b/>
          <w:sz w:val="20"/>
          <w:szCs w:val="20"/>
        </w:rPr>
        <w:t>)</w:t>
      </w:r>
    </w:p>
    <w:tbl>
      <w:tblPr>
        <w:tblW w:w="5000" w:type="pct"/>
        <w:tblBorders>
          <w:top w:val="nil"/>
          <w:left w:val="nil"/>
          <w:bottom w:val="nil"/>
          <w:right w:val="nil"/>
          <w:insideH w:val="nil"/>
          <w:insideV w:val="nil"/>
        </w:tblBorders>
        <w:tblLook w:val="0600" w:firstRow="0" w:lastRow="0" w:firstColumn="0" w:lastColumn="0" w:noHBand="1" w:noVBand="1"/>
      </w:tblPr>
      <w:tblGrid>
        <w:gridCol w:w="5022"/>
        <w:gridCol w:w="7928"/>
      </w:tblGrid>
      <w:tr w:rsidR="004833B2" w14:paraId="14E510D9" w14:textId="77777777" w:rsidTr="000779F6">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4A518663" w14:textId="77777777" w:rsidR="004833B2" w:rsidRPr="00213EE5" w:rsidRDefault="004833B2" w:rsidP="000779F6">
            <w:pPr>
              <w:ind w:left="100"/>
              <w:rPr>
                <w:b/>
                <w:bCs/>
                <w:color w:val="FFFFFF" w:themeColor="background1"/>
                <w:sz w:val="20"/>
                <w:szCs w:val="20"/>
              </w:rPr>
            </w:pPr>
            <w:proofErr w:type="spellStart"/>
            <w:r w:rsidRPr="00213EE5">
              <w:rPr>
                <w:b/>
                <w:bCs/>
                <w:color w:val="FFFFFF" w:themeColor="background1"/>
                <w:sz w:val="20"/>
                <w:szCs w:val="20"/>
              </w:rPr>
              <w:t>UoA</w:t>
            </w:r>
            <w:proofErr w:type="spellEnd"/>
            <w:r w:rsidRPr="00213EE5">
              <w:rPr>
                <w:b/>
                <w:bCs/>
                <w:color w:val="FFFFFF" w:themeColor="background1"/>
                <w:sz w:val="20"/>
                <w:szCs w:val="20"/>
              </w:rPr>
              <w:t xml:space="preserve"> </w:t>
            </w:r>
            <w:r>
              <w:rPr>
                <w:b/>
                <w:bCs/>
                <w:color w:val="FFFFFF" w:themeColor="background1"/>
                <w:sz w:val="20"/>
                <w:szCs w:val="20"/>
              </w:rPr>
              <w:t>1</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49D62D3" w14:textId="77777777" w:rsidR="004833B2" w:rsidRPr="00213EE5" w:rsidRDefault="004833B2" w:rsidP="000779F6">
            <w:pPr>
              <w:ind w:left="100"/>
              <w:rPr>
                <w:b/>
                <w:color w:val="FFFFFF" w:themeColor="background1"/>
                <w:sz w:val="20"/>
                <w:szCs w:val="20"/>
              </w:rPr>
            </w:pPr>
            <w:r w:rsidRPr="00213EE5">
              <w:rPr>
                <w:b/>
                <w:color w:val="FFFFFF" w:themeColor="background1"/>
                <w:sz w:val="20"/>
                <w:szCs w:val="20"/>
              </w:rPr>
              <w:t>Description</w:t>
            </w:r>
          </w:p>
        </w:tc>
      </w:tr>
      <w:tr w:rsidR="009A17DA" w14:paraId="1264239A" w14:textId="77777777" w:rsidTr="000779F6">
        <w:trPr>
          <w:trHeight w:val="133"/>
        </w:trPr>
        <w:tc>
          <w:tcPr>
            <w:tcW w:w="1939" w:type="pct"/>
            <w:tcBorders>
              <w:top w:val="single" w:sz="4" w:space="0" w:color="auto"/>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C4004B" w14:textId="097170A1" w:rsidR="009A17DA" w:rsidRPr="00D1222D" w:rsidRDefault="009A17DA" w:rsidP="009A17DA">
            <w:pPr>
              <w:ind w:left="100"/>
              <w:rPr>
                <w:b/>
                <w:bCs/>
                <w:sz w:val="20"/>
                <w:szCs w:val="20"/>
              </w:rPr>
            </w:pPr>
            <w:r w:rsidRPr="00D1222D">
              <w:rPr>
                <w:b/>
                <w:bCs/>
                <w:sz w:val="20"/>
                <w:szCs w:val="20"/>
              </w:rPr>
              <w:t>Target species (common and scientific name)</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44BFE36" w14:textId="26C28222" w:rsidR="009A17DA" w:rsidRPr="00213EE5" w:rsidRDefault="009A17DA" w:rsidP="009A17DA">
            <w:pPr>
              <w:ind w:left="100"/>
              <w:rPr>
                <w:bCs/>
                <w:sz w:val="20"/>
                <w:szCs w:val="20"/>
                <w:highlight w:val="yellow"/>
              </w:rPr>
            </w:pPr>
            <w:r w:rsidRPr="009B6B20">
              <w:rPr>
                <w:bCs/>
                <w:color w:val="000000" w:themeColor="text1"/>
                <w:sz w:val="20"/>
                <w:szCs w:val="20"/>
              </w:rPr>
              <w:t xml:space="preserve">Yellowfin Tuna </w:t>
            </w:r>
            <w:r w:rsidRPr="009B6B20">
              <w:rPr>
                <w:bCs/>
                <w:i/>
                <w:iCs/>
                <w:color w:val="000000" w:themeColor="text1"/>
                <w:sz w:val="20"/>
                <w:szCs w:val="20"/>
              </w:rPr>
              <w:t xml:space="preserve">Thunnus </w:t>
            </w:r>
            <w:proofErr w:type="spellStart"/>
            <w:r w:rsidRPr="009B6B20">
              <w:rPr>
                <w:bCs/>
                <w:i/>
                <w:iCs/>
                <w:color w:val="000000" w:themeColor="text1"/>
                <w:sz w:val="20"/>
                <w:szCs w:val="20"/>
              </w:rPr>
              <w:t>albacares</w:t>
            </w:r>
            <w:proofErr w:type="spellEnd"/>
            <w:r w:rsidRPr="009B6B20">
              <w:rPr>
                <w:bCs/>
                <w:color w:val="000000" w:themeColor="text1"/>
                <w:sz w:val="20"/>
                <w:szCs w:val="20"/>
              </w:rPr>
              <w:t xml:space="preserve"> (YFT)</w:t>
            </w:r>
          </w:p>
        </w:tc>
      </w:tr>
      <w:tr w:rsidR="009A17DA" w14:paraId="44E5B327" w14:textId="77777777" w:rsidTr="000779F6">
        <w:trPr>
          <w:trHeight w:val="20"/>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6B69773" w14:textId="1BAB255D" w:rsidR="009A17DA" w:rsidRPr="00D1222D" w:rsidRDefault="009A17DA" w:rsidP="009A17DA">
            <w:pPr>
              <w:ind w:left="100"/>
              <w:rPr>
                <w:b/>
                <w:bCs/>
                <w:sz w:val="20"/>
                <w:szCs w:val="20"/>
              </w:rPr>
            </w:pPr>
            <w:r w:rsidRPr="00D1222D">
              <w:rPr>
                <w:b/>
                <w:bCs/>
                <w:sz w:val="20"/>
                <w:szCs w:val="20"/>
              </w:rPr>
              <w:lastRenderedPageBreak/>
              <w:t>Stock</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5DCDBB6" w14:textId="16F79C65" w:rsidR="009A17DA" w:rsidRPr="00213EE5" w:rsidRDefault="009A17DA" w:rsidP="009A17DA">
            <w:pPr>
              <w:ind w:left="100"/>
              <w:rPr>
                <w:bCs/>
                <w:sz w:val="20"/>
                <w:szCs w:val="20"/>
                <w:highlight w:val="yellow"/>
              </w:rPr>
            </w:pPr>
            <w:r w:rsidRPr="009B6B20">
              <w:rPr>
                <w:bCs/>
                <w:color w:val="000000" w:themeColor="text1"/>
                <w:sz w:val="20"/>
                <w:szCs w:val="20"/>
              </w:rPr>
              <w:t>Indian Ocean</w:t>
            </w:r>
          </w:p>
        </w:tc>
      </w:tr>
      <w:tr w:rsidR="009A17DA" w14:paraId="07F999BE" w14:textId="77777777" w:rsidTr="000779F6">
        <w:trPr>
          <w:trHeight w:val="269"/>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B16B76F" w14:textId="506CBE96" w:rsidR="009A17DA" w:rsidRPr="00D1222D" w:rsidRDefault="009A17DA" w:rsidP="009A17DA">
            <w:pPr>
              <w:ind w:left="100"/>
              <w:rPr>
                <w:b/>
                <w:bCs/>
                <w:sz w:val="20"/>
                <w:szCs w:val="20"/>
              </w:rPr>
            </w:pPr>
            <w:r w:rsidRPr="00D1222D">
              <w:rPr>
                <w:b/>
                <w:bCs/>
                <w:sz w:val="20"/>
                <w:szCs w:val="20"/>
              </w:rPr>
              <w:t>Geographical area</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187F61D" w14:textId="656A3C69" w:rsidR="009A17DA" w:rsidRPr="00213EE5" w:rsidRDefault="009A17DA" w:rsidP="009A17DA">
            <w:pPr>
              <w:ind w:left="100"/>
              <w:rPr>
                <w:bCs/>
                <w:sz w:val="20"/>
                <w:szCs w:val="20"/>
                <w:highlight w:val="yellow"/>
              </w:rPr>
            </w:pPr>
            <w:r w:rsidRPr="009B6B20">
              <w:rPr>
                <w:bCs/>
                <w:color w:val="000000" w:themeColor="text1"/>
                <w:sz w:val="20"/>
                <w:szCs w:val="20"/>
              </w:rPr>
              <w:t>Maldives EEZ</w:t>
            </w:r>
          </w:p>
        </w:tc>
      </w:tr>
      <w:tr w:rsidR="009A17DA" w14:paraId="123B36D3" w14:textId="77777777" w:rsidTr="000779F6">
        <w:trPr>
          <w:trHeight w:val="152"/>
        </w:trPr>
        <w:tc>
          <w:tcPr>
            <w:tcW w:w="1939" w:type="pct"/>
            <w:tcBorders>
              <w:top w:val="nil"/>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0D8BD462" w14:textId="08982D7E" w:rsidR="009A17DA" w:rsidRPr="00D1222D" w:rsidRDefault="009A17DA" w:rsidP="009A17DA">
            <w:pPr>
              <w:ind w:left="100"/>
              <w:rPr>
                <w:b/>
                <w:bCs/>
                <w:sz w:val="20"/>
                <w:szCs w:val="20"/>
              </w:rPr>
            </w:pPr>
            <w:r w:rsidRPr="00D1222D">
              <w:rPr>
                <w:b/>
                <w:bCs/>
                <w:sz w:val="20"/>
                <w:szCs w:val="20"/>
              </w:rPr>
              <w:t>Fishing method or gear type</w:t>
            </w:r>
          </w:p>
        </w:tc>
        <w:tc>
          <w:tcPr>
            <w:tcW w:w="3061" w:type="pct"/>
            <w:tcBorders>
              <w:top w:val="nil"/>
              <w:left w:val="nil"/>
              <w:bottom w:val="single" w:sz="4" w:space="0" w:color="auto"/>
              <w:right w:val="single" w:sz="7" w:space="0" w:color="000000"/>
            </w:tcBorders>
            <w:shd w:val="clear" w:color="auto" w:fill="auto"/>
            <w:tcMar>
              <w:top w:w="100" w:type="dxa"/>
              <w:left w:w="100" w:type="dxa"/>
              <w:bottom w:w="100" w:type="dxa"/>
              <w:right w:w="100" w:type="dxa"/>
            </w:tcMar>
          </w:tcPr>
          <w:p w14:paraId="485F7C95" w14:textId="5424FF1B" w:rsidR="009A17DA" w:rsidRPr="00213EE5" w:rsidRDefault="009A17DA" w:rsidP="009A17DA">
            <w:pPr>
              <w:ind w:left="100"/>
              <w:rPr>
                <w:bCs/>
                <w:sz w:val="20"/>
                <w:szCs w:val="20"/>
                <w:highlight w:val="yellow"/>
              </w:rPr>
            </w:pPr>
            <w:r w:rsidRPr="009B6B20">
              <w:rPr>
                <w:bCs/>
                <w:color w:val="000000" w:themeColor="text1"/>
                <w:sz w:val="20"/>
                <w:szCs w:val="20"/>
              </w:rPr>
              <w:t>Handline (HL)</w:t>
            </w:r>
          </w:p>
        </w:tc>
      </w:tr>
      <w:tr w:rsidR="009A17DA" w14:paraId="5381F4ED" w14:textId="77777777" w:rsidTr="000779F6">
        <w:trPr>
          <w:trHeight w:val="439"/>
        </w:trPr>
        <w:tc>
          <w:tcPr>
            <w:tcW w:w="1939" w:type="pct"/>
            <w:tcBorders>
              <w:top w:val="single" w:sz="4" w:space="0" w:color="auto"/>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04B2F634" w14:textId="17D1F4BC" w:rsidR="009A17DA" w:rsidRPr="00D1222D" w:rsidRDefault="009A17DA" w:rsidP="009A17DA">
            <w:pPr>
              <w:ind w:left="100"/>
              <w:rPr>
                <w:b/>
                <w:bCs/>
                <w:sz w:val="20"/>
                <w:szCs w:val="20"/>
              </w:rPr>
            </w:pPr>
            <w:r w:rsidRPr="00D1222D">
              <w:rPr>
                <w:b/>
                <w:bCs/>
                <w:sz w:val="20"/>
                <w:szCs w:val="20"/>
              </w:rPr>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shd w:val="clear" w:color="auto" w:fill="auto"/>
            <w:tcMar>
              <w:top w:w="100" w:type="dxa"/>
              <w:left w:w="100" w:type="dxa"/>
              <w:bottom w:w="100" w:type="dxa"/>
              <w:right w:w="100" w:type="dxa"/>
            </w:tcMar>
          </w:tcPr>
          <w:p w14:paraId="4B64D13D" w14:textId="77777777" w:rsidR="009A17DA" w:rsidRDefault="009A17DA" w:rsidP="009A17DA">
            <w:pPr>
              <w:ind w:left="100"/>
              <w:rPr>
                <w:bCs/>
                <w:color w:val="000000" w:themeColor="text1"/>
                <w:sz w:val="20"/>
                <w:szCs w:val="20"/>
              </w:rPr>
            </w:pPr>
          </w:p>
          <w:p w14:paraId="609BC92F" w14:textId="75BBF27D" w:rsidR="009A17DA" w:rsidRPr="00213EE5" w:rsidRDefault="009A17DA" w:rsidP="009A17DA">
            <w:pPr>
              <w:ind w:left="100"/>
              <w:rPr>
                <w:bCs/>
                <w:sz w:val="20"/>
                <w:szCs w:val="20"/>
                <w:highlight w:val="yellow"/>
              </w:rPr>
            </w:pPr>
            <w:r w:rsidRPr="009B6B20">
              <w:rPr>
                <w:bCs/>
                <w:color w:val="000000" w:themeColor="text1"/>
                <w:sz w:val="20"/>
                <w:szCs w:val="20"/>
              </w:rPr>
              <w:t xml:space="preserve">All licensed Maldivian vessels are included in the </w:t>
            </w:r>
            <w:proofErr w:type="spellStart"/>
            <w:r w:rsidRPr="009B6B20">
              <w:rPr>
                <w:bCs/>
                <w:color w:val="000000" w:themeColor="text1"/>
                <w:sz w:val="20"/>
                <w:szCs w:val="20"/>
              </w:rPr>
              <w:t>UoA</w:t>
            </w:r>
            <w:proofErr w:type="spellEnd"/>
            <w:r w:rsidRPr="009B6B20">
              <w:rPr>
                <w:bCs/>
                <w:color w:val="000000" w:themeColor="text1"/>
                <w:sz w:val="20"/>
                <w:szCs w:val="20"/>
              </w:rPr>
              <w:t>.</w:t>
            </w:r>
          </w:p>
        </w:tc>
      </w:tr>
    </w:tbl>
    <w:p w14:paraId="7224E88B" w14:textId="77777777" w:rsidR="004833B2" w:rsidRPr="00293D34" w:rsidRDefault="004833B2" w:rsidP="004833B2"/>
    <w:p w14:paraId="1C1F1B5B" w14:textId="5F5D3EFC" w:rsidR="00D94EED" w:rsidRDefault="000B7ACA">
      <w:pPr>
        <w:pStyle w:val="Heading2"/>
        <w:keepNext w:val="0"/>
        <w:keepLines w:val="0"/>
      </w:pPr>
      <w:bookmarkStart w:id="15" w:name="_zentudsswvm8" w:colFirst="0" w:colLast="0"/>
      <w:bookmarkStart w:id="16" w:name="_z9atopk6s9e" w:colFirst="0" w:colLast="0"/>
      <w:bookmarkEnd w:id="15"/>
      <w:bookmarkEnd w:id="16"/>
      <w:r>
        <w:rPr>
          <w:color w:val="0070C0"/>
          <w:sz w:val="28"/>
          <w:szCs w:val="28"/>
        </w:rPr>
        <w:t>FIP Actions</w:t>
      </w:r>
    </w:p>
    <w:p w14:paraId="1C4530E6" w14:textId="77777777" w:rsidR="009F1BE6" w:rsidRDefault="009F1BE6">
      <w:bookmarkStart w:id="17" w:name="_5yh0dgtxydoe" w:colFirst="0" w:colLast="0"/>
      <w:bookmarkEnd w:id="17"/>
    </w:p>
    <w:p w14:paraId="330D8E87" w14:textId="4593A07C" w:rsidR="00D94EED" w:rsidRPr="002E0D72" w:rsidRDefault="009A17DA" w:rsidP="009A17DA">
      <w:pPr>
        <w:pStyle w:val="Caption"/>
        <w:keepNext/>
        <w:rPr>
          <w:bCs/>
          <w:sz w:val="20"/>
          <w:szCs w:val="20"/>
          <w:lang w:val="en-GB"/>
        </w:rPr>
      </w:pPr>
      <w:bookmarkStart w:id="18" w:name="_c8hgeq970xjy" w:colFirst="0" w:colLast="0"/>
      <w:bookmarkEnd w:id="18"/>
      <w:r>
        <w:t xml:space="preserve">Table </w:t>
      </w:r>
      <w:r>
        <w:fldChar w:fldCharType="begin"/>
      </w:r>
      <w:r>
        <w:instrText xml:space="preserve"> SEQ Table \* ARABIC </w:instrText>
      </w:r>
      <w:r>
        <w:fldChar w:fldCharType="separate"/>
      </w:r>
      <w:r w:rsidR="0037143B">
        <w:rPr>
          <w:noProof/>
        </w:rPr>
        <w:t>3</w:t>
      </w:r>
      <w:r>
        <w:fldChar w:fldCharType="end"/>
      </w:r>
      <w:r w:rsidR="009F1BE6" w:rsidRPr="002E0D72">
        <w:rPr>
          <w:b/>
          <w:sz w:val="20"/>
          <w:szCs w:val="20"/>
          <w:lang w:val="en-GB"/>
        </w:rPr>
        <w:t xml:space="preserve">. </w:t>
      </w:r>
      <w:r w:rsidR="009F1BE6" w:rsidRPr="009F1BE6">
        <w:rPr>
          <w:b/>
          <w:sz w:val="20"/>
          <w:szCs w:val="20"/>
          <w:lang w:val="en-GB"/>
        </w:rPr>
        <w:t xml:space="preserve">Performance Indicator Action Plan </w:t>
      </w:r>
      <w:r w:rsidR="009F1BE6">
        <w:rPr>
          <w:b/>
          <w:sz w:val="20"/>
          <w:szCs w:val="20"/>
          <w:lang w:val="en-GB"/>
        </w:rPr>
        <w:t>T</w:t>
      </w:r>
      <w:r w:rsidR="009F1BE6" w:rsidRPr="009F1BE6">
        <w:rPr>
          <w:b/>
          <w:sz w:val="20"/>
          <w:szCs w:val="20"/>
          <w:lang w:val="en-GB"/>
        </w:rPr>
        <w:t>able for Action</w:t>
      </w:r>
      <w:r w:rsidR="000779F6">
        <w:rPr>
          <w:b/>
          <w:sz w:val="20"/>
          <w:szCs w:val="20"/>
          <w:lang w:val="en-GB"/>
        </w:rPr>
        <w:t xml:space="preserve"> 1 [PIs</w:t>
      </w:r>
      <w:r>
        <w:rPr>
          <w:b/>
          <w:sz w:val="20"/>
          <w:szCs w:val="20"/>
          <w:lang w:val="en-GB"/>
        </w:rPr>
        <w:t xml:space="preserve"> 1.1.1</w:t>
      </w:r>
      <w:r w:rsidR="00781B5A">
        <w:rPr>
          <w:b/>
          <w:sz w:val="20"/>
          <w:szCs w:val="20"/>
          <w:lang w:val="en-GB"/>
        </w:rPr>
        <w:t>/1.1.2</w:t>
      </w:r>
      <w:r w:rsidR="000779F6">
        <w:rPr>
          <w:b/>
          <w:sz w:val="20"/>
          <w:szCs w:val="20"/>
          <w:lang w:val="en-GB"/>
        </w:rPr>
        <w:t>]</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4833B2" w14:paraId="42F4E7B1" w14:textId="77777777" w:rsidTr="004833B2">
        <w:trPr>
          <w:trHeight w:val="20"/>
        </w:trPr>
        <w:tc>
          <w:tcPr>
            <w:tcW w:w="1735" w:type="pct"/>
            <w:tcBorders>
              <w:top w:val="single" w:sz="7" w:space="0" w:color="000000"/>
              <w:left w:val="single" w:sz="7" w:space="0" w:color="000000"/>
              <w:bottom w:val="single" w:sz="7" w:space="0" w:color="000000"/>
              <w:right w:val="single" w:sz="7" w:space="0" w:color="000000"/>
            </w:tcBorders>
          </w:tcPr>
          <w:p w14:paraId="3C2577E5" w14:textId="77777777" w:rsidR="004833B2" w:rsidDel="000B7ACA" w:rsidRDefault="004833B2" w:rsidP="004833B2">
            <w:pPr>
              <w:ind w:left="40"/>
              <w:rPr>
                <w:b/>
                <w:sz w:val="20"/>
                <w:szCs w:val="20"/>
              </w:rPr>
            </w:pPr>
            <w:r w:rsidDel="000B7ACA">
              <w:rPr>
                <w:b/>
                <w:sz w:val="20"/>
                <w:szCs w:val="20"/>
              </w:rPr>
              <w:t xml:space="preserve">Action Number and Name </w:t>
            </w:r>
          </w:p>
          <w:p w14:paraId="1EB4EBD8" w14:textId="04755D1F" w:rsidR="004833B2" w:rsidRDefault="004833B2" w:rsidP="004833B2">
            <w:pPr>
              <w:ind w:left="140"/>
              <w:jc w:val="both"/>
              <w:rPr>
                <w:b/>
                <w:sz w:val="20"/>
                <w:szCs w:val="20"/>
              </w:rPr>
            </w:pPr>
            <w:r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DBE2742" w14:textId="73918D49" w:rsidR="004833B2" w:rsidRDefault="000779F6" w:rsidP="004833B2">
            <w:pPr>
              <w:ind w:left="140"/>
              <w:rPr>
                <w:sz w:val="20"/>
                <w:szCs w:val="20"/>
              </w:rPr>
            </w:pPr>
            <w:r>
              <w:rPr>
                <w:sz w:val="20"/>
                <w:szCs w:val="20"/>
              </w:rPr>
              <w:t xml:space="preserve">Action 1: PIs </w:t>
            </w:r>
            <w:r w:rsidR="009A17DA">
              <w:rPr>
                <w:sz w:val="20"/>
                <w:szCs w:val="20"/>
              </w:rPr>
              <w:t>1.1.1</w:t>
            </w:r>
            <w:r w:rsidR="00781B5A">
              <w:rPr>
                <w:sz w:val="20"/>
                <w:szCs w:val="20"/>
              </w:rPr>
              <w:t>/1.1.2</w:t>
            </w:r>
            <w:r w:rsidR="009A17DA">
              <w:rPr>
                <w:sz w:val="20"/>
                <w:szCs w:val="20"/>
              </w:rPr>
              <w:t xml:space="preserve"> Stock rebuilding</w:t>
            </w:r>
          </w:p>
        </w:tc>
      </w:tr>
      <w:tr w:rsidR="004833B2" w14:paraId="0B25D9CC" w14:textId="77777777" w:rsidTr="004833B2">
        <w:trPr>
          <w:trHeight w:val="580"/>
        </w:trPr>
        <w:tc>
          <w:tcPr>
            <w:tcW w:w="1735" w:type="pct"/>
            <w:tcBorders>
              <w:top w:val="nil"/>
              <w:left w:val="single" w:sz="7" w:space="0" w:color="000000"/>
              <w:bottom w:val="single" w:sz="4" w:space="0" w:color="auto"/>
              <w:right w:val="single" w:sz="7" w:space="0" w:color="000000"/>
            </w:tcBorders>
          </w:tcPr>
          <w:p w14:paraId="2CCD4614" w14:textId="6485AB9F" w:rsidR="004833B2" w:rsidRDefault="004833B2" w:rsidP="004833B2">
            <w:pPr>
              <w:ind w:left="75"/>
              <w:jc w:val="both"/>
              <w:rPr>
                <w:b/>
                <w:sz w:val="20"/>
                <w:szCs w:val="20"/>
              </w:rPr>
            </w:pPr>
            <w:r w:rsidDel="000B7ACA">
              <w:rPr>
                <w:b/>
                <w:sz w:val="20"/>
                <w:szCs w:val="20"/>
              </w:rPr>
              <w:t xml:space="preserve">Action Goal </w:t>
            </w:r>
          </w:p>
          <w:p w14:paraId="3164BA43" w14:textId="7A9E7A78" w:rsidR="004833B2" w:rsidRDefault="004833B2" w:rsidP="004833B2">
            <w:pPr>
              <w:ind w:left="165"/>
              <w:jc w:val="both"/>
              <w:rPr>
                <w:b/>
                <w:sz w:val="20"/>
                <w:szCs w:val="20"/>
              </w:rPr>
            </w:pPr>
            <w:r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79A35CA3" w14:textId="3092C645" w:rsidR="004833B2" w:rsidRPr="00781B5A" w:rsidRDefault="00781B5A" w:rsidP="004833B2">
            <w:pPr>
              <w:ind w:left="140"/>
              <w:rPr>
                <w:sz w:val="20"/>
                <w:szCs w:val="20"/>
              </w:rPr>
            </w:pPr>
            <w:r>
              <w:rPr>
                <w:sz w:val="20"/>
                <w:szCs w:val="20"/>
              </w:rPr>
              <w:t>Promote actions to implement a rebuilding plan for the YFT stock that is expected to allow an increase in the stock to a point that it is at or fluctuating around Bmsy.</w:t>
            </w:r>
          </w:p>
        </w:tc>
      </w:tr>
      <w:tr w:rsidR="004833B2" w14:paraId="00B910FA" w14:textId="77777777" w:rsidTr="004833B2">
        <w:trPr>
          <w:trHeight w:val="2360"/>
        </w:trPr>
        <w:tc>
          <w:tcPr>
            <w:tcW w:w="1735" w:type="pct"/>
            <w:tcBorders>
              <w:top w:val="single" w:sz="4" w:space="0" w:color="auto"/>
              <w:left w:val="single" w:sz="8" w:space="0" w:color="000000"/>
              <w:bottom w:val="single" w:sz="8" w:space="0" w:color="000000"/>
              <w:right w:val="single" w:sz="8" w:space="0" w:color="000000"/>
            </w:tcBorders>
          </w:tcPr>
          <w:p w14:paraId="0B04D077" w14:textId="77777777" w:rsidR="004833B2" w:rsidDel="000B7ACA" w:rsidRDefault="004833B2" w:rsidP="004833B2">
            <w:pPr>
              <w:ind w:left="40"/>
              <w:rPr>
                <w:b/>
                <w:sz w:val="20"/>
                <w:szCs w:val="20"/>
              </w:rPr>
            </w:pPr>
            <w:r w:rsidDel="000B7ACA">
              <w:rPr>
                <w:b/>
                <w:sz w:val="20"/>
                <w:szCs w:val="20"/>
              </w:rPr>
              <w:t xml:space="preserve">Action Description </w:t>
            </w:r>
          </w:p>
          <w:p w14:paraId="43A77441" w14:textId="52BE2E0F" w:rsidR="004833B2" w:rsidRDefault="004833B2" w:rsidP="004833B2">
            <w:pPr>
              <w:ind w:left="140"/>
              <w:rPr>
                <w:b/>
                <w:sz w:val="20"/>
                <w:szCs w:val="20"/>
              </w:rPr>
            </w:pPr>
            <w:r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42CDAA" w14:textId="77777777" w:rsidR="00781B5A" w:rsidRPr="00781B5A" w:rsidRDefault="00781B5A" w:rsidP="00781B5A">
            <w:pPr>
              <w:ind w:left="140"/>
              <w:rPr>
                <w:sz w:val="20"/>
                <w:szCs w:val="20"/>
              </w:rPr>
            </w:pPr>
            <w:r w:rsidRPr="00781B5A">
              <w:rPr>
                <w:sz w:val="20"/>
                <w:szCs w:val="20"/>
              </w:rPr>
              <w:t>A rebuilding plan is required that would rebuild the stock to (or fluctuating around) a level consistent with MSY (with 80% probability) within up to 15 years. Evidence of appropriate rebuilding strategies may be provided based on updated stock assessments and/or simulations.</w:t>
            </w:r>
          </w:p>
          <w:p w14:paraId="02D8AAA9" w14:textId="77777777" w:rsidR="00781B5A" w:rsidRPr="00781B5A" w:rsidRDefault="00781B5A" w:rsidP="00781B5A">
            <w:pPr>
              <w:ind w:left="140"/>
              <w:rPr>
                <w:sz w:val="20"/>
                <w:szCs w:val="20"/>
              </w:rPr>
            </w:pPr>
          </w:p>
          <w:p w14:paraId="6774A3B4" w14:textId="4D17B5D7" w:rsidR="004833B2" w:rsidRPr="00781B5A" w:rsidRDefault="00781B5A" w:rsidP="00781B5A">
            <w:pPr>
              <w:ind w:left="140"/>
              <w:rPr>
                <w:sz w:val="20"/>
                <w:szCs w:val="20"/>
              </w:rPr>
            </w:pPr>
            <w:r w:rsidRPr="00781B5A">
              <w:rPr>
                <w:sz w:val="20"/>
                <w:szCs w:val="20"/>
              </w:rPr>
              <w:t>Plans to rebuild the stock are already under development based on reductions relative to 2014/15 catches, but such reductions are not yet reaching the levels required. MSPEA should advocate within Maldives and via the Maldivian delegation to IOTC to ensure and effective rebuilding plan is in place, and that timescales are in accord with MSC requirements. This should be combined with actions for Harvest Strategy (PI 1.2.1) and Harvest Control Rules (PI 1.2.2).</w:t>
            </w:r>
          </w:p>
        </w:tc>
      </w:tr>
      <w:tr w:rsidR="004833B2" w14:paraId="453DC477" w14:textId="77777777" w:rsidTr="004833B2">
        <w:trPr>
          <w:trHeight w:val="360"/>
        </w:trPr>
        <w:tc>
          <w:tcPr>
            <w:tcW w:w="1735" w:type="pct"/>
            <w:tcBorders>
              <w:top w:val="single" w:sz="8" w:space="0" w:color="000000"/>
              <w:left w:val="single" w:sz="7" w:space="0" w:color="000000"/>
              <w:bottom w:val="single" w:sz="4" w:space="0" w:color="000000"/>
              <w:right w:val="single" w:sz="7" w:space="0" w:color="000000"/>
            </w:tcBorders>
          </w:tcPr>
          <w:p w14:paraId="172BD917" w14:textId="64F9E491" w:rsidR="004833B2" w:rsidRDefault="004833B2" w:rsidP="004833B2">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11715E5D" w14:textId="1A52939F" w:rsidR="004833B2" w:rsidRPr="002E0D72" w:rsidRDefault="001F5045" w:rsidP="004833B2">
            <w:pPr>
              <w:ind w:left="140"/>
              <w:rPr>
                <w:sz w:val="20"/>
                <w:szCs w:val="20"/>
                <w:highlight w:val="yellow"/>
              </w:rPr>
            </w:pPr>
            <w:r>
              <w:rPr>
                <w:sz w:val="20"/>
                <w:szCs w:val="20"/>
              </w:rPr>
              <w:t>May</w:t>
            </w:r>
            <w:r w:rsidR="00781B5A" w:rsidRPr="00781B5A">
              <w:rPr>
                <w:sz w:val="20"/>
                <w:szCs w:val="20"/>
              </w:rPr>
              <w:t xml:space="preserve"> 2026</w:t>
            </w:r>
          </w:p>
        </w:tc>
      </w:tr>
      <w:tr w:rsidR="004833B2" w14:paraId="6D6C9BA6" w14:textId="77777777" w:rsidTr="004833B2">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61C276D3" w14:textId="77777777" w:rsidR="004833B2" w:rsidDel="000B7ACA" w:rsidRDefault="004833B2" w:rsidP="004833B2">
            <w:pPr>
              <w:ind w:left="40"/>
              <w:rPr>
                <w:b/>
                <w:sz w:val="20"/>
                <w:szCs w:val="20"/>
              </w:rPr>
            </w:pPr>
            <w:r w:rsidDel="000B7ACA">
              <w:rPr>
                <w:b/>
                <w:sz w:val="20"/>
                <w:szCs w:val="20"/>
              </w:rPr>
              <w:t xml:space="preserve">Priority </w:t>
            </w:r>
          </w:p>
          <w:p w14:paraId="4F8ED381" w14:textId="7C5568EC" w:rsidR="004833B2" w:rsidRDefault="004833B2" w:rsidP="004833B2">
            <w:pPr>
              <w:ind w:left="140"/>
              <w:rPr>
                <w:b/>
                <w:sz w:val="20"/>
                <w:szCs w:val="20"/>
              </w:rPr>
            </w:pPr>
            <w:r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28C37502" w14:textId="110C54DF" w:rsidR="004833B2" w:rsidRPr="009A17DA" w:rsidRDefault="000779F6" w:rsidP="004833B2">
            <w:pPr>
              <w:ind w:left="140"/>
              <w:rPr>
                <w:sz w:val="20"/>
                <w:szCs w:val="20"/>
              </w:rPr>
            </w:pPr>
            <w:r w:rsidRPr="000779F6">
              <w:rPr>
                <w:sz w:val="20"/>
                <w:szCs w:val="20"/>
              </w:rPr>
              <w:t>High: Achievement will require action through IOTC and agreement of CPC’s and so timescales are out of the control of MSPEA. Action should therefore begin asap.</w:t>
            </w:r>
          </w:p>
        </w:tc>
      </w:tr>
      <w:tr w:rsidR="004833B2" w14:paraId="5077F92B" w14:textId="77777777" w:rsidTr="004833B2">
        <w:trPr>
          <w:trHeight w:val="300"/>
        </w:trPr>
        <w:tc>
          <w:tcPr>
            <w:tcW w:w="1735" w:type="pct"/>
            <w:tcBorders>
              <w:top w:val="single" w:sz="8" w:space="0" w:color="000000"/>
              <w:left w:val="single" w:sz="7" w:space="0" w:color="000000"/>
              <w:bottom w:val="single" w:sz="4" w:space="0" w:color="auto"/>
              <w:right w:val="single" w:sz="8" w:space="0" w:color="000000"/>
            </w:tcBorders>
          </w:tcPr>
          <w:p w14:paraId="73A711A1" w14:textId="77777777" w:rsidR="004833B2" w:rsidDel="000B7ACA" w:rsidRDefault="004833B2" w:rsidP="004833B2">
            <w:pPr>
              <w:ind w:left="40"/>
              <w:rPr>
                <w:b/>
                <w:sz w:val="20"/>
                <w:szCs w:val="20"/>
              </w:rPr>
            </w:pPr>
            <w:r w:rsidDel="000B7ACA">
              <w:rPr>
                <w:b/>
                <w:sz w:val="20"/>
                <w:szCs w:val="20"/>
              </w:rPr>
              <w:lastRenderedPageBreak/>
              <w:t>Estimated Cost</w:t>
            </w:r>
          </w:p>
          <w:p w14:paraId="133544F4" w14:textId="6B5C3CE8" w:rsidR="004833B2" w:rsidRDefault="004833B2" w:rsidP="004833B2">
            <w:pPr>
              <w:ind w:left="140"/>
              <w:rPr>
                <w:b/>
                <w:sz w:val="20"/>
                <w:szCs w:val="20"/>
              </w:rPr>
            </w:pPr>
            <w:r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55D924" w14:textId="1C37F99D" w:rsidR="004833B2" w:rsidRPr="002E0D72" w:rsidRDefault="00F67E15" w:rsidP="004833B2">
            <w:pPr>
              <w:ind w:left="140"/>
              <w:rPr>
                <w:sz w:val="20"/>
                <w:szCs w:val="20"/>
                <w:highlight w:val="yellow"/>
              </w:rPr>
            </w:pPr>
            <w:r w:rsidRPr="00F67E15">
              <w:rPr>
                <w:sz w:val="20"/>
                <w:szCs w:val="20"/>
              </w:rPr>
              <w:t xml:space="preserve">US$ </w:t>
            </w:r>
            <w:r w:rsidR="00BD79D6">
              <w:rPr>
                <w:sz w:val="20"/>
                <w:szCs w:val="20"/>
              </w:rPr>
              <w:t>92,150 (revised)</w:t>
            </w:r>
          </w:p>
        </w:tc>
      </w:tr>
      <w:tr w:rsidR="004833B2" w14:paraId="5EF3C7D2" w14:textId="77777777" w:rsidTr="004833B2">
        <w:trPr>
          <w:trHeight w:val="17"/>
        </w:trPr>
        <w:tc>
          <w:tcPr>
            <w:tcW w:w="1735" w:type="pct"/>
            <w:tcBorders>
              <w:top w:val="single" w:sz="4" w:space="0" w:color="auto"/>
              <w:left w:val="single" w:sz="4" w:space="0" w:color="auto"/>
              <w:bottom w:val="single" w:sz="4" w:space="0" w:color="auto"/>
              <w:right w:val="single" w:sz="4" w:space="0" w:color="auto"/>
            </w:tcBorders>
          </w:tcPr>
          <w:p w14:paraId="4C996E04" w14:textId="77777777" w:rsidR="004833B2" w:rsidDel="000B7ACA" w:rsidRDefault="004833B2" w:rsidP="004833B2">
            <w:pPr>
              <w:ind w:left="40"/>
              <w:rPr>
                <w:b/>
                <w:sz w:val="20"/>
                <w:szCs w:val="20"/>
              </w:rPr>
            </w:pPr>
            <w:r w:rsidDel="000B7ACA">
              <w:rPr>
                <w:b/>
                <w:sz w:val="20"/>
                <w:szCs w:val="20"/>
              </w:rPr>
              <w:t xml:space="preserve">Responsible Parties </w:t>
            </w:r>
          </w:p>
          <w:p w14:paraId="708B4344" w14:textId="351E7249" w:rsidR="004833B2" w:rsidRDefault="004833B2" w:rsidP="004833B2">
            <w:pPr>
              <w:ind w:left="140"/>
              <w:rPr>
                <w:b/>
                <w:sz w:val="20"/>
                <w:szCs w:val="20"/>
              </w:rPr>
            </w:pPr>
            <w:r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0D5A5ECE" w14:textId="3F60F030" w:rsidR="004833B2" w:rsidRPr="002E0D72" w:rsidRDefault="00824CF3" w:rsidP="004833B2">
            <w:pPr>
              <w:ind w:left="140"/>
              <w:rPr>
                <w:sz w:val="20"/>
                <w:szCs w:val="20"/>
                <w:highlight w:val="yellow"/>
              </w:rPr>
            </w:pPr>
            <w:r w:rsidRPr="009A42EA">
              <w:rPr>
                <w:sz w:val="20"/>
                <w:szCs w:val="20"/>
              </w:rPr>
              <w:t>MSPEA / Ministry of Fisheries</w:t>
            </w:r>
            <w:r w:rsidR="00AD2848">
              <w:rPr>
                <w:sz w:val="20"/>
                <w:szCs w:val="20"/>
              </w:rPr>
              <w:t xml:space="preserve"> and Ocean Resources </w:t>
            </w:r>
          </w:p>
        </w:tc>
      </w:tr>
      <w:tr w:rsidR="004833B2" w14:paraId="6D932F22" w14:textId="77777777" w:rsidTr="004833B2">
        <w:trPr>
          <w:trHeight w:val="320"/>
        </w:trPr>
        <w:tc>
          <w:tcPr>
            <w:tcW w:w="1735" w:type="pct"/>
            <w:tcBorders>
              <w:top w:val="single" w:sz="4" w:space="0" w:color="auto"/>
              <w:left w:val="single" w:sz="7" w:space="0" w:color="000000"/>
              <w:bottom w:val="single" w:sz="7" w:space="0" w:color="000000"/>
              <w:right w:val="single" w:sz="7" w:space="0" w:color="000000"/>
            </w:tcBorders>
          </w:tcPr>
          <w:p w14:paraId="0C293C73" w14:textId="6C132465" w:rsidR="004833B2" w:rsidRDefault="004833B2" w:rsidP="004833B2">
            <w:pPr>
              <w:ind w:left="75"/>
              <w:rPr>
                <w:b/>
                <w:sz w:val="20"/>
                <w:szCs w:val="20"/>
              </w:rPr>
            </w:pPr>
            <w:r w:rsidDel="000B7ACA">
              <w:rPr>
                <w:b/>
                <w:sz w:val="20"/>
                <w:szCs w:val="20"/>
              </w:rPr>
              <w:t>MSC PI(s) Addressed by the Action</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A95F2A4" w14:textId="77777777" w:rsidR="009A17DA" w:rsidRPr="009A17DA" w:rsidRDefault="009A17DA" w:rsidP="009A17DA">
            <w:pPr>
              <w:ind w:left="140"/>
              <w:rPr>
                <w:sz w:val="20"/>
                <w:szCs w:val="20"/>
              </w:rPr>
            </w:pPr>
            <w:r w:rsidRPr="009A17DA">
              <w:rPr>
                <w:sz w:val="20"/>
                <w:szCs w:val="20"/>
              </w:rPr>
              <w:t>1.1.1 – Stock status</w:t>
            </w:r>
          </w:p>
          <w:p w14:paraId="203B731F" w14:textId="77777777" w:rsidR="004833B2" w:rsidRDefault="009A17DA" w:rsidP="009A17DA">
            <w:pPr>
              <w:ind w:left="140"/>
              <w:rPr>
                <w:sz w:val="20"/>
                <w:szCs w:val="20"/>
              </w:rPr>
            </w:pPr>
            <w:proofErr w:type="spellStart"/>
            <w:r w:rsidRPr="009A17DA">
              <w:rPr>
                <w:sz w:val="20"/>
                <w:szCs w:val="20"/>
              </w:rPr>
              <w:t>SIb</w:t>
            </w:r>
            <w:proofErr w:type="spellEnd"/>
            <w:r w:rsidRPr="009A17DA">
              <w:rPr>
                <w:sz w:val="20"/>
                <w:szCs w:val="20"/>
              </w:rPr>
              <w:t xml:space="preserve"> Stock status in relation to achievement of Maximum Sustainable Yield (MSY)</w:t>
            </w:r>
          </w:p>
          <w:p w14:paraId="10E2F30F" w14:textId="4E4C4A70" w:rsidR="009A17DA" w:rsidRPr="002E0D72" w:rsidRDefault="009A17DA" w:rsidP="009A17DA">
            <w:pPr>
              <w:ind w:left="140"/>
              <w:rPr>
                <w:sz w:val="20"/>
                <w:szCs w:val="20"/>
                <w:highlight w:val="yellow"/>
              </w:rPr>
            </w:pPr>
            <w:r w:rsidRPr="009A17DA">
              <w:rPr>
                <w:sz w:val="20"/>
                <w:szCs w:val="20"/>
              </w:rPr>
              <w:t>1.1.2 - Stock rebuilding</w:t>
            </w:r>
          </w:p>
        </w:tc>
      </w:tr>
    </w:tbl>
    <w:p w14:paraId="42841D65" w14:textId="76B59EBE" w:rsidR="00D94EED" w:rsidRDefault="00E508EC">
      <w:pPr>
        <w:rPr>
          <w:sz w:val="20"/>
          <w:szCs w:val="20"/>
        </w:rPr>
      </w:pPr>
      <w:r>
        <w:rPr>
          <w:sz w:val="20"/>
          <w:szCs w:val="20"/>
        </w:rPr>
        <w:t xml:space="preserve"> </w:t>
      </w:r>
    </w:p>
    <w:p w14:paraId="3097C8C0" w14:textId="77777777" w:rsidR="001D761D" w:rsidRDefault="001D761D">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D94EED" w14:paraId="3E72824E" w14:textId="77777777" w:rsidTr="0071273D">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6870D9" w14:textId="63B66894" w:rsidR="00D94EED" w:rsidRDefault="00E508EC" w:rsidP="00DB5FB6">
            <w:pPr>
              <w:rPr>
                <w:b/>
                <w:sz w:val="20"/>
                <w:szCs w:val="20"/>
              </w:rPr>
            </w:pPr>
            <w:r>
              <w:rPr>
                <w:b/>
                <w:sz w:val="20"/>
                <w:szCs w:val="20"/>
              </w:rPr>
              <w:t>Action</w:t>
            </w:r>
            <w:r w:rsidR="000779F6">
              <w:rPr>
                <w:b/>
                <w:sz w:val="20"/>
                <w:szCs w:val="20"/>
              </w:rPr>
              <w:t xml:space="preserve"> 1</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BE27C5" w14:textId="3B092ABC" w:rsidR="00D94EED" w:rsidRDefault="00E508EC" w:rsidP="00DB5FB6">
            <w:pPr>
              <w:rPr>
                <w:b/>
                <w:sz w:val="20"/>
                <w:szCs w:val="20"/>
              </w:rPr>
            </w:pPr>
            <w:r>
              <w:rPr>
                <w:b/>
                <w:sz w:val="20"/>
                <w:szCs w:val="20"/>
              </w:rPr>
              <w:t>Tasks</w:t>
            </w:r>
            <w:r w:rsidR="00A61589">
              <w:rPr>
                <w:b/>
                <w:sz w:val="20"/>
                <w:szCs w:val="20"/>
              </w:rPr>
              <w:t>/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08A2D5" w14:textId="77777777" w:rsidR="00D94EED" w:rsidRDefault="00E508EC" w:rsidP="00DB5FB6">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5B9F5E" w14:textId="77777777" w:rsidR="00D94EED" w:rsidRDefault="00E508EC" w:rsidP="00DB5FB6">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FDB8C2" w14:textId="77777777" w:rsidR="00D94EED" w:rsidRDefault="00E508EC" w:rsidP="00DB5FB6">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A5BB9F" w14:textId="218C67D3" w:rsidR="00D94EED" w:rsidRDefault="000B7ACA" w:rsidP="00DB5FB6">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1BB81A" w14:textId="77777777" w:rsidR="00D94EED" w:rsidRDefault="00E508EC" w:rsidP="00DB5FB6">
            <w:pPr>
              <w:rPr>
                <w:b/>
                <w:sz w:val="20"/>
                <w:szCs w:val="20"/>
              </w:rPr>
            </w:pPr>
            <w:r>
              <w:rPr>
                <w:b/>
                <w:sz w:val="20"/>
                <w:szCs w:val="20"/>
              </w:rPr>
              <w:t>Evidence of completion / results</w:t>
            </w:r>
          </w:p>
        </w:tc>
      </w:tr>
      <w:tr w:rsidR="00D94EED" w14:paraId="2D873571" w14:textId="77777777" w:rsidTr="0071273D">
        <w:trPr>
          <w:trHeight w:val="1340"/>
        </w:trPr>
        <w:tc>
          <w:tcPr>
            <w:tcW w:w="704" w:type="pct"/>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FDC167" w14:textId="48C09B63" w:rsidR="00D94EED" w:rsidRPr="002E0D72" w:rsidRDefault="00781B5A" w:rsidP="00DB5FB6">
            <w:pPr>
              <w:rPr>
                <w:sz w:val="20"/>
                <w:szCs w:val="20"/>
                <w:highlight w:val="yellow"/>
              </w:rPr>
            </w:pPr>
            <w:r w:rsidRPr="00781B5A">
              <w:rPr>
                <w:sz w:val="20"/>
                <w:szCs w:val="20"/>
              </w:rPr>
              <w:t>1.1.1/1.1.2 Stock rebuilding</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F524B1" w14:textId="25F63DE7" w:rsidR="00187603" w:rsidRPr="009A42EA" w:rsidRDefault="00187603" w:rsidP="0071273D">
            <w:pPr>
              <w:rPr>
                <w:sz w:val="20"/>
                <w:szCs w:val="20"/>
              </w:rPr>
            </w:pPr>
            <w:r w:rsidRPr="009A42EA">
              <w:rPr>
                <w:sz w:val="20"/>
                <w:szCs w:val="20"/>
              </w:rPr>
              <w:t xml:space="preserve">Advocating the IOTC members </w:t>
            </w:r>
            <w:r w:rsidR="009A42EA" w:rsidRPr="009A42EA">
              <w:rPr>
                <w:sz w:val="20"/>
                <w:szCs w:val="20"/>
              </w:rPr>
              <w:t xml:space="preserve">on the importance </w:t>
            </w:r>
            <w:r w:rsidRPr="009A42EA">
              <w:rPr>
                <w:sz w:val="20"/>
                <w:szCs w:val="20"/>
              </w:rPr>
              <w:t>rebuild the stock</w:t>
            </w:r>
            <w:r w:rsidR="009A42EA" w:rsidRPr="009A42EA">
              <w:rPr>
                <w:sz w:val="20"/>
                <w:szCs w:val="20"/>
              </w:rPr>
              <w:t xml:space="preserve"> at every opportunity </w:t>
            </w:r>
            <w:r w:rsidRPr="009A42EA">
              <w:rPr>
                <w:sz w:val="20"/>
                <w:szCs w:val="20"/>
              </w:rPr>
              <w:t xml:space="preserve">leading </w:t>
            </w:r>
            <w:r w:rsidR="00F67E15">
              <w:rPr>
                <w:sz w:val="20"/>
                <w:szCs w:val="20"/>
              </w:rPr>
              <w:t xml:space="preserve">the </w:t>
            </w:r>
            <w:r w:rsidRPr="009A42EA">
              <w:rPr>
                <w:sz w:val="20"/>
                <w:szCs w:val="20"/>
              </w:rPr>
              <w:t xml:space="preserve">Maldives </w:t>
            </w:r>
            <w:r w:rsidR="009A42EA" w:rsidRPr="009A42EA">
              <w:rPr>
                <w:sz w:val="20"/>
                <w:szCs w:val="20"/>
              </w:rPr>
              <w:t xml:space="preserve">by </w:t>
            </w:r>
            <w:r w:rsidRPr="009A42EA">
              <w:rPr>
                <w:sz w:val="20"/>
                <w:szCs w:val="20"/>
              </w:rPr>
              <w:t>example</w:t>
            </w:r>
            <w:r w:rsidR="009A42EA" w:rsidRPr="009A42EA">
              <w:rPr>
                <w:sz w:val="20"/>
                <w:szCs w:val="20"/>
              </w:rPr>
              <w:t>.</w:t>
            </w:r>
          </w:p>
          <w:p w14:paraId="45775474" w14:textId="0DEFBA4A" w:rsidR="00187603" w:rsidRPr="009A42EA" w:rsidRDefault="00187603" w:rsidP="0071273D">
            <w:pPr>
              <w:rPr>
                <w:sz w:val="20"/>
                <w:szCs w:val="20"/>
              </w:rPr>
            </w:pPr>
          </w:p>
          <w:p w14:paraId="26F168CE" w14:textId="1E2B2E8A" w:rsidR="00D94EED" w:rsidRPr="00781B5A" w:rsidRDefault="009A42EA" w:rsidP="0071273D">
            <w:pPr>
              <w:rPr>
                <w:sz w:val="20"/>
                <w:szCs w:val="20"/>
              </w:rPr>
            </w:pPr>
            <w:r w:rsidRPr="009A42EA">
              <w:rPr>
                <w:sz w:val="20"/>
                <w:szCs w:val="20"/>
              </w:rPr>
              <w:t xml:space="preserve">Pending outcome of </w:t>
            </w:r>
            <w:r w:rsidR="00CE666B">
              <w:rPr>
                <w:sz w:val="20"/>
                <w:szCs w:val="20"/>
              </w:rPr>
              <w:t xml:space="preserve">Meeting of the Commission and its Special Sessions that </w:t>
            </w:r>
            <w:r w:rsidRPr="009A42EA">
              <w:rPr>
                <w:sz w:val="20"/>
                <w:szCs w:val="20"/>
              </w:rPr>
              <w:t xml:space="preserve">aim to encourage </w:t>
            </w:r>
            <w:r>
              <w:rPr>
                <w:sz w:val="20"/>
                <w:szCs w:val="20"/>
              </w:rPr>
              <w:t xml:space="preserve">to endorse TCMP </w:t>
            </w:r>
            <w:r w:rsidR="00D95D25">
              <w:rPr>
                <w:sz w:val="20"/>
                <w:szCs w:val="20"/>
              </w:rPr>
              <w:t xml:space="preserve">development of </w:t>
            </w:r>
            <w:r>
              <w:rPr>
                <w:sz w:val="20"/>
                <w:szCs w:val="20"/>
              </w:rPr>
              <w:t xml:space="preserve">MPs </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4E7F41" w14:textId="1B775A9A" w:rsidR="00D94EED" w:rsidRPr="00781B5A" w:rsidRDefault="00824CF3" w:rsidP="00DB5FB6">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 xml:space="preserve"> </w:t>
            </w:r>
            <w:r w:rsidR="0071273D">
              <w:rPr>
                <w:sz w:val="20"/>
                <w:szCs w:val="20"/>
              </w:rPr>
              <w:t>and MMRI and with relevant with stakeholders</w:t>
            </w:r>
            <w:r>
              <w:rPr>
                <w:sz w:val="20"/>
                <w:szCs w:val="20"/>
              </w:rPr>
              <w:t xml:space="preserve"> </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74A0FA" w14:textId="6A85D13A" w:rsidR="00D94EED" w:rsidRPr="00781B5A" w:rsidRDefault="006A556C" w:rsidP="00DB5FB6">
            <w:pPr>
              <w:rPr>
                <w:sz w:val="20"/>
                <w:szCs w:val="20"/>
              </w:rPr>
            </w:pPr>
            <w:r>
              <w:rPr>
                <w:sz w:val="20"/>
                <w:szCs w:val="20"/>
              </w:rPr>
              <w:t>MSPEA - Secretariat</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5071CA" w14:textId="6E6DA046" w:rsidR="00D94EED" w:rsidRPr="00781B5A" w:rsidRDefault="003C782B" w:rsidP="00DB5FB6">
            <w:pPr>
              <w:rPr>
                <w:sz w:val="20"/>
                <w:szCs w:val="20"/>
              </w:rPr>
            </w:pPr>
            <w:r>
              <w:rPr>
                <w:sz w:val="20"/>
                <w:szCs w:val="20"/>
              </w:rPr>
              <w:t>May</w:t>
            </w:r>
            <w:r w:rsidR="00781B5A" w:rsidRPr="00781B5A">
              <w:rPr>
                <w:sz w:val="20"/>
                <w:szCs w:val="20"/>
              </w:rPr>
              <w:t xml:space="preserve"> 20</w:t>
            </w:r>
            <w:r w:rsidR="000779F6">
              <w:rPr>
                <w:sz w:val="20"/>
                <w:szCs w:val="20"/>
              </w:rPr>
              <w:t>2</w:t>
            </w:r>
            <w:r>
              <w:rPr>
                <w:sz w:val="20"/>
                <w:szCs w:val="20"/>
              </w:rPr>
              <w:t>2</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29F321" w14:textId="67BD735F" w:rsidR="00D94EED" w:rsidRPr="00781B5A" w:rsidRDefault="00347422" w:rsidP="00DB5FB6">
            <w:pPr>
              <w:rPr>
                <w:sz w:val="20"/>
                <w:szCs w:val="20"/>
              </w:rPr>
            </w:pPr>
            <w:r>
              <w:rPr>
                <w:sz w:val="20"/>
                <w:szCs w:val="20"/>
              </w:rPr>
              <w:t>May</w:t>
            </w:r>
            <w:r w:rsidR="000B7ACA" w:rsidRPr="00781B5A">
              <w:rPr>
                <w:sz w:val="20"/>
                <w:szCs w:val="20"/>
              </w:rPr>
              <w:t xml:space="preserve"> </w:t>
            </w:r>
            <w:r w:rsidR="00E827CE">
              <w:rPr>
                <w:sz w:val="20"/>
                <w:szCs w:val="20"/>
              </w:rPr>
              <w:t>202</w:t>
            </w:r>
            <w:r>
              <w:rPr>
                <w:sz w:val="20"/>
                <w:szCs w:val="20"/>
              </w:rPr>
              <w:t>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60FAEE" w14:textId="51F0BF4D" w:rsidR="00D94EED" w:rsidRPr="00781B5A" w:rsidRDefault="0071273D" w:rsidP="00DB5FB6">
            <w:pPr>
              <w:rPr>
                <w:sz w:val="20"/>
                <w:szCs w:val="20"/>
              </w:rPr>
            </w:pPr>
            <w:r>
              <w:rPr>
                <w:sz w:val="20"/>
                <w:szCs w:val="20"/>
              </w:rPr>
              <w:t>Evidence by revised and adopted proposal, and by various communication</w:t>
            </w:r>
            <w:r w:rsidR="009A42EA">
              <w:rPr>
                <w:sz w:val="20"/>
                <w:szCs w:val="20"/>
              </w:rPr>
              <w:t xml:space="preserve"> </w:t>
            </w:r>
            <w:r w:rsidR="002D5841">
              <w:rPr>
                <w:sz w:val="20"/>
                <w:szCs w:val="20"/>
              </w:rPr>
              <w:t>and meeting</w:t>
            </w:r>
            <w:r>
              <w:rPr>
                <w:sz w:val="20"/>
                <w:szCs w:val="20"/>
              </w:rPr>
              <w:t xml:space="preserve"> logs</w:t>
            </w:r>
          </w:p>
        </w:tc>
      </w:tr>
      <w:tr w:rsidR="0071273D" w14:paraId="3F805A29" w14:textId="77777777" w:rsidTr="0071273D">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7AE0F6" w14:textId="77777777" w:rsidR="0071273D" w:rsidRPr="00781B5A" w:rsidRDefault="0071273D" w:rsidP="0071273D">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91604E" w14:textId="439268DB" w:rsidR="009A42EA" w:rsidRDefault="009A42EA" w:rsidP="0071273D">
            <w:pPr>
              <w:rPr>
                <w:sz w:val="20"/>
                <w:szCs w:val="20"/>
              </w:rPr>
            </w:pPr>
            <w:r>
              <w:rPr>
                <w:sz w:val="20"/>
                <w:szCs w:val="20"/>
              </w:rPr>
              <w:t>Encourage transitioning from the ad-hoc rebuilding plan to a fully specified management procedure</w:t>
            </w:r>
            <w:r w:rsidR="002D5841">
              <w:rPr>
                <w:sz w:val="20"/>
                <w:szCs w:val="20"/>
              </w:rPr>
              <w:t xml:space="preserve"> for YFT.</w:t>
            </w:r>
          </w:p>
          <w:p w14:paraId="612BE657" w14:textId="77777777" w:rsidR="009A42EA" w:rsidRDefault="009A42EA" w:rsidP="0071273D">
            <w:pPr>
              <w:rPr>
                <w:sz w:val="20"/>
                <w:szCs w:val="20"/>
              </w:rPr>
            </w:pPr>
          </w:p>
          <w:p w14:paraId="5614F710" w14:textId="156E371D" w:rsidR="0071273D" w:rsidRPr="00781B5A" w:rsidRDefault="009A42EA" w:rsidP="0071273D">
            <w:pPr>
              <w:rPr>
                <w:sz w:val="20"/>
                <w:szCs w:val="20"/>
              </w:rPr>
            </w:pPr>
            <w:r>
              <w:rPr>
                <w:sz w:val="20"/>
                <w:szCs w:val="20"/>
              </w:rPr>
              <w:lastRenderedPageBreak/>
              <w:t xml:space="preserve">Encourage to adopt </w:t>
            </w:r>
            <w:r w:rsidRPr="009A42EA">
              <w:rPr>
                <w:sz w:val="20"/>
                <w:szCs w:val="20"/>
              </w:rPr>
              <w:t xml:space="preserve">proposal </w:t>
            </w:r>
            <w:r>
              <w:rPr>
                <w:sz w:val="20"/>
                <w:szCs w:val="20"/>
              </w:rPr>
              <w:t xml:space="preserve">for </w:t>
            </w:r>
            <w:r w:rsidRPr="009A42EA">
              <w:rPr>
                <w:sz w:val="20"/>
                <w:szCs w:val="20"/>
              </w:rPr>
              <w:t>YFT Management Procedur</w:t>
            </w:r>
            <w:r>
              <w:rPr>
                <w:sz w:val="20"/>
                <w:szCs w:val="20"/>
              </w:rPr>
              <w:t xml:space="preserve">e </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56F567" w14:textId="19EDBFFF" w:rsidR="0071273D" w:rsidRPr="00781B5A" w:rsidRDefault="0071273D" w:rsidP="0071273D">
            <w:pPr>
              <w:rPr>
                <w:sz w:val="20"/>
                <w:szCs w:val="20"/>
              </w:rPr>
            </w:pPr>
            <w:r>
              <w:rPr>
                <w:sz w:val="20"/>
                <w:szCs w:val="20"/>
              </w:rPr>
              <w:lastRenderedPageBreak/>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117365" w14:textId="346A048E" w:rsidR="0071273D" w:rsidRPr="00781B5A" w:rsidRDefault="006A556C" w:rsidP="0071273D">
            <w:pPr>
              <w:rPr>
                <w:sz w:val="20"/>
                <w:szCs w:val="20"/>
              </w:rPr>
            </w:pPr>
            <w:r>
              <w:rPr>
                <w:sz w:val="20"/>
                <w:szCs w:val="20"/>
              </w:rPr>
              <w:t>MSPEA - Secretariat</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84B0A7" w14:textId="381CD06B" w:rsidR="0071273D" w:rsidRPr="00781B5A" w:rsidRDefault="006A556C" w:rsidP="0071273D">
            <w:pPr>
              <w:rPr>
                <w:sz w:val="20"/>
                <w:szCs w:val="20"/>
              </w:rPr>
            </w:pPr>
            <w:r>
              <w:rPr>
                <w:sz w:val="20"/>
                <w:szCs w:val="20"/>
              </w:rPr>
              <w:t>May</w:t>
            </w:r>
            <w:r w:rsidR="0071273D">
              <w:rPr>
                <w:sz w:val="20"/>
                <w:szCs w:val="20"/>
              </w:rPr>
              <w:t xml:space="preserve"> 2022</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79AAAB" w14:textId="660C35FC" w:rsidR="0071273D" w:rsidRPr="00781B5A" w:rsidRDefault="006A556C" w:rsidP="0071273D">
            <w:pPr>
              <w:rPr>
                <w:sz w:val="20"/>
                <w:szCs w:val="20"/>
              </w:rPr>
            </w:pPr>
            <w:r>
              <w:rPr>
                <w:sz w:val="20"/>
                <w:szCs w:val="20"/>
              </w:rPr>
              <w:t>May</w:t>
            </w:r>
            <w:r w:rsidR="0071273D">
              <w:rPr>
                <w:sz w:val="20"/>
                <w:szCs w:val="20"/>
              </w:rPr>
              <w:t xml:space="preserve"> </w:t>
            </w:r>
            <w:r>
              <w:rPr>
                <w:sz w:val="20"/>
                <w:szCs w:val="20"/>
              </w:rPr>
              <w:t>2026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953E35" w14:textId="799C6FAA" w:rsidR="0071273D" w:rsidRPr="00781B5A" w:rsidRDefault="0071273D" w:rsidP="0071273D">
            <w:pPr>
              <w:rPr>
                <w:sz w:val="20"/>
                <w:szCs w:val="20"/>
              </w:rPr>
            </w:pPr>
            <w:r>
              <w:rPr>
                <w:sz w:val="20"/>
                <w:szCs w:val="20"/>
              </w:rPr>
              <w:t xml:space="preserve">Revision to existing rebuilding plan with simulation tested rebuilding plan adopted </w:t>
            </w:r>
          </w:p>
        </w:tc>
      </w:tr>
      <w:tr w:rsidR="0071273D" w14:paraId="2645567D" w14:textId="77777777" w:rsidTr="0071273D">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6AA20E" w14:textId="77777777" w:rsidR="0071273D" w:rsidRPr="00781B5A" w:rsidRDefault="0071273D" w:rsidP="0071273D">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D7D2EB" w14:textId="7E29E9BE" w:rsidR="0071273D" w:rsidRPr="00781B5A" w:rsidRDefault="0071273D" w:rsidP="0071273D">
            <w:pPr>
              <w:rPr>
                <w:sz w:val="20"/>
                <w:szCs w:val="20"/>
              </w:rPr>
            </w:pPr>
            <w:r w:rsidRPr="0071273D">
              <w:rPr>
                <w:sz w:val="20"/>
                <w:szCs w:val="20"/>
              </w:rPr>
              <w:t xml:space="preserve">Work </w:t>
            </w:r>
            <w:r w:rsidR="009F1D2A" w:rsidRPr="0071273D">
              <w:rPr>
                <w:sz w:val="20"/>
                <w:szCs w:val="20"/>
              </w:rPr>
              <w:t xml:space="preserve">with </w:t>
            </w:r>
            <w:r w:rsidR="009F1D2A">
              <w:rPr>
                <w:sz w:val="20"/>
                <w:szCs w:val="20"/>
              </w:rPr>
              <w:t>IOTC</w:t>
            </w:r>
            <w:r w:rsidR="00C663F9">
              <w:rPr>
                <w:sz w:val="20"/>
                <w:szCs w:val="20"/>
              </w:rPr>
              <w:t xml:space="preserve"> </w:t>
            </w:r>
            <w:r w:rsidR="009F1D2A">
              <w:rPr>
                <w:sz w:val="20"/>
                <w:szCs w:val="20"/>
              </w:rPr>
              <w:t>and relevant s</w:t>
            </w:r>
            <w:r w:rsidRPr="0071273D">
              <w:rPr>
                <w:sz w:val="20"/>
                <w:szCs w:val="20"/>
              </w:rPr>
              <w:t xml:space="preserve">takeholders to encourage </w:t>
            </w:r>
            <w:r w:rsidR="009A42EA">
              <w:rPr>
                <w:sz w:val="20"/>
                <w:szCs w:val="20"/>
              </w:rPr>
              <w:t>expediting the adoption of the fully specified YFT Management Procedures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C3676D" w14:textId="70168AE4" w:rsidR="0071273D" w:rsidRPr="00781B5A" w:rsidRDefault="0071273D" w:rsidP="0071273D">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63835D" w14:textId="7253C484" w:rsidR="0071273D" w:rsidRPr="00781B5A" w:rsidRDefault="00AC46F8" w:rsidP="0071273D">
            <w:pPr>
              <w:rPr>
                <w:sz w:val="20"/>
                <w:szCs w:val="20"/>
              </w:rPr>
            </w:pPr>
            <w:r>
              <w:rPr>
                <w:sz w:val="20"/>
                <w:szCs w:val="20"/>
              </w:rPr>
              <w:t>MSPEA - Secretariat</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B33431" w14:textId="1B59C1EA" w:rsidR="0071273D" w:rsidRPr="00781B5A" w:rsidRDefault="000A3933" w:rsidP="0071273D">
            <w:pPr>
              <w:rPr>
                <w:sz w:val="20"/>
                <w:szCs w:val="20"/>
              </w:rPr>
            </w:pPr>
            <w:r>
              <w:rPr>
                <w:sz w:val="20"/>
                <w:szCs w:val="20"/>
              </w:rPr>
              <w:t xml:space="preserve">May </w:t>
            </w:r>
            <w:r w:rsidR="0071273D">
              <w:rPr>
                <w:sz w:val="20"/>
                <w:szCs w:val="20"/>
              </w:rPr>
              <w:t>2023</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E6187C" w14:textId="5787CE89" w:rsidR="0071273D" w:rsidRPr="00781B5A" w:rsidRDefault="00053CB7" w:rsidP="0071273D">
            <w:pPr>
              <w:rPr>
                <w:sz w:val="20"/>
                <w:szCs w:val="20"/>
              </w:rPr>
            </w:pPr>
            <w:r>
              <w:rPr>
                <w:sz w:val="20"/>
                <w:szCs w:val="20"/>
              </w:rPr>
              <w:t xml:space="preserve">Dec </w:t>
            </w:r>
            <w:r w:rsidR="000A3933">
              <w:rPr>
                <w:sz w:val="20"/>
                <w:szCs w:val="20"/>
              </w:rPr>
              <w:t xml:space="preserve"> </w:t>
            </w:r>
            <w:r>
              <w:rPr>
                <w:sz w:val="20"/>
                <w:szCs w:val="20"/>
              </w:rPr>
              <w:t>2025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464156" w14:textId="15B5F7E2" w:rsidR="0071273D" w:rsidRPr="00781B5A" w:rsidRDefault="0071273D" w:rsidP="0071273D">
            <w:pPr>
              <w:rPr>
                <w:sz w:val="20"/>
                <w:szCs w:val="20"/>
              </w:rPr>
            </w:pPr>
            <w:r>
              <w:rPr>
                <w:sz w:val="20"/>
                <w:szCs w:val="20"/>
              </w:rPr>
              <w:t xml:space="preserve">Reduce catch levels and improved stock assessment results </w:t>
            </w:r>
          </w:p>
        </w:tc>
      </w:tr>
      <w:tr w:rsidR="0071273D" w14:paraId="67B5AF7A" w14:textId="77777777" w:rsidTr="0071273D">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8C0D56" w14:textId="77777777" w:rsidR="0071273D" w:rsidRPr="00781B5A" w:rsidRDefault="0071273D" w:rsidP="0071273D">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E8721C" w14:textId="09DD881F" w:rsidR="0071273D" w:rsidRPr="00781B5A" w:rsidRDefault="009A42EA" w:rsidP="0071273D">
            <w:pPr>
              <w:rPr>
                <w:sz w:val="20"/>
                <w:szCs w:val="20"/>
              </w:rPr>
            </w:pPr>
            <w:r w:rsidRPr="0071273D">
              <w:rPr>
                <w:sz w:val="20"/>
                <w:szCs w:val="20"/>
              </w:rPr>
              <w:t xml:space="preserve">Work with </w:t>
            </w:r>
            <w:r>
              <w:rPr>
                <w:sz w:val="20"/>
                <w:szCs w:val="20"/>
              </w:rPr>
              <w:t>IOTC and relevant s</w:t>
            </w:r>
            <w:r w:rsidRPr="0071273D">
              <w:rPr>
                <w:sz w:val="20"/>
                <w:szCs w:val="20"/>
              </w:rPr>
              <w:t xml:space="preserve">takeholders to encourage </w:t>
            </w:r>
            <w:r>
              <w:rPr>
                <w:sz w:val="20"/>
                <w:szCs w:val="20"/>
              </w:rPr>
              <w:t>expediting the adoption of the fully specified YFT Management Procedures</w:t>
            </w:r>
            <w:r w:rsidR="002D5841">
              <w:rPr>
                <w:sz w:val="20"/>
                <w:szCs w:val="20"/>
              </w:rPr>
              <w:t xml:space="preserve"> with explicit reference rebuilding time frame.</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6E7C29" w14:textId="036F5A97" w:rsidR="0071273D" w:rsidRPr="00781B5A" w:rsidRDefault="0071273D" w:rsidP="0071273D">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E9DD83B" w14:textId="2AF93E25" w:rsidR="0071273D" w:rsidRPr="00781B5A" w:rsidRDefault="00AC46F8" w:rsidP="0071273D">
            <w:pPr>
              <w:rPr>
                <w:sz w:val="20"/>
                <w:szCs w:val="20"/>
              </w:rPr>
            </w:pPr>
            <w:r>
              <w:rPr>
                <w:sz w:val="20"/>
                <w:szCs w:val="20"/>
              </w:rPr>
              <w:t>MSPEA - Secretariat</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7D3723" w14:textId="4824CD0A" w:rsidR="0071273D" w:rsidRPr="00781B5A" w:rsidRDefault="000A3933" w:rsidP="0071273D">
            <w:pPr>
              <w:rPr>
                <w:sz w:val="20"/>
                <w:szCs w:val="20"/>
              </w:rPr>
            </w:pPr>
            <w:r>
              <w:rPr>
                <w:sz w:val="20"/>
                <w:szCs w:val="20"/>
              </w:rPr>
              <w:t>May</w:t>
            </w:r>
            <w:r w:rsidR="0071273D">
              <w:rPr>
                <w:sz w:val="20"/>
                <w:szCs w:val="20"/>
              </w:rPr>
              <w:t xml:space="preserve"> 2024</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B8FC2D" w14:textId="3427A320" w:rsidR="0071273D" w:rsidRPr="00781B5A" w:rsidRDefault="00053CB7" w:rsidP="0071273D">
            <w:pPr>
              <w:rPr>
                <w:sz w:val="20"/>
                <w:szCs w:val="20"/>
              </w:rPr>
            </w:pPr>
            <w:r>
              <w:rPr>
                <w:sz w:val="20"/>
                <w:szCs w:val="20"/>
              </w:rPr>
              <w:t>Dec  2025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AF289B" w14:textId="19066EB6" w:rsidR="0071273D" w:rsidRPr="00781B5A" w:rsidRDefault="0071273D" w:rsidP="0071273D">
            <w:pPr>
              <w:rPr>
                <w:sz w:val="20"/>
                <w:szCs w:val="20"/>
              </w:rPr>
            </w:pPr>
            <w:r>
              <w:rPr>
                <w:sz w:val="20"/>
                <w:szCs w:val="20"/>
              </w:rPr>
              <w:t>Reduce catch levels and improved stock assessment results</w:t>
            </w:r>
          </w:p>
        </w:tc>
      </w:tr>
      <w:tr w:rsidR="0071273D" w14:paraId="6D7BE88E" w14:textId="77777777" w:rsidTr="0071273D">
        <w:trPr>
          <w:trHeight w:val="1340"/>
        </w:trPr>
        <w:tc>
          <w:tcPr>
            <w:tcW w:w="704" w:type="pct"/>
            <w:vMerge/>
            <w:tcBorders>
              <w:bottom w:val="single" w:sz="8" w:space="0" w:color="000000"/>
              <w:right w:val="single" w:sz="8" w:space="0" w:color="000000"/>
            </w:tcBorders>
            <w:shd w:val="clear" w:color="auto" w:fill="auto"/>
            <w:tcMar>
              <w:top w:w="100" w:type="dxa"/>
              <w:left w:w="100" w:type="dxa"/>
              <w:bottom w:w="100" w:type="dxa"/>
              <w:right w:w="100" w:type="dxa"/>
            </w:tcMar>
          </w:tcPr>
          <w:p w14:paraId="3719F45E" w14:textId="77777777" w:rsidR="0071273D" w:rsidRPr="002E0D72" w:rsidRDefault="0071273D" w:rsidP="0071273D">
            <w:pPr>
              <w:rPr>
                <w:highlight w:val="yellow"/>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C08EAA" w14:textId="75703577" w:rsidR="0071273D" w:rsidRPr="00781B5A" w:rsidRDefault="009A42EA" w:rsidP="0071273D">
            <w:pPr>
              <w:rPr>
                <w:sz w:val="20"/>
                <w:szCs w:val="20"/>
              </w:rPr>
            </w:pPr>
            <w:r w:rsidRPr="0071273D">
              <w:rPr>
                <w:sz w:val="20"/>
                <w:szCs w:val="20"/>
              </w:rPr>
              <w:t xml:space="preserve">Work with </w:t>
            </w:r>
            <w:r>
              <w:rPr>
                <w:sz w:val="20"/>
                <w:szCs w:val="20"/>
              </w:rPr>
              <w:t>IOTC and relevant s</w:t>
            </w:r>
            <w:r w:rsidRPr="0071273D">
              <w:rPr>
                <w:sz w:val="20"/>
                <w:szCs w:val="20"/>
              </w:rPr>
              <w:t xml:space="preserve">takeholders to encourage </w:t>
            </w:r>
            <w:r>
              <w:rPr>
                <w:sz w:val="20"/>
                <w:szCs w:val="20"/>
              </w:rPr>
              <w:t>expediting the adoption of the fully specified YFT Management Procedures</w:t>
            </w:r>
            <w:r w:rsidR="002D5841">
              <w:rPr>
                <w:sz w:val="20"/>
                <w:szCs w:val="20"/>
              </w:rPr>
              <w:t xml:space="preserve"> with explicit rebuilding time frame.</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2E0BC3" w14:textId="427D859B" w:rsidR="0071273D" w:rsidRPr="00781B5A" w:rsidRDefault="0071273D" w:rsidP="0071273D">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86295B" w14:textId="20B32BDA" w:rsidR="0071273D" w:rsidRPr="00781B5A" w:rsidRDefault="00F46DCA" w:rsidP="0071273D">
            <w:pPr>
              <w:rPr>
                <w:sz w:val="20"/>
                <w:szCs w:val="20"/>
              </w:rPr>
            </w:pPr>
            <w:r>
              <w:rPr>
                <w:sz w:val="20"/>
                <w:szCs w:val="20"/>
              </w:rPr>
              <w:t>MSPEA - Secretariat</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ED6918" w14:textId="7E765CD2" w:rsidR="0071273D" w:rsidRPr="00781B5A" w:rsidRDefault="0071273D" w:rsidP="0071273D">
            <w:pPr>
              <w:rPr>
                <w:sz w:val="20"/>
                <w:szCs w:val="20"/>
              </w:rPr>
            </w:pPr>
            <w:r>
              <w:rPr>
                <w:sz w:val="20"/>
                <w:szCs w:val="20"/>
              </w:rPr>
              <w:t>March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E579D0" w14:textId="6179399D" w:rsidR="0071273D" w:rsidRPr="00781B5A" w:rsidRDefault="0071273D" w:rsidP="0071273D">
            <w:pPr>
              <w:rPr>
                <w:sz w:val="20"/>
                <w:szCs w:val="20"/>
              </w:rPr>
            </w:pPr>
            <w:r>
              <w:rPr>
                <w:sz w:val="20"/>
                <w:szCs w:val="20"/>
              </w:rPr>
              <w:t>March 2026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7EEDF7" w14:textId="2ECFFFED" w:rsidR="0071273D" w:rsidRPr="00781B5A" w:rsidRDefault="0071273D" w:rsidP="0071273D">
            <w:pPr>
              <w:rPr>
                <w:sz w:val="20"/>
                <w:szCs w:val="20"/>
              </w:rPr>
            </w:pPr>
            <w:r>
              <w:rPr>
                <w:sz w:val="20"/>
                <w:szCs w:val="20"/>
              </w:rPr>
              <w:t>Reduce catch levels and improved stock assessment results</w:t>
            </w:r>
          </w:p>
        </w:tc>
      </w:tr>
    </w:tbl>
    <w:p w14:paraId="35BA7AF6" w14:textId="2737DB1D" w:rsidR="00D94EED" w:rsidRDefault="00E508EC">
      <w:r>
        <w:t xml:space="preserve"> </w:t>
      </w:r>
    </w:p>
    <w:p w14:paraId="160BEB11" w14:textId="77777777" w:rsidR="000779F6" w:rsidRDefault="000779F6" w:rsidP="000779F6"/>
    <w:p w14:paraId="6245B32E" w14:textId="184F8368" w:rsidR="000779F6" w:rsidRPr="002E0D72" w:rsidRDefault="000779F6" w:rsidP="000779F6">
      <w:pPr>
        <w:pStyle w:val="Caption"/>
        <w:rPr>
          <w:bCs/>
          <w:sz w:val="20"/>
          <w:szCs w:val="20"/>
          <w:lang w:val="en-GB"/>
        </w:rPr>
      </w:pPr>
      <w:r>
        <w:t xml:space="preserve">Table </w:t>
      </w:r>
      <w:r>
        <w:fldChar w:fldCharType="begin"/>
      </w:r>
      <w:r>
        <w:instrText xml:space="preserve"> SEQ Table \* ARABIC </w:instrText>
      </w:r>
      <w:r>
        <w:fldChar w:fldCharType="separate"/>
      </w:r>
      <w:r>
        <w:rPr>
          <w:noProof/>
        </w:rPr>
        <w:t>4</w:t>
      </w:r>
      <w:r>
        <w:fldChar w:fldCharType="end"/>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able for Action</w:t>
      </w:r>
      <w:r>
        <w:rPr>
          <w:b/>
          <w:sz w:val="20"/>
          <w:szCs w:val="20"/>
          <w:lang w:val="en-GB"/>
        </w:rPr>
        <w:t xml:space="preserve"> 2 [PIs 1.2.1/1.2.2</w:t>
      </w:r>
      <w:r w:rsidR="00DB1DFE">
        <w:rPr>
          <w:b/>
          <w:sz w:val="20"/>
          <w:szCs w:val="20"/>
          <w:lang w:val="en-GB"/>
        </w:rPr>
        <w:t>]</w:t>
      </w:r>
    </w:p>
    <w:tbl>
      <w:tblPr>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0779F6" w14:paraId="46868924" w14:textId="77777777" w:rsidTr="000779F6">
        <w:trPr>
          <w:trHeight w:val="20"/>
        </w:trPr>
        <w:tc>
          <w:tcPr>
            <w:tcW w:w="1735" w:type="pct"/>
            <w:tcBorders>
              <w:top w:val="single" w:sz="7" w:space="0" w:color="000000"/>
              <w:left w:val="single" w:sz="7" w:space="0" w:color="000000"/>
              <w:bottom w:val="single" w:sz="7" w:space="0" w:color="000000"/>
              <w:right w:val="single" w:sz="7" w:space="0" w:color="000000"/>
            </w:tcBorders>
          </w:tcPr>
          <w:p w14:paraId="26F7DAE8" w14:textId="77777777" w:rsidR="000779F6" w:rsidDel="000B7ACA" w:rsidRDefault="000779F6" w:rsidP="000779F6">
            <w:pPr>
              <w:ind w:left="40"/>
              <w:rPr>
                <w:b/>
                <w:sz w:val="20"/>
                <w:szCs w:val="20"/>
              </w:rPr>
            </w:pPr>
            <w:r w:rsidDel="000B7ACA">
              <w:rPr>
                <w:b/>
                <w:sz w:val="20"/>
                <w:szCs w:val="20"/>
              </w:rPr>
              <w:lastRenderedPageBreak/>
              <w:t xml:space="preserve">Action Number and Name </w:t>
            </w:r>
          </w:p>
          <w:p w14:paraId="0D95BF0A" w14:textId="77777777" w:rsidR="000779F6" w:rsidRDefault="000779F6" w:rsidP="000779F6">
            <w:pPr>
              <w:ind w:left="140"/>
              <w:jc w:val="both"/>
              <w:rPr>
                <w:b/>
                <w:sz w:val="20"/>
                <w:szCs w:val="20"/>
              </w:rPr>
            </w:pPr>
            <w:r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44CEA46B" w14:textId="0E3771B1" w:rsidR="000779F6" w:rsidRDefault="000779F6" w:rsidP="000779F6">
            <w:pPr>
              <w:ind w:left="140"/>
              <w:rPr>
                <w:sz w:val="20"/>
                <w:szCs w:val="20"/>
              </w:rPr>
            </w:pPr>
            <w:r>
              <w:rPr>
                <w:sz w:val="20"/>
                <w:szCs w:val="20"/>
              </w:rPr>
              <w:t>Action 2: PIs 1.2.1/1.2.2 Harvest Strategy and Harvest Control Rules and Tools</w:t>
            </w:r>
          </w:p>
        </w:tc>
      </w:tr>
      <w:tr w:rsidR="000779F6" w14:paraId="6E2D680E" w14:textId="77777777" w:rsidTr="000779F6">
        <w:trPr>
          <w:trHeight w:val="580"/>
        </w:trPr>
        <w:tc>
          <w:tcPr>
            <w:tcW w:w="1735" w:type="pct"/>
            <w:tcBorders>
              <w:top w:val="nil"/>
              <w:left w:val="single" w:sz="7" w:space="0" w:color="000000"/>
              <w:bottom w:val="single" w:sz="4" w:space="0" w:color="auto"/>
              <w:right w:val="single" w:sz="7" w:space="0" w:color="000000"/>
            </w:tcBorders>
          </w:tcPr>
          <w:p w14:paraId="324815FA" w14:textId="77777777" w:rsidR="000779F6" w:rsidRDefault="000779F6" w:rsidP="000779F6">
            <w:pPr>
              <w:ind w:left="75"/>
              <w:jc w:val="both"/>
              <w:rPr>
                <w:b/>
                <w:sz w:val="20"/>
                <w:szCs w:val="20"/>
              </w:rPr>
            </w:pPr>
            <w:r w:rsidDel="000B7ACA">
              <w:rPr>
                <w:b/>
                <w:sz w:val="20"/>
                <w:szCs w:val="20"/>
              </w:rPr>
              <w:t xml:space="preserve">Action Goal </w:t>
            </w:r>
          </w:p>
          <w:p w14:paraId="127FE0E1" w14:textId="77777777" w:rsidR="000779F6" w:rsidRDefault="000779F6" w:rsidP="000779F6">
            <w:pPr>
              <w:ind w:left="165"/>
              <w:jc w:val="both"/>
              <w:rPr>
                <w:b/>
                <w:sz w:val="20"/>
                <w:szCs w:val="20"/>
              </w:rPr>
            </w:pPr>
            <w:r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4EE2CF09" w14:textId="036D1963" w:rsidR="000779F6" w:rsidRPr="00781B5A" w:rsidRDefault="000779F6" w:rsidP="000779F6">
            <w:pPr>
              <w:ind w:left="140"/>
              <w:rPr>
                <w:sz w:val="20"/>
                <w:szCs w:val="20"/>
              </w:rPr>
            </w:pPr>
            <w:r>
              <w:rPr>
                <w:sz w:val="20"/>
                <w:szCs w:val="20"/>
              </w:rPr>
              <w:t>Promote actions to implement an effective Harvest Strategy, supported by appropriate and effective Harvest Control Rules and Tools</w:t>
            </w:r>
          </w:p>
        </w:tc>
      </w:tr>
      <w:tr w:rsidR="000779F6" w14:paraId="2DE044FF" w14:textId="77777777" w:rsidTr="0066021F">
        <w:trPr>
          <w:trHeight w:val="1510"/>
        </w:trPr>
        <w:tc>
          <w:tcPr>
            <w:tcW w:w="1735" w:type="pct"/>
            <w:tcBorders>
              <w:top w:val="single" w:sz="4" w:space="0" w:color="auto"/>
              <w:left w:val="single" w:sz="8" w:space="0" w:color="000000"/>
              <w:bottom w:val="single" w:sz="8" w:space="0" w:color="000000"/>
              <w:right w:val="single" w:sz="8" w:space="0" w:color="000000"/>
            </w:tcBorders>
          </w:tcPr>
          <w:p w14:paraId="5EFDCE7B" w14:textId="77777777" w:rsidR="000779F6" w:rsidDel="000B7ACA" w:rsidRDefault="000779F6" w:rsidP="000779F6">
            <w:pPr>
              <w:ind w:left="40"/>
              <w:rPr>
                <w:b/>
                <w:sz w:val="20"/>
                <w:szCs w:val="20"/>
              </w:rPr>
            </w:pPr>
            <w:r w:rsidDel="000B7ACA">
              <w:rPr>
                <w:b/>
                <w:sz w:val="20"/>
                <w:szCs w:val="20"/>
              </w:rPr>
              <w:t xml:space="preserve">Action Description </w:t>
            </w:r>
          </w:p>
          <w:p w14:paraId="49E72604" w14:textId="77777777" w:rsidR="000779F6" w:rsidRDefault="000779F6" w:rsidP="000779F6">
            <w:pPr>
              <w:ind w:left="140"/>
              <w:rPr>
                <w:b/>
                <w:sz w:val="20"/>
                <w:szCs w:val="20"/>
              </w:rPr>
            </w:pPr>
            <w:r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6DBF44" w14:textId="7D42A6A0" w:rsidR="000779F6" w:rsidRDefault="000779F6" w:rsidP="000779F6">
            <w:pPr>
              <w:ind w:left="140"/>
              <w:rPr>
                <w:sz w:val="20"/>
                <w:szCs w:val="20"/>
              </w:rPr>
            </w:pPr>
            <w:r w:rsidRPr="000779F6">
              <w:rPr>
                <w:sz w:val="20"/>
                <w:szCs w:val="20"/>
              </w:rPr>
              <w:t>The harvest strategy does not appear suitably responsive to changes in stock status (in terms of reacting to monitoring and assessment information via changes in exploitation), nor does the strategy appear to be successful in maintaining the stock within target levels.</w:t>
            </w:r>
            <w:r>
              <w:rPr>
                <w:sz w:val="20"/>
                <w:szCs w:val="20"/>
              </w:rPr>
              <w:t xml:space="preserve"> Central to this is the lack of h</w:t>
            </w:r>
            <w:r w:rsidRPr="000779F6">
              <w:rPr>
                <w:sz w:val="20"/>
                <w:szCs w:val="20"/>
              </w:rPr>
              <w:t xml:space="preserve">arvest control rules and tools </w:t>
            </w:r>
            <w:r>
              <w:rPr>
                <w:sz w:val="20"/>
                <w:szCs w:val="20"/>
              </w:rPr>
              <w:t xml:space="preserve">which are able to </w:t>
            </w:r>
            <w:r w:rsidRPr="000779F6">
              <w:rPr>
                <w:sz w:val="20"/>
                <w:szCs w:val="20"/>
              </w:rPr>
              <w:t>effectively reduce the exploitation rate as required.</w:t>
            </w:r>
          </w:p>
          <w:p w14:paraId="6AE8E55F" w14:textId="77777777" w:rsidR="000779F6" w:rsidRPr="000779F6" w:rsidRDefault="000779F6" w:rsidP="000779F6">
            <w:pPr>
              <w:ind w:left="140"/>
              <w:rPr>
                <w:sz w:val="20"/>
                <w:szCs w:val="20"/>
              </w:rPr>
            </w:pPr>
          </w:p>
          <w:p w14:paraId="5D4CE743" w14:textId="1C8B93A4" w:rsidR="00DB1DFE" w:rsidRDefault="000779F6" w:rsidP="000779F6">
            <w:pPr>
              <w:ind w:left="140"/>
              <w:rPr>
                <w:sz w:val="20"/>
                <w:szCs w:val="20"/>
              </w:rPr>
            </w:pPr>
            <w:r w:rsidRPr="000779F6">
              <w:rPr>
                <w:sz w:val="20"/>
                <w:szCs w:val="20"/>
              </w:rPr>
              <w:t xml:space="preserve">MSPEA should advocate within Maldives and via the Maldivian delegation to IOTC to ensure the harvest strategy is suitably responsive to changes in stock status. </w:t>
            </w:r>
            <w:r w:rsidR="00DB1DFE" w:rsidRPr="00DB1DFE">
              <w:rPr>
                <w:sz w:val="20"/>
                <w:szCs w:val="20"/>
              </w:rPr>
              <w:t xml:space="preserve">MSPEA should </w:t>
            </w:r>
            <w:r w:rsidR="00DB1DFE">
              <w:rPr>
                <w:sz w:val="20"/>
                <w:szCs w:val="20"/>
              </w:rPr>
              <w:t xml:space="preserve">also </w:t>
            </w:r>
            <w:r w:rsidR="00DB1DFE" w:rsidRPr="00DB1DFE">
              <w:rPr>
                <w:sz w:val="20"/>
                <w:szCs w:val="20"/>
              </w:rPr>
              <w:t>advocate within Maldives and via the Maldivian delegation to IOTC to ensure that the harvest strategy includes appropriate harvest control rules and tools to constrain harvest.</w:t>
            </w:r>
          </w:p>
          <w:p w14:paraId="31ABAC2F" w14:textId="21F943FE" w:rsidR="0066021F" w:rsidRDefault="0066021F" w:rsidP="000779F6">
            <w:pPr>
              <w:ind w:left="140"/>
              <w:rPr>
                <w:sz w:val="20"/>
                <w:szCs w:val="20"/>
              </w:rPr>
            </w:pPr>
          </w:p>
          <w:p w14:paraId="72B23499" w14:textId="37CBAF75" w:rsidR="0066021F" w:rsidRDefault="0066021F" w:rsidP="000779F6">
            <w:pPr>
              <w:ind w:left="140"/>
              <w:rPr>
                <w:sz w:val="20"/>
                <w:szCs w:val="20"/>
              </w:rPr>
            </w:pPr>
            <w:r w:rsidRPr="0066021F">
              <w:rPr>
                <w:sz w:val="20"/>
                <w:szCs w:val="20"/>
              </w:rPr>
              <w:t>Specifically, IOTC is currently developing a fully specified management procedure that involves aspects, among other elements, monitoring, stock assessment and harvest control. IOTC proposes developing a two-stage management strategy, rebuilding phase and then maintaining the stock at or above the target. MSE scientist would report results of tuning of the various MPs and under three different rebuilding time frames. It is recommended that MSPEA via its Maldives delegation engage with IOTC as all levels to expedite completion of MSE exercise. Maldives may also want to consider taking a more active role in YFT Management Procedure proposal that would be discussed in the forthcoming special session of the IOTC to discuss YFT rebuilding issues.</w:t>
            </w:r>
          </w:p>
          <w:p w14:paraId="3C78EEB2" w14:textId="77777777" w:rsidR="00DB1DFE" w:rsidRDefault="00DB1DFE" w:rsidP="000779F6">
            <w:pPr>
              <w:ind w:left="140"/>
              <w:rPr>
                <w:sz w:val="20"/>
                <w:szCs w:val="20"/>
              </w:rPr>
            </w:pPr>
          </w:p>
          <w:p w14:paraId="11CAD87F" w14:textId="21AA2B65" w:rsidR="000779F6" w:rsidRPr="00781B5A" w:rsidRDefault="000779F6" w:rsidP="000779F6">
            <w:pPr>
              <w:ind w:left="140"/>
              <w:rPr>
                <w:sz w:val="20"/>
                <w:szCs w:val="20"/>
              </w:rPr>
            </w:pPr>
            <w:r w:rsidRPr="000779F6">
              <w:rPr>
                <w:sz w:val="20"/>
                <w:szCs w:val="20"/>
              </w:rPr>
              <w:t xml:space="preserve">In the first instance, the harvest strategy </w:t>
            </w:r>
            <w:r w:rsidR="00DB1DFE">
              <w:rPr>
                <w:sz w:val="20"/>
                <w:szCs w:val="20"/>
              </w:rPr>
              <w:t xml:space="preserve">and harvest controls </w:t>
            </w:r>
            <w:r w:rsidRPr="000779F6">
              <w:rPr>
                <w:sz w:val="20"/>
                <w:szCs w:val="20"/>
              </w:rPr>
              <w:t>should be tied to the rebuilding plan for YFT.</w:t>
            </w:r>
          </w:p>
        </w:tc>
      </w:tr>
      <w:tr w:rsidR="000779F6" w14:paraId="477094B5" w14:textId="77777777" w:rsidTr="000779F6">
        <w:trPr>
          <w:trHeight w:val="360"/>
        </w:trPr>
        <w:tc>
          <w:tcPr>
            <w:tcW w:w="1735" w:type="pct"/>
            <w:tcBorders>
              <w:top w:val="single" w:sz="8" w:space="0" w:color="000000"/>
              <w:left w:val="single" w:sz="7" w:space="0" w:color="000000"/>
              <w:bottom w:val="single" w:sz="4" w:space="0" w:color="000000"/>
              <w:right w:val="single" w:sz="7" w:space="0" w:color="000000"/>
            </w:tcBorders>
          </w:tcPr>
          <w:p w14:paraId="0FC3C1B5" w14:textId="77777777" w:rsidR="000779F6" w:rsidRDefault="000779F6" w:rsidP="000779F6">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63EAF2C6" w14:textId="396F2A3F" w:rsidR="000779F6" w:rsidRPr="002E0D72" w:rsidRDefault="009C4A7B" w:rsidP="000779F6">
            <w:pPr>
              <w:ind w:left="140"/>
              <w:rPr>
                <w:sz w:val="20"/>
                <w:szCs w:val="20"/>
                <w:highlight w:val="yellow"/>
              </w:rPr>
            </w:pPr>
            <w:r>
              <w:rPr>
                <w:sz w:val="20"/>
                <w:szCs w:val="20"/>
              </w:rPr>
              <w:t>May</w:t>
            </w:r>
            <w:r w:rsidR="000779F6" w:rsidRPr="00781B5A">
              <w:rPr>
                <w:sz w:val="20"/>
                <w:szCs w:val="20"/>
              </w:rPr>
              <w:t xml:space="preserve"> 2026</w:t>
            </w:r>
          </w:p>
        </w:tc>
      </w:tr>
      <w:tr w:rsidR="000779F6" w14:paraId="46F69272" w14:textId="77777777" w:rsidTr="000779F6">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4505CA7B" w14:textId="77777777" w:rsidR="000779F6" w:rsidDel="000B7ACA" w:rsidRDefault="000779F6" w:rsidP="000779F6">
            <w:pPr>
              <w:ind w:left="40"/>
              <w:rPr>
                <w:b/>
                <w:sz w:val="20"/>
                <w:szCs w:val="20"/>
              </w:rPr>
            </w:pPr>
            <w:r w:rsidDel="000B7ACA">
              <w:rPr>
                <w:b/>
                <w:sz w:val="20"/>
                <w:szCs w:val="20"/>
              </w:rPr>
              <w:t xml:space="preserve">Priority </w:t>
            </w:r>
          </w:p>
          <w:p w14:paraId="0A35ABA6" w14:textId="77777777" w:rsidR="000779F6" w:rsidRDefault="000779F6" w:rsidP="000779F6">
            <w:pPr>
              <w:ind w:left="140"/>
              <w:rPr>
                <w:b/>
                <w:sz w:val="20"/>
                <w:szCs w:val="20"/>
              </w:rPr>
            </w:pPr>
            <w:r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4806C669" w14:textId="77777777" w:rsidR="000779F6" w:rsidRPr="009A17DA" w:rsidRDefault="000779F6" w:rsidP="000779F6">
            <w:pPr>
              <w:ind w:left="140"/>
              <w:rPr>
                <w:sz w:val="20"/>
                <w:szCs w:val="20"/>
              </w:rPr>
            </w:pPr>
            <w:r w:rsidRPr="000779F6">
              <w:rPr>
                <w:sz w:val="20"/>
                <w:szCs w:val="20"/>
              </w:rPr>
              <w:t>High: Achievement will require action through IOTC and agreement of CPC’s and so timescales are out of the control of MSPEA. Action should therefore begin asap.</w:t>
            </w:r>
          </w:p>
        </w:tc>
      </w:tr>
      <w:tr w:rsidR="000779F6" w14:paraId="5B789163" w14:textId="77777777" w:rsidTr="000779F6">
        <w:trPr>
          <w:trHeight w:val="300"/>
        </w:trPr>
        <w:tc>
          <w:tcPr>
            <w:tcW w:w="1735" w:type="pct"/>
            <w:tcBorders>
              <w:top w:val="single" w:sz="8" w:space="0" w:color="000000"/>
              <w:left w:val="single" w:sz="7" w:space="0" w:color="000000"/>
              <w:bottom w:val="single" w:sz="4" w:space="0" w:color="auto"/>
              <w:right w:val="single" w:sz="8" w:space="0" w:color="000000"/>
            </w:tcBorders>
          </w:tcPr>
          <w:p w14:paraId="7C5CF341" w14:textId="77777777" w:rsidR="000779F6" w:rsidDel="000B7ACA" w:rsidRDefault="000779F6" w:rsidP="000779F6">
            <w:pPr>
              <w:ind w:left="40"/>
              <w:rPr>
                <w:b/>
                <w:sz w:val="20"/>
                <w:szCs w:val="20"/>
              </w:rPr>
            </w:pPr>
            <w:r w:rsidDel="000B7ACA">
              <w:rPr>
                <w:b/>
                <w:sz w:val="20"/>
                <w:szCs w:val="20"/>
              </w:rPr>
              <w:t>Estimated Cost</w:t>
            </w:r>
          </w:p>
          <w:p w14:paraId="14ED0EA2" w14:textId="77777777" w:rsidR="000779F6" w:rsidRDefault="000779F6" w:rsidP="000779F6">
            <w:pPr>
              <w:ind w:left="140"/>
              <w:rPr>
                <w:b/>
                <w:sz w:val="20"/>
                <w:szCs w:val="20"/>
              </w:rPr>
            </w:pPr>
            <w:r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55726CE" w14:textId="23DEEFBB" w:rsidR="000779F6" w:rsidRPr="002E0D72" w:rsidRDefault="00F67E15" w:rsidP="000779F6">
            <w:pPr>
              <w:ind w:left="140"/>
              <w:rPr>
                <w:sz w:val="20"/>
                <w:szCs w:val="20"/>
                <w:highlight w:val="yellow"/>
              </w:rPr>
            </w:pPr>
            <w:r w:rsidRPr="00F67E15">
              <w:rPr>
                <w:sz w:val="20"/>
                <w:szCs w:val="20"/>
              </w:rPr>
              <w:t xml:space="preserve">USD </w:t>
            </w:r>
            <w:r w:rsidR="0052382F">
              <w:rPr>
                <w:sz w:val="20"/>
                <w:szCs w:val="20"/>
              </w:rPr>
              <w:t>40,000</w:t>
            </w:r>
          </w:p>
        </w:tc>
      </w:tr>
      <w:tr w:rsidR="000779F6" w14:paraId="63E22AB3" w14:textId="77777777" w:rsidTr="000779F6">
        <w:trPr>
          <w:trHeight w:val="17"/>
        </w:trPr>
        <w:tc>
          <w:tcPr>
            <w:tcW w:w="1735" w:type="pct"/>
            <w:tcBorders>
              <w:top w:val="single" w:sz="4" w:space="0" w:color="auto"/>
              <w:left w:val="single" w:sz="4" w:space="0" w:color="auto"/>
              <w:bottom w:val="single" w:sz="4" w:space="0" w:color="auto"/>
              <w:right w:val="single" w:sz="4" w:space="0" w:color="auto"/>
            </w:tcBorders>
          </w:tcPr>
          <w:p w14:paraId="3B6E7A07" w14:textId="77777777" w:rsidR="000779F6" w:rsidDel="000B7ACA" w:rsidRDefault="000779F6" w:rsidP="000779F6">
            <w:pPr>
              <w:ind w:left="40"/>
              <w:rPr>
                <w:b/>
                <w:sz w:val="20"/>
                <w:szCs w:val="20"/>
              </w:rPr>
            </w:pPr>
            <w:r w:rsidDel="000B7ACA">
              <w:rPr>
                <w:b/>
                <w:sz w:val="20"/>
                <w:szCs w:val="20"/>
              </w:rPr>
              <w:t xml:space="preserve">Responsible Parties </w:t>
            </w:r>
          </w:p>
          <w:p w14:paraId="184C2A13" w14:textId="77777777" w:rsidR="000779F6" w:rsidRDefault="000779F6" w:rsidP="000779F6">
            <w:pPr>
              <w:ind w:left="140"/>
              <w:rPr>
                <w:b/>
                <w:sz w:val="20"/>
                <w:szCs w:val="20"/>
              </w:rPr>
            </w:pPr>
            <w:r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3CF6D1FA" w14:textId="60799540" w:rsidR="000779F6" w:rsidRPr="002E0D72" w:rsidRDefault="00F67E15" w:rsidP="000779F6">
            <w:pPr>
              <w:ind w:left="140"/>
              <w:rPr>
                <w:sz w:val="20"/>
                <w:szCs w:val="20"/>
                <w:highlight w:val="yellow"/>
              </w:rPr>
            </w:pPr>
            <w:r w:rsidRPr="009A42EA">
              <w:rPr>
                <w:sz w:val="20"/>
                <w:szCs w:val="20"/>
              </w:rPr>
              <w:t>MSPEA / Ministry of Fisheries</w:t>
            </w:r>
            <w:r w:rsidR="00401004">
              <w:rPr>
                <w:sz w:val="20"/>
                <w:szCs w:val="20"/>
              </w:rPr>
              <w:t xml:space="preserve"> and Ocean Resources</w:t>
            </w:r>
          </w:p>
        </w:tc>
      </w:tr>
      <w:tr w:rsidR="000779F6" w14:paraId="3FE50722" w14:textId="77777777" w:rsidTr="000779F6">
        <w:trPr>
          <w:trHeight w:val="320"/>
        </w:trPr>
        <w:tc>
          <w:tcPr>
            <w:tcW w:w="1735" w:type="pct"/>
            <w:tcBorders>
              <w:top w:val="single" w:sz="4" w:space="0" w:color="auto"/>
              <w:left w:val="single" w:sz="7" w:space="0" w:color="000000"/>
              <w:bottom w:val="single" w:sz="7" w:space="0" w:color="000000"/>
              <w:right w:val="single" w:sz="7" w:space="0" w:color="000000"/>
            </w:tcBorders>
          </w:tcPr>
          <w:p w14:paraId="768D0EC8" w14:textId="77777777" w:rsidR="000779F6" w:rsidRDefault="000779F6" w:rsidP="000779F6">
            <w:pPr>
              <w:ind w:left="75"/>
              <w:rPr>
                <w:b/>
                <w:sz w:val="20"/>
                <w:szCs w:val="20"/>
              </w:rPr>
            </w:pPr>
            <w:r w:rsidDel="000B7ACA">
              <w:rPr>
                <w:b/>
                <w:sz w:val="20"/>
                <w:szCs w:val="20"/>
              </w:rPr>
              <w:t>MSC PI(s) Addressed by the Action</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6D3A2E7" w14:textId="5D679E4D" w:rsidR="00DB1DFE" w:rsidRDefault="00DB1DFE" w:rsidP="000779F6">
            <w:pPr>
              <w:ind w:left="140"/>
              <w:rPr>
                <w:sz w:val="20"/>
                <w:szCs w:val="20"/>
              </w:rPr>
            </w:pPr>
            <w:r w:rsidRPr="00DB1DFE">
              <w:rPr>
                <w:sz w:val="20"/>
                <w:szCs w:val="20"/>
              </w:rPr>
              <w:t xml:space="preserve">1.2.1 </w:t>
            </w:r>
            <w:r>
              <w:rPr>
                <w:sz w:val="20"/>
                <w:szCs w:val="20"/>
              </w:rPr>
              <w:t xml:space="preserve">- </w:t>
            </w:r>
            <w:r w:rsidRPr="00DB1DFE">
              <w:rPr>
                <w:sz w:val="20"/>
                <w:szCs w:val="20"/>
              </w:rPr>
              <w:t>Harvest strategy</w:t>
            </w:r>
          </w:p>
          <w:p w14:paraId="0782CC51" w14:textId="5C0A6BBA" w:rsidR="000779F6" w:rsidRPr="002E0D72" w:rsidRDefault="00DB1DFE" w:rsidP="000779F6">
            <w:pPr>
              <w:ind w:left="140"/>
              <w:rPr>
                <w:sz w:val="20"/>
                <w:szCs w:val="20"/>
                <w:highlight w:val="yellow"/>
              </w:rPr>
            </w:pPr>
            <w:r w:rsidRPr="00DB1DFE">
              <w:rPr>
                <w:sz w:val="20"/>
                <w:szCs w:val="20"/>
              </w:rPr>
              <w:t>1.2.2 - Harvest control rules and tools</w:t>
            </w:r>
          </w:p>
        </w:tc>
      </w:tr>
    </w:tbl>
    <w:p w14:paraId="504F76AC" w14:textId="77777777" w:rsidR="000779F6" w:rsidRDefault="000779F6" w:rsidP="000779F6">
      <w:pPr>
        <w:rPr>
          <w:sz w:val="20"/>
          <w:szCs w:val="20"/>
        </w:rPr>
      </w:pPr>
      <w:r>
        <w:rPr>
          <w:sz w:val="20"/>
          <w:szCs w:val="20"/>
        </w:rPr>
        <w:t xml:space="preserve"> </w:t>
      </w:r>
    </w:p>
    <w:p w14:paraId="13887DBA" w14:textId="77777777" w:rsidR="000779F6" w:rsidRDefault="000779F6" w:rsidP="000779F6">
      <w:pPr>
        <w:rPr>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0779F6" w14:paraId="5ED25325" w14:textId="77777777" w:rsidTr="00100029">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4C08DB" w14:textId="30541D84" w:rsidR="000779F6" w:rsidRDefault="000779F6" w:rsidP="000779F6">
            <w:pPr>
              <w:rPr>
                <w:b/>
                <w:sz w:val="20"/>
                <w:szCs w:val="20"/>
              </w:rPr>
            </w:pPr>
            <w:r>
              <w:rPr>
                <w:b/>
                <w:sz w:val="20"/>
                <w:szCs w:val="20"/>
              </w:rPr>
              <w:t>Action</w:t>
            </w:r>
            <w:r w:rsidR="00DB1DFE">
              <w:rPr>
                <w:b/>
                <w:sz w:val="20"/>
                <w:szCs w:val="20"/>
              </w:rPr>
              <w:t xml:space="preserve"> 2</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FCB3EA" w14:textId="77777777" w:rsidR="000779F6" w:rsidRDefault="000779F6" w:rsidP="000779F6">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8F09AD" w14:textId="77777777" w:rsidR="000779F6" w:rsidRDefault="000779F6" w:rsidP="000779F6">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472FA62" w14:textId="77777777" w:rsidR="000779F6" w:rsidRDefault="000779F6" w:rsidP="000779F6">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FC2E7C" w14:textId="77777777" w:rsidR="000779F6" w:rsidRDefault="000779F6" w:rsidP="000779F6">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901D51" w14:textId="77777777" w:rsidR="000779F6" w:rsidRDefault="000779F6" w:rsidP="000779F6">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C19733" w14:textId="77777777" w:rsidR="000779F6" w:rsidRDefault="000779F6" w:rsidP="000779F6">
            <w:pPr>
              <w:rPr>
                <w:b/>
                <w:sz w:val="20"/>
                <w:szCs w:val="20"/>
              </w:rPr>
            </w:pPr>
            <w:r>
              <w:rPr>
                <w:b/>
                <w:sz w:val="20"/>
                <w:szCs w:val="20"/>
              </w:rPr>
              <w:t>Evidence of completion / results</w:t>
            </w:r>
          </w:p>
        </w:tc>
      </w:tr>
      <w:tr w:rsidR="000779F6" w14:paraId="194BC753" w14:textId="77777777" w:rsidTr="00100029">
        <w:trPr>
          <w:trHeight w:val="1340"/>
        </w:trPr>
        <w:tc>
          <w:tcPr>
            <w:tcW w:w="704" w:type="pct"/>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CCA78E" w14:textId="697491A9" w:rsidR="000779F6" w:rsidRPr="002E0D72" w:rsidRDefault="00DB1DFE" w:rsidP="000779F6">
            <w:pPr>
              <w:rPr>
                <w:sz w:val="20"/>
                <w:szCs w:val="20"/>
                <w:highlight w:val="yellow"/>
              </w:rPr>
            </w:pPr>
            <w:r w:rsidRPr="00DB1DFE">
              <w:rPr>
                <w:sz w:val="20"/>
                <w:szCs w:val="20"/>
              </w:rPr>
              <w:t>1.2.1/1.2.2 Harvest Strategy and Harvest Control Rules and Tools</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471516" w14:textId="6A0FD510" w:rsidR="00187603" w:rsidRPr="00F92A8E" w:rsidRDefault="00FE1506" w:rsidP="00784D4B">
            <w:pPr>
              <w:rPr>
                <w:sz w:val="20"/>
                <w:szCs w:val="20"/>
              </w:rPr>
            </w:pPr>
            <w:r w:rsidRPr="00F92A8E">
              <w:rPr>
                <w:rFonts w:cs="MV Boli"/>
                <w:sz w:val="20"/>
                <w:szCs w:val="20"/>
                <w:lang w:bidi="dv-MV"/>
              </w:rPr>
              <w:t xml:space="preserve">Work with </w:t>
            </w:r>
            <w:proofErr w:type="spellStart"/>
            <w:r w:rsidR="00CA3004">
              <w:rPr>
                <w:rFonts w:cs="MV Boli"/>
                <w:sz w:val="20"/>
                <w:szCs w:val="20"/>
                <w:lang w:bidi="dv-MV"/>
              </w:rPr>
              <w:t>MoFOR</w:t>
            </w:r>
            <w:proofErr w:type="spellEnd"/>
            <w:r w:rsidR="00CA3004">
              <w:rPr>
                <w:rFonts w:cs="MV Boli"/>
                <w:sz w:val="20"/>
                <w:szCs w:val="20"/>
                <w:lang w:bidi="dv-MV"/>
              </w:rPr>
              <w:t xml:space="preserve"> </w:t>
            </w:r>
            <w:r w:rsidR="00784D4B" w:rsidRPr="00F92A8E">
              <w:rPr>
                <w:rFonts w:cs="MV Boli"/>
                <w:sz w:val="20"/>
                <w:szCs w:val="20"/>
                <w:lang w:bidi="dv-MV"/>
              </w:rPr>
              <w:t>to strengthen the Maldives YFT catch data reporting and monitoring system; defining management action</w:t>
            </w:r>
            <w:r w:rsidR="002D5841" w:rsidRPr="00F92A8E">
              <w:rPr>
                <w:rFonts w:cs="MV Boli"/>
                <w:sz w:val="20"/>
                <w:szCs w:val="20"/>
                <w:lang w:bidi="dv-MV"/>
              </w:rPr>
              <w:t>(s)</w:t>
            </w:r>
            <w:r w:rsidR="00784D4B" w:rsidRPr="00F92A8E">
              <w:rPr>
                <w:rFonts w:cs="MV Boli"/>
                <w:sz w:val="20"/>
                <w:szCs w:val="20"/>
                <w:lang w:bidi="dv-MV"/>
              </w:rPr>
              <w:t xml:space="preserve"> to limit the catch</w:t>
            </w:r>
            <w:r w:rsidR="00F67E15" w:rsidRPr="00F92A8E">
              <w:rPr>
                <w:rFonts w:cs="MV Boli"/>
                <w:sz w:val="20"/>
                <w:szCs w:val="20"/>
                <w:lang w:bidi="dv-MV"/>
              </w:rPr>
              <w:t xml:space="preserve"> (Maldives quota)</w:t>
            </w:r>
            <w:r w:rsidR="00784D4B" w:rsidRPr="00F92A8E">
              <w:rPr>
                <w:rFonts w:cs="MV Boli"/>
                <w:sz w:val="20"/>
                <w:szCs w:val="20"/>
                <w:lang w:bidi="dv-MV"/>
              </w:rPr>
              <w:t xml:space="preserve"> as required </w:t>
            </w:r>
            <w:r w:rsidR="00F67E15" w:rsidRPr="00F92A8E">
              <w:rPr>
                <w:rFonts w:cs="MV Boli"/>
                <w:sz w:val="20"/>
                <w:szCs w:val="20"/>
                <w:lang w:bidi="dv-MV"/>
              </w:rPr>
              <w:t xml:space="preserve">for rebuilding plans </w:t>
            </w:r>
            <w:r w:rsidR="00784D4B" w:rsidRPr="00F92A8E">
              <w:rPr>
                <w:rFonts w:cs="MV Boli"/>
                <w:sz w:val="20"/>
                <w:szCs w:val="20"/>
                <w:lang w:bidi="dv-MV"/>
              </w:rPr>
              <w:t xml:space="preserve">including trigger levels. </w:t>
            </w:r>
          </w:p>
          <w:p w14:paraId="372BE5CF" w14:textId="2A1C1476" w:rsidR="00784D4B" w:rsidRPr="00F92A8E" w:rsidRDefault="00784D4B" w:rsidP="00784D4B">
            <w:pPr>
              <w:rPr>
                <w:sz w:val="20"/>
                <w:szCs w:val="20"/>
              </w:rPr>
            </w:pPr>
          </w:p>
          <w:p w14:paraId="1249B9AD" w14:textId="2C0F5399" w:rsidR="00784D4B" w:rsidRPr="00F92A8E" w:rsidRDefault="00784D4B" w:rsidP="00784D4B">
            <w:pPr>
              <w:rPr>
                <w:sz w:val="20"/>
                <w:szCs w:val="20"/>
              </w:rPr>
            </w:pPr>
            <w:r w:rsidRPr="00F92A8E">
              <w:rPr>
                <w:sz w:val="20"/>
                <w:szCs w:val="20"/>
              </w:rPr>
              <w:t xml:space="preserve">Establishment of the reporting procedure to monitor Maldives YFT quota. </w:t>
            </w:r>
          </w:p>
          <w:p w14:paraId="5744C8C1" w14:textId="0BF3F663" w:rsidR="000779F6" w:rsidRPr="00F92A8E" w:rsidRDefault="000779F6" w:rsidP="000779F6">
            <w:pPr>
              <w:rPr>
                <w:sz w:val="20"/>
                <w:szCs w:val="20"/>
              </w:rPr>
            </w:pP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4D6699C" w14:textId="1ACEF23F" w:rsidR="000779F6" w:rsidRPr="00781B5A" w:rsidRDefault="0071273D" w:rsidP="000779F6">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09E42D1" w14:textId="62548524" w:rsidR="000779F6" w:rsidRPr="00781B5A" w:rsidRDefault="00397108" w:rsidP="000779F6">
            <w:pPr>
              <w:rPr>
                <w:sz w:val="20"/>
                <w:szCs w:val="20"/>
              </w:rPr>
            </w:pPr>
            <w:r>
              <w:rPr>
                <w:sz w:val="20"/>
                <w:szCs w:val="20"/>
              </w:rPr>
              <w:t>MSPEA - Secretariat</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7607CB" w14:textId="25E1E1FE" w:rsidR="000779F6" w:rsidRPr="00781B5A" w:rsidRDefault="00397108" w:rsidP="000779F6">
            <w:pPr>
              <w:rPr>
                <w:sz w:val="20"/>
                <w:szCs w:val="20"/>
              </w:rPr>
            </w:pPr>
            <w:r>
              <w:rPr>
                <w:sz w:val="20"/>
                <w:szCs w:val="20"/>
              </w:rPr>
              <w:t>May</w:t>
            </w:r>
            <w:r w:rsidR="000779F6" w:rsidRPr="00781B5A">
              <w:rPr>
                <w:sz w:val="20"/>
                <w:szCs w:val="20"/>
              </w:rPr>
              <w:t xml:space="preserve"> 20</w:t>
            </w:r>
            <w:r w:rsidR="000779F6">
              <w:rPr>
                <w:sz w:val="20"/>
                <w:szCs w:val="20"/>
              </w:rPr>
              <w:t>21</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15D59B" w14:textId="046C9324" w:rsidR="000779F6" w:rsidRPr="00781B5A" w:rsidRDefault="00CB704D" w:rsidP="000779F6">
            <w:pPr>
              <w:rPr>
                <w:sz w:val="20"/>
                <w:szCs w:val="20"/>
              </w:rPr>
            </w:pPr>
            <w:r>
              <w:rPr>
                <w:sz w:val="20"/>
                <w:szCs w:val="20"/>
              </w:rPr>
              <w:t>May</w:t>
            </w:r>
            <w:r w:rsidR="000779F6" w:rsidRPr="00781B5A">
              <w:rPr>
                <w:sz w:val="20"/>
                <w:szCs w:val="20"/>
              </w:rPr>
              <w:t xml:space="preserve"> 20</w:t>
            </w:r>
            <w:r w:rsidR="000779F6">
              <w:rPr>
                <w:sz w:val="20"/>
                <w:szCs w:val="20"/>
              </w:rPr>
              <w:t>2</w:t>
            </w:r>
            <w:r>
              <w:rPr>
                <w:sz w:val="20"/>
                <w:szCs w:val="20"/>
              </w:rPr>
              <w:t>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D471EE" w14:textId="77777777" w:rsidR="000779F6" w:rsidRDefault="00784D4B" w:rsidP="00784D4B">
            <w:pPr>
              <w:rPr>
                <w:sz w:val="20"/>
                <w:szCs w:val="20"/>
              </w:rPr>
            </w:pPr>
            <w:r>
              <w:rPr>
                <w:sz w:val="20"/>
                <w:szCs w:val="20"/>
              </w:rPr>
              <w:t>Monitoring System established monitoring YFT quota.</w:t>
            </w:r>
          </w:p>
          <w:p w14:paraId="08EF5229" w14:textId="77777777" w:rsidR="00784D4B" w:rsidRDefault="00784D4B" w:rsidP="00784D4B">
            <w:pPr>
              <w:rPr>
                <w:sz w:val="20"/>
                <w:szCs w:val="20"/>
              </w:rPr>
            </w:pPr>
          </w:p>
          <w:p w14:paraId="71B0737F" w14:textId="5B48970F" w:rsidR="00784D4B" w:rsidRPr="00781B5A" w:rsidRDefault="00784D4B" w:rsidP="00784D4B">
            <w:pPr>
              <w:rPr>
                <w:sz w:val="20"/>
                <w:szCs w:val="20"/>
              </w:rPr>
            </w:pPr>
            <w:r>
              <w:rPr>
                <w:sz w:val="20"/>
                <w:szCs w:val="20"/>
              </w:rPr>
              <w:t xml:space="preserve">Management actions defined, and communicated to relevant stakeholders </w:t>
            </w:r>
          </w:p>
        </w:tc>
      </w:tr>
      <w:tr w:rsidR="000779F6" w14:paraId="43B55D24" w14:textId="77777777" w:rsidTr="00100029">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2A7C1E" w14:textId="77777777" w:rsidR="000779F6" w:rsidRPr="00781B5A" w:rsidRDefault="000779F6" w:rsidP="000779F6">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4E0E1B7" w14:textId="43A1C27F" w:rsidR="00187603" w:rsidRPr="00F92A8E" w:rsidRDefault="00187603" w:rsidP="000779F6">
            <w:pPr>
              <w:rPr>
                <w:sz w:val="20"/>
                <w:szCs w:val="20"/>
              </w:rPr>
            </w:pPr>
            <w:r w:rsidRPr="00F92A8E">
              <w:rPr>
                <w:sz w:val="20"/>
                <w:szCs w:val="20"/>
              </w:rPr>
              <w:t xml:space="preserve">Develop </w:t>
            </w:r>
            <w:r w:rsidR="00784D4B" w:rsidRPr="00F92A8E">
              <w:rPr>
                <w:sz w:val="20"/>
                <w:szCs w:val="20"/>
              </w:rPr>
              <w:t xml:space="preserve">an </w:t>
            </w:r>
            <w:r w:rsidRPr="00F92A8E">
              <w:rPr>
                <w:sz w:val="20"/>
                <w:szCs w:val="20"/>
              </w:rPr>
              <w:t xml:space="preserve">advocacy campaign </w:t>
            </w:r>
            <w:r w:rsidR="00784D4B" w:rsidRPr="00F92A8E">
              <w:rPr>
                <w:sz w:val="20"/>
                <w:szCs w:val="20"/>
              </w:rPr>
              <w:t xml:space="preserve">to encourage fishing from free schools – </w:t>
            </w:r>
            <w:r w:rsidR="002D5841" w:rsidRPr="00F92A8E">
              <w:rPr>
                <w:sz w:val="20"/>
                <w:szCs w:val="20"/>
              </w:rPr>
              <w:t xml:space="preserve">limiting the catch of </w:t>
            </w:r>
            <w:r w:rsidR="00784D4B" w:rsidRPr="00F92A8E">
              <w:rPr>
                <w:sz w:val="20"/>
                <w:szCs w:val="20"/>
              </w:rPr>
              <w:t xml:space="preserve">juveniles. </w:t>
            </w:r>
          </w:p>
          <w:p w14:paraId="5D13444F" w14:textId="473060CB" w:rsidR="00784D4B" w:rsidRPr="00F92A8E" w:rsidRDefault="00784D4B" w:rsidP="000779F6">
            <w:pPr>
              <w:rPr>
                <w:sz w:val="20"/>
                <w:szCs w:val="20"/>
              </w:rPr>
            </w:pPr>
          </w:p>
          <w:p w14:paraId="25FE1A46" w14:textId="45930A68" w:rsidR="00784D4B" w:rsidRPr="00F92A8E" w:rsidRDefault="00784D4B" w:rsidP="000779F6">
            <w:pPr>
              <w:rPr>
                <w:sz w:val="20"/>
                <w:szCs w:val="20"/>
              </w:rPr>
            </w:pPr>
            <w:r w:rsidRPr="00F92A8E">
              <w:rPr>
                <w:sz w:val="20"/>
                <w:szCs w:val="20"/>
              </w:rPr>
              <w:t xml:space="preserve">Campaign launched and communicated and to fishers. </w:t>
            </w:r>
          </w:p>
          <w:p w14:paraId="281D8864" w14:textId="100635DA" w:rsidR="00187603" w:rsidRDefault="00187603" w:rsidP="000779F6">
            <w:pPr>
              <w:rPr>
                <w:sz w:val="20"/>
                <w:szCs w:val="20"/>
              </w:rPr>
            </w:pPr>
          </w:p>
          <w:p w14:paraId="77E850E1" w14:textId="5E280885" w:rsidR="000779F6" w:rsidRPr="00781B5A" w:rsidRDefault="000779F6" w:rsidP="000779F6">
            <w:pPr>
              <w:rPr>
                <w:sz w:val="20"/>
                <w:szCs w:val="20"/>
              </w:rPr>
            </w:pP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73BA9B" w14:textId="230AA4C3" w:rsidR="000779F6" w:rsidRPr="00781B5A" w:rsidRDefault="0071273D" w:rsidP="000779F6">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CA9151" w14:textId="7DE50145" w:rsidR="000779F6" w:rsidRPr="00781B5A" w:rsidRDefault="00397108" w:rsidP="000779F6">
            <w:pPr>
              <w:rPr>
                <w:sz w:val="20"/>
                <w:szCs w:val="20"/>
              </w:rPr>
            </w:pPr>
            <w:r>
              <w:rPr>
                <w:sz w:val="20"/>
                <w:szCs w:val="20"/>
              </w:rPr>
              <w:t>MSPEA - Secretariat</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35B56E" w14:textId="77777777" w:rsidR="000779F6" w:rsidRPr="00781B5A" w:rsidRDefault="000779F6" w:rsidP="000779F6">
            <w:pPr>
              <w:rPr>
                <w:sz w:val="20"/>
                <w:szCs w:val="20"/>
              </w:rPr>
            </w:pPr>
            <w:r>
              <w:rPr>
                <w:sz w:val="20"/>
                <w:szCs w:val="20"/>
              </w:rPr>
              <w:t>March 2022</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7E111B" w14:textId="70BD48BA" w:rsidR="000779F6" w:rsidRPr="00781B5A" w:rsidRDefault="000779F6" w:rsidP="000779F6">
            <w:pPr>
              <w:rPr>
                <w:sz w:val="20"/>
                <w:szCs w:val="20"/>
              </w:rPr>
            </w:pPr>
            <w:r>
              <w:rPr>
                <w:sz w:val="20"/>
                <w:szCs w:val="20"/>
              </w:rPr>
              <w:t>March 202</w:t>
            </w:r>
            <w:r w:rsidR="00CB704D">
              <w:rPr>
                <w:sz w:val="20"/>
                <w:szCs w:val="20"/>
              </w:rPr>
              <w:t>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6311FA" w14:textId="22B5AF52" w:rsidR="000779F6" w:rsidRPr="00781B5A" w:rsidRDefault="00784D4B" w:rsidP="000779F6">
            <w:pPr>
              <w:rPr>
                <w:sz w:val="20"/>
                <w:szCs w:val="20"/>
              </w:rPr>
            </w:pPr>
            <w:r>
              <w:rPr>
                <w:sz w:val="20"/>
                <w:szCs w:val="20"/>
              </w:rPr>
              <w:t xml:space="preserve">Advocacy campaign developed and implemented. </w:t>
            </w:r>
          </w:p>
        </w:tc>
      </w:tr>
      <w:tr w:rsidR="000779F6" w14:paraId="7E78CF73" w14:textId="77777777" w:rsidTr="00100029">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C30632" w14:textId="77777777" w:rsidR="000779F6" w:rsidRPr="00781B5A" w:rsidRDefault="000779F6" w:rsidP="000779F6">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448E8C" w14:textId="2FAF6AAA" w:rsidR="00F97528" w:rsidRDefault="00F97528" w:rsidP="000779F6">
            <w:pPr>
              <w:rPr>
                <w:sz w:val="20"/>
                <w:szCs w:val="20"/>
              </w:rPr>
            </w:pPr>
            <w:r>
              <w:rPr>
                <w:sz w:val="20"/>
                <w:szCs w:val="20"/>
              </w:rPr>
              <w:t xml:space="preserve">MSPEA work with </w:t>
            </w:r>
            <w:proofErr w:type="spellStart"/>
            <w:r>
              <w:rPr>
                <w:sz w:val="20"/>
                <w:szCs w:val="20"/>
              </w:rPr>
              <w:t>MoFMRA</w:t>
            </w:r>
            <w:proofErr w:type="spellEnd"/>
            <w:r>
              <w:rPr>
                <w:sz w:val="20"/>
                <w:szCs w:val="20"/>
              </w:rPr>
              <w:t xml:space="preserve">, and others where appropriate, to encourage development through IOTC, of a harvest strategy, and accompanying harvest control rules, and mechanisms to constrain harvest that are responsive to the state of the stock and work together to maintain catches within ranges specified by IOTC. </w:t>
            </w:r>
          </w:p>
          <w:p w14:paraId="59FD2AE5" w14:textId="77777777" w:rsidR="00F97528" w:rsidRDefault="00F97528" w:rsidP="000779F6">
            <w:pPr>
              <w:rPr>
                <w:sz w:val="20"/>
                <w:szCs w:val="20"/>
              </w:rPr>
            </w:pPr>
          </w:p>
          <w:p w14:paraId="17D17705" w14:textId="65A4B441" w:rsidR="000779F6" w:rsidRPr="00781B5A" w:rsidRDefault="00F97528" w:rsidP="000779F6">
            <w:pPr>
              <w:rPr>
                <w:sz w:val="20"/>
                <w:szCs w:val="20"/>
              </w:rPr>
            </w:pPr>
            <w:r>
              <w:rPr>
                <w:sz w:val="20"/>
                <w:szCs w:val="20"/>
              </w:rPr>
              <w:t xml:space="preserve">MSPEA will encourage development of </w:t>
            </w:r>
            <w:r w:rsidR="00F67E15">
              <w:rPr>
                <w:sz w:val="20"/>
                <w:szCs w:val="20"/>
              </w:rPr>
              <w:t>tools</w:t>
            </w:r>
            <w:r>
              <w:rPr>
                <w:sz w:val="20"/>
                <w:szCs w:val="20"/>
              </w:rPr>
              <w:t xml:space="preserve"> that are appropriate to the scale and nature of YFT fishery in the Indian Ocean.  </w:t>
            </w:r>
            <w:r w:rsidR="0071273D">
              <w:rPr>
                <w:sz w:val="20"/>
                <w:szCs w:val="20"/>
              </w:rPr>
              <w:t xml:space="preserve"> </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CFBFE6" w14:textId="71D7FAE6" w:rsidR="000779F6" w:rsidRPr="00781B5A" w:rsidRDefault="0071273D" w:rsidP="000779F6">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01C688" w14:textId="11997D2A" w:rsidR="000779F6" w:rsidRPr="00781B5A" w:rsidRDefault="00397108" w:rsidP="000779F6">
            <w:pPr>
              <w:rPr>
                <w:sz w:val="20"/>
                <w:szCs w:val="20"/>
              </w:rPr>
            </w:pPr>
            <w:r>
              <w:rPr>
                <w:sz w:val="20"/>
                <w:szCs w:val="20"/>
              </w:rPr>
              <w:t>MSPEA - Secretariat</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29F910" w14:textId="77777777" w:rsidR="000779F6" w:rsidRPr="00781B5A" w:rsidRDefault="000779F6" w:rsidP="000779F6">
            <w:pPr>
              <w:rPr>
                <w:sz w:val="20"/>
                <w:szCs w:val="20"/>
              </w:rPr>
            </w:pPr>
            <w:r>
              <w:rPr>
                <w:sz w:val="20"/>
                <w:szCs w:val="20"/>
              </w:rPr>
              <w:t>March 2023</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44DAB8" w14:textId="53C34635" w:rsidR="000779F6" w:rsidRPr="00781B5A" w:rsidRDefault="00CB704D" w:rsidP="000779F6">
            <w:pPr>
              <w:rPr>
                <w:sz w:val="20"/>
                <w:szCs w:val="20"/>
              </w:rPr>
            </w:pPr>
            <w:r>
              <w:rPr>
                <w:sz w:val="20"/>
                <w:szCs w:val="20"/>
              </w:rPr>
              <w:t>May</w:t>
            </w:r>
            <w:r w:rsidR="000779F6">
              <w:rPr>
                <w:sz w:val="20"/>
                <w:szCs w:val="20"/>
              </w:rPr>
              <w:t xml:space="preserve"> </w:t>
            </w:r>
            <w:r>
              <w:rPr>
                <w:sz w:val="20"/>
                <w:szCs w:val="20"/>
              </w:rPr>
              <w:t>2026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877AA5" w14:textId="3886A718" w:rsidR="000779F6" w:rsidRPr="00781B5A" w:rsidRDefault="00F97528" w:rsidP="000779F6">
            <w:pPr>
              <w:rPr>
                <w:sz w:val="20"/>
                <w:szCs w:val="20"/>
              </w:rPr>
            </w:pPr>
            <w:r>
              <w:rPr>
                <w:sz w:val="20"/>
                <w:szCs w:val="20"/>
              </w:rPr>
              <w:t xml:space="preserve">Evidence of the adoption and implementing of </w:t>
            </w:r>
            <w:r w:rsidR="00100029">
              <w:rPr>
                <w:sz w:val="20"/>
                <w:szCs w:val="20"/>
              </w:rPr>
              <w:t xml:space="preserve">a </w:t>
            </w:r>
            <w:r>
              <w:rPr>
                <w:sz w:val="20"/>
                <w:szCs w:val="20"/>
              </w:rPr>
              <w:t xml:space="preserve"> fully specificized management procedure for rebuilding</w:t>
            </w:r>
            <w:r w:rsidR="00100029">
              <w:rPr>
                <w:sz w:val="20"/>
                <w:szCs w:val="20"/>
              </w:rPr>
              <w:t xml:space="preserve"> of the stock as endorsed by the TCMP / Commission. </w:t>
            </w:r>
          </w:p>
        </w:tc>
      </w:tr>
      <w:tr w:rsidR="000779F6" w14:paraId="00BECA5D" w14:textId="77777777" w:rsidTr="00100029">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BB61DD" w14:textId="77777777" w:rsidR="000779F6" w:rsidRPr="00781B5A" w:rsidRDefault="000779F6" w:rsidP="000779F6">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A65B7C" w14:textId="2B5B5EC8" w:rsidR="000779F6" w:rsidRPr="00781B5A" w:rsidRDefault="00100029" w:rsidP="00100029">
            <w:pPr>
              <w:rPr>
                <w:sz w:val="20"/>
                <w:szCs w:val="20"/>
              </w:rPr>
            </w:pPr>
            <w:r>
              <w:rPr>
                <w:sz w:val="20"/>
                <w:szCs w:val="20"/>
              </w:rPr>
              <w:t>MSPEA engage with other CPCs to work towards implementing the harvest control rules and tools adopted in the fully specified management pr</w:t>
            </w:r>
            <w:r w:rsidR="001D08DA">
              <w:rPr>
                <w:sz w:val="20"/>
                <w:szCs w:val="20"/>
              </w:rPr>
              <w:t>ocedure</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F109C29" w14:textId="61320080" w:rsidR="000779F6" w:rsidRPr="00781B5A" w:rsidRDefault="0071273D" w:rsidP="000779F6">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438AE4" w14:textId="2C2FDF33" w:rsidR="000779F6" w:rsidRPr="00781B5A" w:rsidRDefault="00397108" w:rsidP="000779F6">
            <w:pPr>
              <w:rPr>
                <w:sz w:val="20"/>
                <w:szCs w:val="20"/>
              </w:rPr>
            </w:pPr>
            <w:r>
              <w:rPr>
                <w:sz w:val="20"/>
                <w:szCs w:val="20"/>
              </w:rPr>
              <w:t>MSPEA - Secretariat</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3416EE" w14:textId="77777777" w:rsidR="000779F6" w:rsidRPr="00781B5A" w:rsidRDefault="000779F6" w:rsidP="000779F6">
            <w:pPr>
              <w:rPr>
                <w:sz w:val="20"/>
                <w:szCs w:val="20"/>
              </w:rPr>
            </w:pPr>
            <w:r>
              <w:rPr>
                <w:sz w:val="20"/>
                <w:szCs w:val="20"/>
              </w:rPr>
              <w:t>March 2024</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609AF4" w14:textId="140BC1D7" w:rsidR="000779F6" w:rsidRPr="00781B5A" w:rsidRDefault="00CB704D" w:rsidP="000779F6">
            <w:pPr>
              <w:rPr>
                <w:sz w:val="20"/>
                <w:szCs w:val="20"/>
              </w:rPr>
            </w:pPr>
            <w:r>
              <w:rPr>
                <w:sz w:val="20"/>
                <w:szCs w:val="20"/>
              </w:rPr>
              <w:t>May</w:t>
            </w:r>
            <w:r w:rsidR="000779F6">
              <w:rPr>
                <w:sz w:val="20"/>
                <w:szCs w:val="20"/>
              </w:rPr>
              <w:t xml:space="preserve"> 202</w:t>
            </w:r>
            <w:r>
              <w:rPr>
                <w:sz w:val="20"/>
                <w:szCs w:val="20"/>
              </w:rPr>
              <w:t>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B254B19" w14:textId="4CE8267B" w:rsidR="000779F6" w:rsidRPr="00781B5A" w:rsidRDefault="00100029" w:rsidP="000779F6">
            <w:pPr>
              <w:rPr>
                <w:sz w:val="20"/>
                <w:szCs w:val="20"/>
              </w:rPr>
            </w:pPr>
            <w:r>
              <w:rPr>
                <w:sz w:val="20"/>
                <w:szCs w:val="20"/>
              </w:rPr>
              <w:t xml:space="preserve">Evidence of stock performance from the stock assessment – and stock status indicators. </w:t>
            </w:r>
          </w:p>
        </w:tc>
      </w:tr>
      <w:tr w:rsidR="00100029" w14:paraId="78118985" w14:textId="77777777" w:rsidTr="00100029">
        <w:trPr>
          <w:trHeight w:val="1340"/>
        </w:trPr>
        <w:tc>
          <w:tcPr>
            <w:tcW w:w="704" w:type="pct"/>
            <w:vMerge/>
            <w:tcBorders>
              <w:bottom w:val="single" w:sz="8" w:space="0" w:color="000000"/>
              <w:right w:val="single" w:sz="8" w:space="0" w:color="000000"/>
            </w:tcBorders>
            <w:shd w:val="clear" w:color="auto" w:fill="auto"/>
            <w:tcMar>
              <w:top w:w="100" w:type="dxa"/>
              <w:left w:w="100" w:type="dxa"/>
              <w:bottom w:w="100" w:type="dxa"/>
              <w:right w:w="100" w:type="dxa"/>
            </w:tcMar>
          </w:tcPr>
          <w:p w14:paraId="326601D1" w14:textId="77777777" w:rsidR="00100029" w:rsidRPr="002E0D72" w:rsidRDefault="00100029" w:rsidP="00100029">
            <w:pPr>
              <w:rPr>
                <w:highlight w:val="yellow"/>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6072F7" w14:textId="0BAA9447" w:rsidR="00100029" w:rsidRPr="00781B5A" w:rsidRDefault="00100029" w:rsidP="00100029">
            <w:pPr>
              <w:rPr>
                <w:sz w:val="20"/>
                <w:szCs w:val="20"/>
              </w:rPr>
            </w:pPr>
            <w:r>
              <w:rPr>
                <w:sz w:val="20"/>
                <w:szCs w:val="20"/>
              </w:rPr>
              <w:t xml:space="preserve">MSPEA engage with other CPCs to work towards implementing the harvest control rules </w:t>
            </w:r>
            <w:r>
              <w:rPr>
                <w:sz w:val="20"/>
                <w:szCs w:val="20"/>
              </w:rPr>
              <w:lastRenderedPageBreak/>
              <w:t xml:space="preserve">and tools adopted in the fully specified management </w:t>
            </w:r>
            <w:r w:rsidR="001D08DA">
              <w:rPr>
                <w:sz w:val="20"/>
                <w:szCs w:val="20"/>
              </w:rPr>
              <w:t>procedure</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5272A03" w14:textId="741741C7" w:rsidR="00100029" w:rsidRPr="00781B5A" w:rsidRDefault="00100029" w:rsidP="00100029">
            <w:pPr>
              <w:rPr>
                <w:sz w:val="20"/>
                <w:szCs w:val="20"/>
              </w:rPr>
            </w:pPr>
            <w:r>
              <w:rPr>
                <w:sz w:val="20"/>
                <w:szCs w:val="20"/>
              </w:rPr>
              <w:lastRenderedPageBreak/>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8380BA" w14:textId="626653C4" w:rsidR="00100029" w:rsidRPr="00781B5A" w:rsidRDefault="00397108" w:rsidP="00100029">
            <w:pPr>
              <w:rPr>
                <w:sz w:val="20"/>
                <w:szCs w:val="20"/>
              </w:rPr>
            </w:pPr>
            <w:r>
              <w:rPr>
                <w:sz w:val="20"/>
                <w:szCs w:val="20"/>
              </w:rPr>
              <w:t>MSPEA - Secretariat</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EE5AA4" w14:textId="77777777" w:rsidR="00100029" w:rsidRPr="00781B5A" w:rsidRDefault="00100029" w:rsidP="00100029">
            <w:pPr>
              <w:rPr>
                <w:sz w:val="20"/>
                <w:szCs w:val="20"/>
              </w:rPr>
            </w:pPr>
            <w:r>
              <w:rPr>
                <w:sz w:val="20"/>
                <w:szCs w:val="20"/>
              </w:rPr>
              <w:t>March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181980" w14:textId="02E988E0" w:rsidR="00100029" w:rsidRPr="00781B5A" w:rsidRDefault="00CB704D" w:rsidP="00100029">
            <w:pPr>
              <w:rPr>
                <w:sz w:val="20"/>
                <w:szCs w:val="20"/>
              </w:rPr>
            </w:pPr>
            <w:r>
              <w:rPr>
                <w:sz w:val="20"/>
                <w:szCs w:val="20"/>
              </w:rPr>
              <w:t>May</w:t>
            </w:r>
            <w:r w:rsidR="00100029">
              <w:rPr>
                <w:sz w:val="20"/>
                <w:szCs w:val="20"/>
              </w:rPr>
              <w:t xml:space="preserve"> 2026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9707C2" w14:textId="702BC93B" w:rsidR="00100029" w:rsidRPr="00100029" w:rsidRDefault="00100029" w:rsidP="00100029">
            <w:pPr>
              <w:rPr>
                <w:sz w:val="20"/>
                <w:szCs w:val="20"/>
              </w:rPr>
            </w:pPr>
            <w:r>
              <w:rPr>
                <w:sz w:val="20"/>
                <w:szCs w:val="20"/>
              </w:rPr>
              <w:t xml:space="preserve">Evidence of stock performance from the stock assessment – and stock status indicators. </w:t>
            </w:r>
          </w:p>
        </w:tc>
      </w:tr>
    </w:tbl>
    <w:p w14:paraId="53D5B0D2" w14:textId="77777777" w:rsidR="000779F6" w:rsidRDefault="000779F6" w:rsidP="000779F6">
      <w:r>
        <w:t xml:space="preserve"> </w:t>
      </w:r>
    </w:p>
    <w:p w14:paraId="0C0856F0" w14:textId="16EF5B17" w:rsidR="00DF6864" w:rsidRDefault="00DF6864">
      <w:pPr>
        <w:pBdr>
          <w:top w:val="nil"/>
          <w:left w:val="nil"/>
          <w:bottom w:val="nil"/>
          <w:right w:val="nil"/>
          <w:between w:val="nil"/>
        </w:pBdr>
        <w:spacing w:before="120" w:line="276" w:lineRule="auto"/>
      </w:pPr>
      <w:r>
        <w:br w:type="page"/>
      </w:r>
    </w:p>
    <w:p w14:paraId="77862DEF" w14:textId="77777777" w:rsidR="000779F6" w:rsidRDefault="000779F6" w:rsidP="000779F6"/>
    <w:p w14:paraId="0EFF5E3C" w14:textId="7F7A12A3" w:rsidR="000779F6" w:rsidRDefault="0037143B" w:rsidP="000779F6">
      <w:r w:rsidRPr="00F92A8E">
        <w:t>Principle 2</w:t>
      </w:r>
    </w:p>
    <w:p w14:paraId="18A763B1" w14:textId="77777777" w:rsidR="000779F6" w:rsidRDefault="000779F6" w:rsidP="000779F6"/>
    <w:p w14:paraId="68A82E9A" w14:textId="0AC9897D" w:rsidR="000779F6" w:rsidRPr="002E0D72" w:rsidRDefault="000779F6" w:rsidP="000779F6">
      <w:pPr>
        <w:pStyle w:val="Caption"/>
        <w:keepNext/>
        <w:rPr>
          <w:bCs/>
          <w:sz w:val="20"/>
          <w:szCs w:val="20"/>
          <w:lang w:val="en-GB"/>
        </w:rPr>
      </w:pPr>
      <w:r>
        <w:t xml:space="preserve">Table </w:t>
      </w:r>
      <w:r>
        <w:fldChar w:fldCharType="begin"/>
      </w:r>
      <w:r>
        <w:instrText xml:space="preserve"> SEQ Table \* ARABIC </w:instrText>
      </w:r>
      <w:r>
        <w:fldChar w:fldCharType="separate"/>
      </w:r>
      <w:r>
        <w:rPr>
          <w:noProof/>
        </w:rPr>
        <w:t>6</w:t>
      </w:r>
      <w:r>
        <w:fldChar w:fldCharType="end"/>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able for Action</w:t>
      </w:r>
      <w:r>
        <w:rPr>
          <w:b/>
          <w:sz w:val="20"/>
          <w:szCs w:val="20"/>
          <w:lang w:val="en-GB"/>
        </w:rPr>
        <w:t xml:space="preserve"> </w:t>
      </w:r>
      <w:r w:rsidR="0007102F">
        <w:rPr>
          <w:b/>
          <w:sz w:val="20"/>
          <w:szCs w:val="20"/>
          <w:lang w:val="en-GB"/>
        </w:rPr>
        <w:t>4 [PIs 2.2.2</w:t>
      </w:r>
    </w:p>
    <w:tbl>
      <w:tblPr>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0779F6" w14:paraId="216BCC8A" w14:textId="77777777" w:rsidTr="000779F6">
        <w:trPr>
          <w:trHeight w:val="20"/>
        </w:trPr>
        <w:tc>
          <w:tcPr>
            <w:tcW w:w="1735" w:type="pct"/>
            <w:tcBorders>
              <w:top w:val="single" w:sz="7" w:space="0" w:color="000000"/>
              <w:left w:val="single" w:sz="7" w:space="0" w:color="000000"/>
              <w:bottom w:val="single" w:sz="7" w:space="0" w:color="000000"/>
              <w:right w:val="single" w:sz="7" w:space="0" w:color="000000"/>
            </w:tcBorders>
          </w:tcPr>
          <w:p w14:paraId="1710B7B8" w14:textId="77777777" w:rsidR="000779F6" w:rsidDel="000B7ACA" w:rsidRDefault="000779F6" w:rsidP="000779F6">
            <w:pPr>
              <w:ind w:left="40"/>
              <w:rPr>
                <w:b/>
                <w:sz w:val="20"/>
                <w:szCs w:val="20"/>
              </w:rPr>
            </w:pPr>
            <w:r w:rsidDel="000B7ACA">
              <w:rPr>
                <w:b/>
                <w:sz w:val="20"/>
                <w:szCs w:val="20"/>
              </w:rPr>
              <w:t xml:space="preserve">Action Number and Name </w:t>
            </w:r>
          </w:p>
          <w:p w14:paraId="7764C54A" w14:textId="77777777" w:rsidR="000779F6" w:rsidRDefault="000779F6" w:rsidP="000779F6">
            <w:pPr>
              <w:ind w:left="140"/>
              <w:jc w:val="both"/>
              <w:rPr>
                <w:b/>
                <w:sz w:val="20"/>
                <w:szCs w:val="20"/>
              </w:rPr>
            </w:pPr>
            <w:r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FF1919B" w14:textId="4F6AB524" w:rsidR="000779F6" w:rsidRDefault="0007102F" w:rsidP="000779F6">
            <w:pPr>
              <w:ind w:left="140"/>
              <w:rPr>
                <w:sz w:val="20"/>
                <w:szCs w:val="20"/>
              </w:rPr>
            </w:pPr>
            <w:r>
              <w:rPr>
                <w:sz w:val="20"/>
                <w:szCs w:val="20"/>
              </w:rPr>
              <w:t>Action 4: PIs</w:t>
            </w:r>
            <w:r>
              <w:t xml:space="preserve"> </w:t>
            </w:r>
            <w:r w:rsidRPr="0007102F">
              <w:rPr>
                <w:sz w:val="20"/>
                <w:szCs w:val="20"/>
              </w:rPr>
              <w:t>2.2.2 Secondary species management strategy</w:t>
            </w:r>
            <w:r>
              <w:rPr>
                <w:sz w:val="20"/>
                <w:szCs w:val="20"/>
              </w:rPr>
              <w:t xml:space="preserve"> </w:t>
            </w:r>
          </w:p>
        </w:tc>
      </w:tr>
      <w:tr w:rsidR="000779F6" w14:paraId="7E8F7915" w14:textId="77777777" w:rsidTr="000779F6">
        <w:trPr>
          <w:trHeight w:val="580"/>
        </w:trPr>
        <w:tc>
          <w:tcPr>
            <w:tcW w:w="1735" w:type="pct"/>
            <w:tcBorders>
              <w:top w:val="nil"/>
              <w:left w:val="single" w:sz="7" w:space="0" w:color="000000"/>
              <w:bottom w:val="single" w:sz="4" w:space="0" w:color="auto"/>
              <w:right w:val="single" w:sz="7" w:space="0" w:color="000000"/>
            </w:tcBorders>
          </w:tcPr>
          <w:p w14:paraId="3F928CE5" w14:textId="77777777" w:rsidR="000779F6" w:rsidRDefault="000779F6" w:rsidP="000779F6">
            <w:pPr>
              <w:ind w:left="75"/>
              <w:jc w:val="both"/>
              <w:rPr>
                <w:b/>
                <w:sz w:val="20"/>
                <w:szCs w:val="20"/>
              </w:rPr>
            </w:pPr>
            <w:r w:rsidDel="000B7ACA">
              <w:rPr>
                <w:b/>
                <w:sz w:val="20"/>
                <w:szCs w:val="20"/>
              </w:rPr>
              <w:t xml:space="preserve">Action Goal </w:t>
            </w:r>
          </w:p>
          <w:p w14:paraId="743400F5" w14:textId="77777777" w:rsidR="000779F6" w:rsidRDefault="000779F6" w:rsidP="000779F6">
            <w:pPr>
              <w:ind w:left="165"/>
              <w:jc w:val="both"/>
              <w:rPr>
                <w:b/>
                <w:sz w:val="20"/>
                <w:szCs w:val="20"/>
              </w:rPr>
            </w:pPr>
            <w:r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0A15BA0F" w14:textId="5706F088" w:rsidR="000779F6" w:rsidRPr="00781B5A" w:rsidRDefault="005B40A1" w:rsidP="000779F6">
            <w:pPr>
              <w:ind w:left="140"/>
              <w:rPr>
                <w:sz w:val="20"/>
                <w:szCs w:val="20"/>
              </w:rPr>
            </w:pPr>
            <w:r>
              <w:rPr>
                <w:sz w:val="20"/>
                <w:szCs w:val="20"/>
              </w:rPr>
              <w:t>Identify management requirements for livebait species utilized in the HL fishery and ongoing information requirements to ensure management is appropriate.</w:t>
            </w:r>
          </w:p>
        </w:tc>
      </w:tr>
      <w:tr w:rsidR="000779F6" w14:paraId="1829FAFD" w14:textId="77777777" w:rsidTr="000779F6">
        <w:trPr>
          <w:trHeight w:val="2360"/>
        </w:trPr>
        <w:tc>
          <w:tcPr>
            <w:tcW w:w="1735" w:type="pct"/>
            <w:tcBorders>
              <w:top w:val="single" w:sz="4" w:space="0" w:color="auto"/>
              <w:left w:val="single" w:sz="8" w:space="0" w:color="000000"/>
              <w:bottom w:val="single" w:sz="8" w:space="0" w:color="000000"/>
              <w:right w:val="single" w:sz="8" w:space="0" w:color="000000"/>
            </w:tcBorders>
          </w:tcPr>
          <w:p w14:paraId="61251E34" w14:textId="77777777" w:rsidR="000779F6" w:rsidDel="000B7ACA" w:rsidRDefault="000779F6" w:rsidP="000779F6">
            <w:pPr>
              <w:ind w:left="40"/>
              <w:rPr>
                <w:b/>
                <w:sz w:val="20"/>
                <w:szCs w:val="20"/>
              </w:rPr>
            </w:pPr>
            <w:r w:rsidDel="000B7ACA">
              <w:rPr>
                <w:b/>
                <w:sz w:val="20"/>
                <w:szCs w:val="20"/>
              </w:rPr>
              <w:t xml:space="preserve">Action Description </w:t>
            </w:r>
          </w:p>
          <w:p w14:paraId="6804893B" w14:textId="77777777" w:rsidR="000779F6" w:rsidRDefault="000779F6" w:rsidP="000779F6">
            <w:pPr>
              <w:ind w:left="140"/>
              <w:rPr>
                <w:b/>
                <w:sz w:val="20"/>
                <w:szCs w:val="20"/>
              </w:rPr>
            </w:pPr>
            <w:r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4E48A3" w14:textId="77777777" w:rsidR="007574ED" w:rsidRPr="007574ED" w:rsidRDefault="007574ED" w:rsidP="007574ED">
            <w:pPr>
              <w:ind w:left="140"/>
              <w:rPr>
                <w:sz w:val="20"/>
                <w:szCs w:val="20"/>
              </w:rPr>
            </w:pPr>
            <w:r w:rsidRPr="007574ED">
              <w:rPr>
                <w:sz w:val="20"/>
                <w:szCs w:val="20"/>
              </w:rPr>
              <w:t>The Maldives already has a Livebait Management Plan that addresses the livebait used in the pole-and-line fishery. This plan was developed in preparation for the MSC certification of skipjack tuna, which was achieved in November 2012. However, the plan does not explicitly mention livebait used in the handline fishery.</w:t>
            </w:r>
          </w:p>
          <w:p w14:paraId="3A4576C6" w14:textId="77777777" w:rsidR="007574ED" w:rsidRPr="007574ED" w:rsidRDefault="007574ED" w:rsidP="007574ED">
            <w:pPr>
              <w:ind w:left="140"/>
              <w:rPr>
                <w:sz w:val="20"/>
                <w:szCs w:val="20"/>
              </w:rPr>
            </w:pPr>
          </w:p>
          <w:p w14:paraId="15EA5071" w14:textId="77777777" w:rsidR="007574ED" w:rsidRPr="007574ED" w:rsidRDefault="007574ED" w:rsidP="007574ED">
            <w:pPr>
              <w:ind w:left="140"/>
              <w:rPr>
                <w:sz w:val="20"/>
                <w:szCs w:val="20"/>
              </w:rPr>
            </w:pPr>
            <w:r w:rsidRPr="007574ED">
              <w:rPr>
                <w:sz w:val="20"/>
                <w:szCs w:val="20"/>
              </w:rPr>
              <w:t xml:space="preserve">While there is considerable overlap between the species used and the fishing methods employed in both fisheries, some variations exist. Since both fisheries fall under the same management authority, their data collection and monitoring regimes are aligned. In fact, the introduction of the </w:t>
            </w:r>
            <w:proofErr w:type="spellStart"/>
            <w:r w:rsidRPr="007574ED">
              <w:rPr>
                <w:sz w:val="20"/>
                <w:szCs w:val="20"/>
              </w:rPr>
              <w:t>Keyolhu</w:t>
            </w:r>
            <w:proofErr w:type="spellEnd"/>
            <w:r w:rsidRPr="007574ED">
              <w:rPr>
                <w:sz w:val="20"/>
                <w:szCs w:val="20"/>
              </w:rPr>
              <w:t xml:space="preserve"> app (an e-logbook for online reporting) has significantly streamlined and improved data collection for livebait use.</w:t>
            </w:r>
          </w:p>
          <w:p w14:paraId="591CAF9A" w14:textId="77777777" w:rsidR="007574ED" w:rsidRPr="007574ED" w:rsidRDefault="007574ED" w:rsidP="007574ED">
            <w:pPr>
              <w:ind w:left="140"/>
              <w:rPr>
                <w:sz w:val="20"/>
                <w:szCs w:val="20"/>
              </w:rPr>
            </w:pPr>
          </w:p>
          <w:p w14:paraId="3C899BC2" w14:textId="77777777" w:rsidR="007574ED" w:rsidRPr="007574ED" w:rsidRDefault="007574ED" w:rsidP="007574ED">
            <w:pPr>
              <w:ind w:left="140"/>
              <w:rPr>
                <w:sz w:val="20"/>
                <w:szCs w:val="20"/>
              </w:rPr>
            </w:pPr>
            <w:r w:rsidRPr="007574ED">
              <w:rPr>
                <w:sz w:val="20"/>
                <w:szCs w:val="20"/>
              </w:rPr>
              <w:t>It has been agreed that the existing Livebait Management Plan needs to be reviewed and updated to include explicit provisions for handline livebait.</w:t>
            </w:r>
          </w:p>
          <w:p w14:paraId="06294223" w14:textId="77777777" w:rsidR="007574ED" w:rsidRPr="007574ED" w:rsidRDefault="007574ED" w:rsidP="007574ED">
            <w:pPr>
              <w:ind w:left="140"/>
              <w:rPr>
                <w:sz w:val="20"/>
                <w:szCs w:val="20"/>
              </w:rPr>
            </w:pPr>
          </w:p>
          <w:p w14:paraId="33FDC4DC" w14:textId="77DAF853" w:rsidR="00FC6F51" w:rsidRDefault="007574ED" w:rsidP="007574ED">
            <w:pPr>
              <w:ind w:left="140"/>
              <w:rPr>
                <w:sz w:val="20"/>
                <w:szCs w:val="20"/>
              </w:rPr>
            </w:pPr>
            <w:r w:rsidRPr="007574ED">
              <w:rPr>
                <w:sz w:val="20"/>
                <w:szCs w:val="20"/>
              </w:rPr>
              <w:t>This process would involve a comprehensive review of existing information and a stakeholder workshop to develop a draft management plan. The draft would then undergo further review and consultation with stakeholders before final adoption. This approach ensures that livebait used in the handline fishery is legally incorporated into the monitoring and management regime, promoting consistency and sustainable practices across both fisheries.</w:t>
            </w:r>
          </w:p>
          <w:p w14:paraId="44D0C532" w14:textId="16DB7953" w:rsidR="000779F6" w:rsidRPr="00781B5A" w:rsidRDefault="000779F6" w:rsidP="006B3F70">
            <w:pPr>
              <w:rPr>
                <w:sz w:val="20"/>
                <w:szCs w:val="20"/>
              </w:rPr>
            </w:pPr>
          </w:p>
        </w:tc>
      </w:tr>
      <w:tr w:rsidR="000779F6" w14:paraId="3C65C149" w14:textId="77777777" w:rsidTr="000779F6">
        <w:trPr>
          <w:trHeight w:val="360"/>
        </w:trPr>
        <w:tc>
          <w:tcPr>
            <w:tcW w:w="1735" w:type="pct"/>
            <w:tcBorders>
              <w:top w:val="single" w:sz="8" w:space="0" w:color="000000"/>
              <w:left w:val="single" w:sz="7" w:space="0" w:color="000000"/>
              <w:bottom w:val="single" w:sz="4" w:space="0" w:color="000000"/>
              <w:right w:val="single" w:sz="7" w:space="0" w:color="000000"/>
            </w:tcBorders>
          </w:tcPr>
          <w:p w14:paraId="1D8E7E00" w14:textId="77777777" w:rsidR="000779F6" w:rsidRDefault="000779F6" w:rsidP="000779F6">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7E84816A" w14:textId="5246BA94" w:rsidR="000779F6" w:rsidRPr="002E0D72" w:rsidRDefault="00784D75" w:rsidP="000779F6">
            <w:pPr>
              <w:ind w:left="140"/>
              <w:rPr>
                <w:sz w:val="20"/>
                <w:szCs w:val="20"/>
                <w:highlight w:val="yellow"/>
              </w:rPr>
            </w:pPr>
            <w:r>
              <w:rPr>
                <w:sz w:val="20"/>
                <w:szCs w:val="20"/>
              </w:rPr>
              <w:t>May</w:t>
            </w:r>
            <w:r w:rsidR="00567F39" w:rsidRPr="00567F39">
              <w:rPr>
                <w:sz w:val="20"/>
                <w:szCs w:val="20"/>
              </w:rPr>
              <w:t xml:space="preserve"> 202</w:t>
            </w:r>
            <w:r>
              <w:rPr>
                <w:sz w:val="20"/>
                <w:szCs w:val="20"/>
              </w:rPr>
              <w:t>6</w:t>
            </w:r>
          </w:p>
        </w:tc>
      </w:tr>
      <w:tr w:rsidR="000779F6" w14:paraId="4C79B709" w14:textId="77777777" w:rsidTr="000779F6">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26B4D813" w14:textId="77777777" w:rsidR="000779F6" w:rsidDel="000B7ACA" w:rsidRDefault="000779F6" w:rsidP="000779F6">
            <w:pPr>
              <w:ind w:left="40"/>
              <w:rPr>
                <w:b/>
                <w:sz w:val="20"/>
                <w:szCs w:val="20"/>
              </w:rPr>
            </w:pPr>
            <w:r w:rsidDel="000B7ACA">
              <w:rPr>
                <w:b/>
                <w:sz w:val="20"/>
                <w:szCs w:val="20"/>
              </w:rPr>
              <w:t xml:space="preserve">Priority </w:t>
            </w:r>
          </w:p>
          <w:p w14:paraId="02D2207B" w14:textId="77777777" w:rsidR="000779F6" w:rsidRDefault="000779F6" w:rsidP="000779F6">
            <w:pPr>
              <w:ind w:left="140"/>
              <w:rPr>
                <w:b/>
                <w:sz w:val="20"/>
                <w:szCs w:val="20"/>
              </w:rPr>
            </w:pPr>
            <w:r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5234BE6A" w14:textId="4BD5192B" w:rsidR="000779F6" w:rsidRPr="009A17DA" w:rsidRDefault="00567F39" w:rsidP="000779F6">
            <w:pPr>
              <w:ind w:left="140"/>
              <w:rPr>
                <w:sz w:val="20"/>
                <w:szCs w:val="20"/>
              </w:rPr>
            </w:pPr>
            <w:r>
              <w:rPr>
                <w:sz w:val="20"/>
                <w:szCs w:val="20"/>
              </w:rPr>
              <w:t>High</w:t>
            </w:r>
            <w:r w:rsidR="005B40A1">
              <w:rPr>
                <w:sz w:val="20"/>
                <w:szCs w:val="20"/>
              </w:rPr>
              <w:t xml:space="preserve">: work should begin shortly </w:t>
            </w:r>
            <w:r>
              <w:rPr>
                <w:sz w:val="20"/>
                <w:szCs w:val="20"/>
              </w:rPr>
              <w:t xml:space="preserve">immediately </w:t>
            </w:r>
            <w:r w:rsidR="002E7696">
              <w:rPr>
                <w:sz w:val="20"/>
                <w:szCs w:val="20"/>
              </w:rPr>
              <w:t xml:space="preserve">and this has been delayed by about one year. </w:t>
            </w:r>
          </w:p>
        </w:tc>
      </w:tr>
      <w:tr w:rsidR="000779F6" w14:paraId="6835CDD5" w14:textId="77777777" w:rsidTr="000779F6">
        <w:trPr>
          <w:trHeight w:val="300"/>
        </w:trPr>
        <w:tc>
          <w:tcPr>
            <w:tcW w:w="1735" w:type="pct"/>
            <w:tcBorders>
              <w:top w:val="single" w:sz="8" w:space="0" w:color="000000"/>
              <w:left w:val="single" w:sz="7" w:space="0" w:color="000000"/>
              <w:bottom w:val="single" w:sz="4" w:space="0" w:color="auto"/>
              <w:right w:val="single" w:sz="8" w:space="0" w:color="000000"/>
            </w:tcBorders>
          </w:tcPr>
          <w:p w14:paraId="746FAC88" w14:textId="77777777" w:rsidR="000779F6" w:rsidDel="000B7ACA" w:rsidRDefault="000779F6" w:rsidP="000779F6">
            <w:pPr>
              <w:ind w:left="40"/>
              <w:rPr>
                <w:b/>
                <w:sz w:val="20"/>
                <w:szCs w:val="20"/>
              </w:rPr>
            </w:pPr>
            <w:r w:rsidDel="000B7ACA">
              <w:rPr>
                <w:b/>
                <w:sz w:val="20"/>
                <w:szCs w:val="20"/>
              </w:rPr>
              <w:t>Estimated Cost</w:t>
            </w:r>
          </w:p>
          <w:p w14:paraId="7B3ADC8E" w14:textId="77777777" w:rsidR="000779F6" w:rsidRDefault="000779F6" w:rsidP="000779F6">
            <w:pPr>
              <w:ind w:left="140"/>
              <w:rPr>
                <w:b/>
                <w:sz w:val="20"/>
                <w:szCs w:val="20"/>
              </w:rPr>
            </w:pPr>
            <w:r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2C3D3B" w14:textId="50D7D9C2" w:rsidR="000779F6" w:rsidRPr="002E0D72" w:rsidRDefault="00F67E15" w:rsidP="000779F6">
            <w:pPr>
              <w:ind w:left="140"/>
              <w:rPr>
                <w:sz w:val="20"/>
                <w:szCs w:val="20"/>
                <w:highlight w:val="yellow"/>
              </w:rPr>
            </w:pPr>
            <w:r w:rsidRPr="00F67E15">
              <w:rPr>
                <w:sz w:val="20"/>
                <w:szCs w:val="20"/>
              </w:rPr>
              <w:t xml:space="preserve">USD </w:t>
            </w:r>
            <w:r w:rsidR="002E7696">
              <w:rPr>
                <w:sz w:val="20"/>
                <w:szCs w:val="20"/>
              </w:rPr>
              <w:t>3</w:t>
            </w:r>
            <w:r w:rsidRPr="00F67E15">
              <w:rPr>
                <w:sz w:val="20"/>
                <w:szCs w:val="20"/>
              </w:rPr>
              <w:t>5,000</w:t>
            </w:r>
          </w:p>
        </w:tc>
      </w:tr>
      <w:tr w:rsidR="000779F6" w14:paraId="0E94E478" w14:textId="77777777" w:rsidTr="000779F6">
        <w:trPr>
          <w:trHeight w:val="17"/>
        </w:trPr>
        <w:tc>
          <w:tcPr>
            <w:tcW w:w="1735" w:type="pct"/>
            <w:tcBorders>
              <w:top w:val="single" w:sz="4" w:space="0" w:color="auto"/>
              <w:left w:val="single" w:sz="4" w:space="0" w:color="auto"/>
              <w:bottom w:val="single" w:sz="4" w:space="0" w:color="auto"/>
              <w:right w:val="single" w:sz="4" w:space="0" w:color="auto"/>
            </w:tcBorders>
          </w:tcPr>
          <w:p w14:paraId="73265691" w14:textId="77777777" w:rsidR="000779F6" w:rsidDel="000B7ACA" w:rsidRDefault="000779F6" w:rsidP="000779F6">
            <w:pPr>
              <w:ind w:left="40"/>
              <w:rPr>
                <w:b/>
                <w:sz w:val="20"/>
                <w:szCs w:val="20"/>
              </w:rPr>
            </w:pPr>
            <w:r w:rsidDel="000B7ACA">
              <w:rPr>
                <w:b/>
                <w:sz w:val="20"/>
                <w:szCs w:val="20"/>
              </w:rPr>
              <w:t xml:space="preserve">Responsible Parties </w:t>
            </w:r>
          </w:p>
          <w:p w14:paraId="20D3F1FD" w14:textId="77777777" w:rsidR="000779F6" w:rsidRDefault="000779F6" w:rsidP="000779F6">
            <w:pPr>
              <w:ind w:left="140"/>
              <w:rPr>
                <w:b/>
                <w:sz w:val="20"/>
                <w:szCs w:val="20"/>
              </w:rPr>
            </w:pPr>
            <w:r w:rsidDel="000B7ACA">
              <w:rPr>
                <w:sz w:val="20"/>
                <w:szCs w:val="20"/>
              </w:rPr>
              <w:lastRenderedPageBreak/>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7DF72D61" w14:textId="2D09C088" w:rsidR="000779F6" w:rsidRPr="002E0D72" w:rsidRDefault="00F67E15" w:rsidP="000779F6">
            <w:pPr>
              <w:ind w:left="140"/>
              <w:rPr>
                <w:sz w:val="20"/>
                <w:szCs w:val="20"/>
                <w:highlight w:val="yellow"/>
              </w:rPr>
            </w:pPr>
            <w:r w:rsidRPr="009A42EA">
              <w:rPr>
                <w:sz w:val="20"/>
                <w:szCs w:val="20"/>
              </w:rPr>
              <w:lastRenderedPageBreak/>
              <w:t>MSPEA</w:t>
            </w:r>
            <w:r w:rsidR="002E7696">
              <w:rPr>
                <w:sz w:val="20"/>
                <w:szCs w:val="20"/>
              </w:rPr>
              <w:t xml:space="preserve"> (members of MSPEA)</w:t>
            </w:r>
            <w:r w:rsidRPr="009A42EA">
              <w:rPr>
                <w:sz w:val="20"/>
                <w:szCs w:val="20"/>
              </w:rPr>
              <w:t xml:space="preserve"> / Ministry of Fisheries,</w:t>
            </w:r>
            <w:r w:rsidR="002E7696">
              <w:rPr>
                <w:sz w:val="20"/>
                <w:szCs w:val="20"/>
              </w:rPr>
              <w:t xml:space="preserve"> and Ocean Resources</w:t>
            </w:r>
          </w:p>
        </w:tc>
      </w:tr>
      <w:tr w:rsidR="000779F6" w14:paraId="7F12DCC8" w14:textId="77777777" w:rsidTr="000779F6">
        <w:trPr>
          <w:trHeight w:val="320"/>
        </w:trPr>
        <w:tc>
          <w:tcPr>
            <w:tcW w:w="1735" w:type="pct"/>
            <w:tcBorders>
              <w:top w:val="single" w:sz="4" w:space="0" w:color="auto"/>
              <w:left w:val="single" w:sz="7" w:space="0" w:color="000000"/>
              <w:bottom w:val="single" w:sz="7" w:space="0" w:color="000000"/>
              <w:right w:val="single" w:sz="7" w:space="0" w:color="000000"/>
            </w:tcBorders>
          </w:tcPr>
          <w:p w14:paraId="010D7763" w14:textId="77777777" w:rsidR="000779F6" w:rsidRDefault="000779F6" w:rsidP="000779F6">
            <w:pPr>
              <w:ind w:left="75"/>
              <w:rPr>
                <w:b/>
                <w:sz w:val="20"/>
                <w:szCs w:val="20"/>
              </w:rPr>
            </w:pPr>
            <w:r w:rsidDel="000B7ACA">
              <w:rPr>
                <w:b/>
                <w:sz w:val="20"/>
                <w:szCs w:val="20"/>
              </w:rPr>
              <w:t>MSC PI(s) Addressed by the Action</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D9397B1" w14:textId="39B6E254" w:rsidR="005B40A1" w:rsidRDefault="005B40A1" w:rsidP="000779F6">
            <w:pPr>
              <w:ind w:left="140"/>
              <w:rPr>
                <w:sz w:val="20"/>
                <w:szCs w:val="20"/>
              </w:rPr>
            </w:pPr>
            <w:r w:rsidRPr="005B40A1">
              <w:rPr>
                <w:sz w:val="20"/>
                <w:szCs w:val="20"/>
              </w:rPr>
              <w:t>PI 2.2.2 – Secondary species management strategy</w:t>
            </w:r>
          </w:p>
          <w:p w14:paraId="472C06EF" w14:textId="7DC6DAF2" w:rsidR="000779F6" w:rsidRPr="002E0D72" w:rsidRDefault="000779F6" w:rsidP="000779F6">
            <w:pPr>
              <w:ind w:left="140"/>
              <w:rPr>
                <w:sz w:val="20"/>
                <w:szCs w:val="20"/>
                <w:highlight w:val="yellow"/>
              </w:rPr>
            </w:pPr>
          </w:p>
        </w:tc>
      </w:tr>
    </w:tbl>
    <w:p w14:paraId="11ACDC52" w14:textId="77777777" w:rsidR="000779F6" w:rsidRDefault="000779F6" w:rsidP="000779F6">
      <w:pPr>
        <w:rPr>
          <w:sz w:val="20"/>
          <w:szCs w:val="20"/>
        </w:rPr>
      </w:pPr>
      <w:r>
        <w:rPr>
          <w:sz w:val="20"/>
          <w:szCs w:val="20"/>
        </w:rPr>
        <w:t xml:space="preserve"> </w:t>
      </w:r>
    </w:p>
    <w:p w14:paraId="2F8CEC6A" w14:textId="77777777" w:rsidR="000779F6" w:rsidRDefault="000779F6" w:rsidP="000779F6">
      <w:pPr>
        <w:rPr>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0779F6" w14:paraId="0E5C8BB4" w14:textId="77777777" w:rsidTr="005B40A1">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5661F1" w14:textId="34010C95" w:rsidR="000779F6" w:rsidRDefault="000779F6" w:rsidP="000779F6">
            <w:pPr>
              <w:rPr>
                <w:b/>
                <w:sz w:val="20"/>
                <w:szCs w:val="20"/>
              </w:rPr>
            </w:pPr>
            <w:r>
              <w:rPr>
                <w:b/>
                <w:sz w:val="20"/>
                <w:szCs w:val="20"/>
              </w:rPr>
              <w:t>Action</w:t>
            </w:r>
            <w:r w:rsidR="005B40A1">
              <w:rPr>
                <w:b/>
                <w:sz w:val="20"/>
                <w:szCs w:val="20"/>
              </w:rPr>
              <w:t xml:space="preserve"> 4</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F846AD" w14:textId="77777777" w:rsidR="000779F6" w:rsidRDefault="000779F6" w:rsidP="000779F6">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BC1271" w14:textId="77777777" w:rsidR="000779F6" w:rsidRDefault="000779F6" w:rsidP="000779F6">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51C70B6" w14:textId="77777777" w:rsidR="000779F6" w:rsidRDefault="000779F6" w:rsidP="000779F6">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1CD308" w14:textId="77777777" w:rsidR="000779F6" w:rsidRDefault="000779F6" w:rsidP="000779F6">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D8965F" w14:textId="77777777" w:rsidR="000779F6" w:rsidRDefault="000779F6" w:rsidP="000779F6">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0DAAC2" w14:textId="77777777" w:rsidR="000779F6" w:rsidRDefault="000779F6" w:rsidP="000779F6">
            <w:pPr>
              <w:rPr>
                <w:b/>
                <w:sz w:val="20"/>
                <w:szCs w:val="20"/>
              </w:rPr>
            </w:pPr>
            <w:r>
              <w:rPr>
                <w:b/>
                <w:sz w:val="20"/>
                <w:szCs w:val="20"/>
              </w:rPr>
              <w:t>Evidence of completion / results</w:t>
            </w:r>
          </w:p>
        </w:tc>
      </w:tr>
      <w:tr w:rsidR="000779F6" w14:paraId="1AEB06C5" w14:textId="77777777" w:rsidTr="005B40A1">
        <w:trPr>
          <w:trHeight w:val="1340"/>
        </w:trPr>
        <w:tc>
          <w:tcPr>
            <w:tcW w:w="704" w:type="pct"/>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FFBE78" w14:textId="77777777" w:rsidR="00B454E4" w:rsidRDefault="005B40A1" w:rsidP="000779F6">
            <w:pPr>
              <w:rPr>
                <w:sz w:val="20"/>
                <w:szCs w:val="20"/>
              </w:rPr>
            </w:pPr>
            <w:r w:rsidRPr="005B40A1">
              <w:rPr>
                <w:sz w:val="20"/>
                <w:szCs w:val="20"/>
              </w:rPr>
              <w:t>2.2.2/</w:t>
            </w:r>
          </w:p>
          <w:p w14:paraId="0F6826D9" w14:textId="7F68E400" w:rsidR="000779F6" w:rsidRPr="002E0D72" w:rsidRDefault="005B40A1" w:rsidP="000779F6">
            <w:pPr>
              <w:rPr>
                <w:sz w:val="20"/>
                <w:szCs w:val="20"/>
                <w:highlight w:val="yellow"/>
              </w:rPr>
            </w:pPr>
            <w:r w:rsidRPr="005B40A1">
              <w:rPr>
                <w:sz w:val="20"/>
                <w:szCs w:val="20"/>
              </w:rPr>
              <w:t>Secondary species management strategy and information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A7DD36" w14:textId="77777777" w:rsidR="000779F6" w:rsidRDefault="005B40A1" w:rsidP="000779F6">
            <w:pPr>
              <w:rPr>
                <w:sz w:val="20"/>
                <w:szCs w:val="20"/>
              </w:rPr>
            </w:pPr>
            <w:r>
              <w:rPr>
                <w:sz w:val="20"/>
                <w:szCs w:val="20"/>
              </w:rPr>
              <w:t>Identify all stakeholders involved with the HL fishery able to provide perspectives on livebait usage and management</w:t>
            </w:r>
          </w:p>
          <w:p w14:paraId="29A71DFD" w14:textId="73A5C5F2" w:rsidR="00100029" w:rsidRPr="00781B5A" w:rsidRDefault="00100029" w:rsidP="000779F6">
            <w:pPr>
              <w:rPr>
                <w:sz w:val="20"/>
                <w:szCs w:val="20"/>
              </w:rPr>
            </w:pP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362D82" w14:textId="260D81D1" w:rsidR="000779F6" w:rsidRPr="00781B5A" w:rsidRDefault="00100029" w:rsidP="000779F6">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7C895A" w14:textId="77777777" w:rsidR="000779F6" w:rsidRPr="00781B5A" w:rsidRDefault="000779F6" w:rsidP="000779F6">
            <w:pPr>
              <w:rPr>
                <w:sz w:val="20"/>
                <w:szCs w:val="20"/>
              </w:rPr>
            </w:pP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AE1338" w14:textId="1EF9E5FE" w:rsidR="000779F6" w:rsidRPr="00781B5A" w:rsidRDefault="00B454E4" w:rsidP="000779F6">
            <w:pPr>
              <w:rPr>
                <w:sz w:val="20"/>
                <w:szCs w:val="20"/>
              </w:rPr>
            </w:pPr>
            <w:r>
              <w:rPr>
                <w:sz w:val="20"/>
                <w:szCs w:val="20"/>
              </w:rPr>
              <w:t>Nov</w:t>
            </w:r>
            <w:r w:rsidR="000779F6" w:rsidRPr="00781B5A">
              <w:rPr>
                <w:sz w:val="20"/>
                <w:szCs w:val="20"/>
              </w:rPr>
              <w:t xml:space="preserve"> </w:t>
            </w:r>
            <w:r>
              <w:rPr>
                <w:sz w:val="20"/>
                <w:szCs w:val="20"/>
              </w:rPr>
              <w:t>2024</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2416CC" w14:textId="7469B877" w:rsidR="000779F6" w:rsidRPr="00781B5A" w:rsidRDefault="002E3E04" w:rsidP="000779F6">
            <w:pPr>
              <w:rPr>
                <w:sz w:val="20"/>
                <w:szCs w:val="20"/>
              </w:rPr>
            </w:pPr>
            <w:r>
              <w:rPr>
                <w:sz w:val="20"/>
                <w:szCs w:val="20"/>
              </w:rPr>
              <w:t>Jan</w:t>
            </w:r>
            <w:r w:rsidR="00B454E4">
              <w:rPr>
                <w:sz w:val="20"/>
                <w:szCs w:val="20"/>
              </w:rPr>
              <w:t xml:space="preserve"> </w:t>
            </w:r>
            <w:r w:rsidR="00DB4095">
              <w:rPr>
                <w:sz w:val="20"/>
                <w:szCs w:val="20"/>
              </w:rPr>
              <w:t>2025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8B6694" w14:textId="1C8BD84A" w:rsidR="000779F6" w:rsidRPr="00781B5A" w:rsidRDefault="00851594" w:rsidP="000779F6">
            <w:pPr>
              <w:rPr>
                <w:sz w:val="20"/>
                <w:szCs w:val="20"/>
              </w:rPr>
            </w:pPr>
            <w:r>
              <w:rPr>
                <w:sz w:val="20"/>
                <w:szCs w:val="20"/>
              </w:rPr>
              <w:t>Minutes of the meeting and a short report of the outcome</w:t>
            </w:r>
          </w:p>
        </w:tc>
      </w:tr>
      <w:tr w:rsidR="000779F6" w14:paraId="262A46CF" w14:textId="77777777" w:rsidTr="005B40A1">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6F8696" w14:textId="77777777" w:rsidR="000779F6" w:rsidRPr="00781B5A" w:rsidRDefault="000779F6" w:rsidP="000779F6">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D5AD89" w14:textId="3F885EEA" w:rsidR="000779F6" w:rsidRDefault="000A6172" w:rsidP="000779F6">
            <w:pPr>
              <w:rPr>
                <w:sz w:val="20"/>
                <w:szCs w:val="20"/>
              </w:rPr>
            </w:pPr>
            <w:r>
              <w:rPr>
                <w:sz w:val="20"/>
                <w:szCs w:val="20"/>
              </w:rPr>
              <w:t>Coordinate stakeholders to c</w:t>
            </w:r>
            <w:r w:rsidR="005B40A1">
              <w:rPr>
                <w:sz w:val="20"/>
                <w:szCs w:val="20"/>
              </w:rPr>
              <w:t xml:space="preserve">arry out </w:t>
            </w:r>
            <w:r w:rsidR="00957CF8">
              <w:rPr>
                <w:sz w:val="20"/>
                <w:szCs w:val="20"/>
              </w:rPr>
              <w:t xml:space="preserve">workshop to identify and </w:t>
            </w:r>
            <w:r w:rsidR="009B2812">
              <w:rPr>
                <w:sz w:val="20"/>
                <w:szCs w:val="20"/>
              </w:rPr>
              <w:t>prioritize management</w:t>
            </w:r>
            <w:r w:rsidR="00957CF8">
              <w:rPr>
                <w:sz w:val="20"/>
                <w:szCs w:val="20"/>
              </w:rPr>
              <w:t xml:space="preserve"> actions that can be agreed upon </w:t>
            </w:r>
            <w:r w:rsidR="005B40A1">
              <w:rPr>
                <w:sz w:val="20"/>
                <w:szCs w:val="20"/>
              </w:rPr>
              <w:t xml:space="preserve"> (or all secondary species if wished) and identify vulnerabilities and applicable management measures</w:t>
            </w:r>
            <w:r>
              <w:rPr>
                <w:sz w:val="20"/>
                <w:szCs w:val="20"/>
              </w:rPr>
              <w:t>. Identify any further management requirements.</w:t>
            </w:r>
          </w:p>
          <w:p w14:paraId="5972A9F6" w14:textId="77777777" w:rsidR="00187603" w:rsidRDefault="00187603" w:rsidP="000779F6">
            <w:pPr>
              <w:rPr>
                <w:sz w:val="20"/>
                <w:szCs w:val="20"/>
              </w:rPr>
            </w:pPr>
          </w:p>
          <w:p w14:paraId="628B0C38" w14:textId="77DE23AD" w:rsidR="00187603" w:rsidRPr="00781B5A" w:rsidRDefault="00187603" w:rsidP="000779F6">
            <w:pPr>
              <w:rPr>
                <w:sz w:val="20"/>
                <w:szCs w:val="20"/>
              </w:rPr>
            </w:pP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60B77C" w14:textId="1F9D4251" w:rsidR="000779F6" w:rsidRPr="00781B5A" w:rsidRDefault="00100029" w:rsidP="000779F6">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6BBC2F" w14:textId="77777777" w:rsidR="000779F6" w:rsidRPr="00781B5A" w:rsidRDefault="000779F6" w:rsidP="000779F6">
            <w:pPr>
              <w:rPr>
                <w:sz w:val="20"/>
                <w:szCs w:val="20"/>
              </w:rPr>
            </w:pP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1F0A06" w14:textId="157D9826" w:rsidR="000779F6" w:rsidRPr="00781B5A" w:rsidRDefault="009B2812" w:rsidP="000779F6">
            <w:pPr>
              <w:rPr>
                <w:sz w:val="20"/>
                <w:szCs w:val="20"/>
              </w:rPr>
            </w:pPr>
            <w:r>
              <w:rPr>
                <w:sz w:val="20"/>
                <w:szCs w:val="20"/>
              </w:rPr>
              <w:t>Nov</w:t>
            </w:r>
            <w:r w:rsidR="000779F6">
              <w:rPr>
                <w:sz w:val="20"/>
                <w:szCs w:val="20"/>
              </w:rPr>
              <w:t xml:space="preserve"> </w:t>
            </w:r>
            <w:r>
              <w:rPr>
                <w:sz w:val="20"/>
                <w:szCs w:val="20"/>
              </w:rPr>
              <w:t>2024</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D075CC" w14:textId="27976EF6" w:rsidR="000779F6" w:rsidRPr="00781B5A" w:rsidRDefault="002E3E04" w:rsidP="000779F6">
            <w:pPr>
              <w:rPr>
                <w:sz w:val="20"/>
                <w:szCs w:val="20"/>
              </w:rPr>
            </w:pPr>
            <w:r>
              <w:rPr>
                <w:sz w:val="20"/>
                <w:szCs w:val="20"/>
              </w:rPr>
              <w:t>March</w:t>
            </w:r>
            <w:r w:rsidR="000779F6">
              <w:rPr>
                <w:sz w:val="20"/>
                <w:szCs w:val="20"/>
              </w:rPr>
              <w:t xml:space="preserve"> </w:t>
            </w:r>
            <w:r>
              <w:rPr>
                <w:sz w:val="20"/>
                <w:szCs w:val="20"/>
              </w:rPr>
              <w:t>2025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44096C" w14:textId="15ADAA27" w:rsidR="000779F6" w:rsidRPr="00781B5A" w:rsidRDefault="003C05E5" w:rsidP="000779F6">
            <w:pPr>
              <w:rPr>
                <w:sz w:val="20"/>
                <w:szCs w:val="20"/>
              </w:rPr>
            </w:pPr>
            <w:r>
              <w:rPr>
                <w:sz w:val="20"/>
                <w:szCs w:val="20"/>
              </w:rPr>
              <w:t xml:space="preserve">Results of the </w:t>
            </w:r>
            <w:r w:rsidR="00F547E6">
              <w:rPr>
                <w:sz w:val="20"/>
                <w:szCs w:val="20"/>
              </w:rPr>
              <w:t xml:space="preserve">workshop </w:t>
            </w:r>
            <w:r>
              <w:rPr>
                <w:sz w:val="20"/>
                <w:szCs w:val="20"/>
              </w:rPr>
              <w:t xml:space="preserve">exercise </w:t>
            </w:r>
            <w:r w:rsidR="00DF6864">
              <w:rPr>
                <w:sz w:val="20"/>
                <w:szCs w:val="20"/>
              </w:rPr>
              <w:t>and identifying</w:t>
            </w:r>
            <w:r>
              <w:rPr>
                <w:sz w:val="20"/>
                <w:szCs w:val="20"/>
              </w:rPr>
              <w:t xml:space="preserve">  </w:t>
            </w:r>
            <w:r w:rsidR="004722A7">
              <w:rPr>
                <w:sz w:val="20"/>
                <w:szCs w:val="20"/>
              </w:rPr>
              <w:t xml:space="preserve">and agreeing </w:t>
            </w:r>
            <w:r>
              <w:rPr>
                <w:sz w:val="20"/>
                <w:szCs w:val="20"/>
              </w:rPr>
              <w:t xml:space="preserve">applicable management measures </w:t>
            </w:r>
          </w:p>
        </w:tc>
      </w:tr>
      <w:tr w:rsidR="000779F6" w14:paraId="56EDD3FC" w14:textId="77777777" w:rsidTr="005B40A1">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EB2D1F" w14:textId="77777777" w:rsidR="000779F6" w:rsidRPr="00781B5A" w:rsidRDefault="000779F6" w:rsidP="000779F6">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2EC165" w14:textId="7F22374A" w:rsidR="000779F6" w:rsidRPr="00781B5A" w:rsidRDefault="000A6172" w:rsidP="000779F6">
            <w:pPr>
              <w:rPr>
                <w:sz w:val="20"/>
                <w:szCs w:val="20"/>
              </w:rPr>
            </w:pPr>
            <w:r>
              <w:rPr>
                <w:sz w:val="20"/>
                <w:szCs w:val="20"/>
              </w:rPr>
              <w:t>Scope any additional management measures and/or monitoring requirements needed</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BE364E" w14:textId="51F4887F" w:rsidR="000779F6" w:rsidRPr="00781B5A" w:rsidRDefault="00100029" w:rsidP="000779F6">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36166A" w14:textId="77777777" w:rsidR="000779F6" w:rsidRPr="00781B5A" w:rsidRDefault="000779F6" w:rsidP="000779F6">
            <w:pPr>
              <w:rPr>
                <w:sz w:val="20"/>
                <w:szCs w:val="20"/>
              </w:rPr>
            </w:pP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06D6AC" w14:textId="738CD808" w:rsidR="000779F6" w:rsidRPr="00781B5A" w:rsidRDefault="00671001" w:rsidP="000779F6">
            <w:pPr>
              <w:rPr>
                <w:sz w:val="20"/>
                <w:szCs w:val="20"/>
              </w:rPr>
            </w:pPr>
            <w:r>
              <w:rPr>
                <w:sz w:val="20"/>
                <w:szCs w:val="20"/>
              </w:rPr>
              <w:t>March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66491E" w14:textId="6546E11D" w:rsidR="000779F6" w:rsidRPr="00781B5A" w:rsidRDefault="00671001" w:rsidP="000779F6">
            <w:pPr>
              <w:rPr>
                <w:sz w:val="20"/>
                <w:szCs w:val="20"/>
              </w:rPr>
            </w:pPr>
            <w:r>
              <w:rPr>
                <w:sz w:val="20"/>
                <w:szCs w:val="20"/>
              </w:rPr>
              <w:t>June</w:t>
            </w:r>
            <w:r w:rsidR="000779F6">
              <w:rPr>
                <w:sz w:val="20"/>
                <w:szCs w:val="20"/>
              </w:rPr>
              <w:t xml:space="preserve"> </w:t>
            </w:r>
            <w:r>
              <w:rPr>
                <w:sz w:val="20"/>
                <w:szCs w:val="20"/>
              </w:rPr>
              <w:t>2025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0FEC6D" w14:textId="2B350991" w:rsidR="000779F6" w:rsidRPr="00781B5A" w:rsidRDefault="003C05E5" w:rsidP="000779F6">
            <w:pPr>
              <w:rPr>
                <w:sz w:val="20"/>
                <w:szCs w:val="20"/>
              </w:rPr>
            </w:pPr>
            <w:r>
              <w:rPr>
                <w:sz w:val="20"/>
                <w:szCs w:val="20"/>
              </w:rPr>
              <w:t xml:space="preserve">Scoping document of the management requirements </w:t>
            </w:r>
          </w:p>
        </w:tc>
      </w:tr>
      <w:tr w:rsidR="003C05E5" w14:paraId="78AD6AA4" w14:textId="77777777" w:rsidTr="005B40A1">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EA41D6" w14:textId="77777777" w:rsidR="003C05E5" w:rsidRPr="00781B5A" w:rsidRDefault="003C05E5" w:rsidP="003C05E5">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ECA009" w14:textId="7E329494" w:rsidR="003C05E5" w:rsidRPr="00781B5A" w:rsidRDefault="003C05E5" w:rsidP="003C05E5">
            <w:pPr>
              <w:rPr>
                <w:sz w:val="20"/>
                <w:szCs w:val="20"/>
              </w:rPr>
            </w:pPr>
            <w:r>
              <w:rPr>
                <w:sz w:val="20"/>
                <w:szCs w:val="20"/>
              </w:rPr>
              <w:t xml:space="preserve">Implement </w:t>
            </w:r>
            <w:r w:rsidRPr="000A6172">
              <w:rPr>
                <w:sz w:val="20"/>
                <w:szCs w:val="20"/>
              </w:rPr>
              <w:t xml:space="preserve">management measures and monitoring </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C44553" w14:textId="0BE13E7E" w:rsidR="003C05E5" w:rsidRPr="00781B5A" w:rsidRDefault="003C05E5" w:rsidP="003C05E5">
            <w:pPr>
              <w:rPr>
                <w:sz w:val="20"/>
                <w:szCs w:val="20"/>
              </w:rPr>
            </w:pPr>
            <w:r>
              <w:rPr>
                <w:sz w:val="20"/>
                <w:szCs w:val="20"/>
              </w:rPr>
              <w:t xml:space="preserve">MSPEA / </w:t>
            </w:r>
            <w:proofErr w:type="spellStart"/>
            <w:r w:rsidR="00CA3004">
              <w:rPr>
                <w:sz w:val="20"/>
                <w:szCs w:val="20"/>
              </w:rPr>
              <w:t>MoFOR</w:t>
            </w:r>
            <w:proofErr w:type="spellEnd"/>
            <w:r w:rsidR="00CA3004">
              <w:rPr>
                <w:sz w:val="20"/>
                <w:szCs w:val="20"/>
              </w:rPr>
              <w:t xml:space="preserve"> </w:t>
            </w:r>
            <w:r>
              <w:rPr>
                <w:sz w:val="20"/>
                <w:szCs w:val="20"/>
              </w:rPr>
              <w:t>and MMRI and with relevant with stakeholders</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A442A3" w14:textId="77777777" w:rsidR="003C05E5" w:rsidRPr="00781B5A" w:rsidRDefault="003C05E5" w:rsidP="003C05E5">
            <w:pPr>
              <w:rPr>
                <w:sz w:val="20"/>
                <w:szCs w:val="20"/>
              </w:rPr>
            </w:pP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9D5DFB" w14:textId="5466E6DF" w:rsidR="003C05E5" w:rsidRPr="00781B5A" w:rsidRDefault="003A4EAC" w:rsidP="003C05E5">
            <w:pPr>
              <w:rPr>
                <w:sz w:val="20"/>
                <w:szCs w:val="20"/>
              </w:rPr>
            </w:pPr>
            <w:r>
              <w:rPr>
                <w:sz w:val="20"/>
                <w:szCs w:val="20"/>
              </w:rPr>
              <w:t xml:space="preserve">June 2025 </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2B15D7" w14:textId="13A31810" w:rsidR="003C05E5" w:rsidRPr="00781B5A" w:rsidRDefault="003A4EAC" w:rsidP="003C05E5">
            <w:pPr>
              <w:rPr>
                <w:sz w:val="20"/>
                <w:szCs w:val="20"/>
              </w:rPr>
            </w:pPr>
            <w:r>
              <w:rPr>
                <w:sz w:val="20"/>
                <w:szCs w:val="20"/>
              </w:rPr>
              <w:t xml:space="preserve">May </w:t>
            </w:r>
            <w:r w:rsidR="003C05E5">
              <w:rPr>
                <w:sz w:val="20"/>
                <w:szCs w:val="20"/>
              </w:rPr>
              <w:t>202</w:t>
            </w:r>
            <w:r>
              <w:rPr>
                <w:sz w:val="20"/>
                <w:szCs w:val="20"/>
              </w:rPr>
              <w:t>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6F34F0" w14:textId="77777777" w:rsidR="003C05E5" w:rsidRDefault="003C05E5" w:rsidP="003C05E5">
            <w:r w:rsidRPr="000A6172">
              <w:rPr>
                <w:sz w:val="20"/>
                <w:szCs w:val="20"/>
              </w:rPr>
              <w:t xml:space="preserve">There is evidence that the measures/ partial strategy </w:t>
            </w:r>
            <w:r>
              <w:rPr>
                <w:sz w:val="20"/>
                <w:szCs w:val="20"/>
              </w:rPr>
              <w:t>are</w:t>
            </w:r>
            <w:r w:rsidRPr="000A6172">
              <w:rPr>
                <w:sz w:val="20"/>
                <w:szCs w:val="20"/>
              </w:rPr>
              <w:t xml:space="preserve"> being implemented successfully.</w:t>
            </w:r>
            <w:r>
              <w:t xml:space="preserve"> </w:t>
            </w:r>
          </w:p>
          <w:p w14:paraId="48F1A0AA" w14:textId="524ECAD4" w:rsidR="003C05E5" w:rsidRPr="00781B5A" w:rsidRDefault="003C05E5" w:rsidP="003C05E5">
            <w:pPr>
              <w:rPr>
                <w:sz w:val="20"/>
                <w:szCs w:val="20"/>
              </w:rPr>
            </w:pPr>
            <w:r w:rsidRPr="000A6172">
              <w:rPr>
                <w:sz w:val="20"/>
                <w:szCs w:val="20"/>
              </w:rPr>
              <w:t xml:space="preserve">Information is adequate to support </w:t>
            </w:r>
            <w:r>
              <w:rPr>
                <w:sz w:val="20"/>
                <w:szCs w:val="20"/>
              </w:rPr>
              <w:t>the</w:t>
            </w:r>
            <w:r w:rsidRPr="000A6172">
              <w:rPr>
                <w:sz w:val="20"/>
                <w:szCs w:val="20"/>
              </w:rPr>
              <w:t xml:space="preserve"> partial strategy to manage main </w:t>
            </w:r>
            <w:r>
              <w:rPr>
                <w:sz w:val="20"/>
                <w:szCs w:val="20"/>
              </w:rPr>
              <w:t xml:space="preserve">baitfish </w:t>
            </w:r>
            <w:r w:rsidRPr="000A6172">
              <w:rPr>
                <w:sz w:val="20"/>
                <w:szCs w:val="20"/>
              </w:rPr>
              <w:t>species.</w:t>
            </w:r>
          </w:p>
        </w:tc>
      </w:tr>
    </w:tbl>
    <w:p w14:paraId="497D38AC" w14:textId="77777777" w:rsidR="000779F6" w:rsidRDefault="000779F6" w:rsidP="000779F6">
      <w:r>
        <w:t xml:space="preserve"> </w:t>
      </w:r>
    </w:p>
    <w:p w14:paraId="14B8C23D" w14:textId="77777777" w:rsidR="000779F6" w:rsidRDefault="000779F6" w:rsidP="000779F6"/>
    <w:sectPr w:rsidR="000779F6" w:rsidSect="006A01AB">
      <w:pgSz w:w="15840" w:h="12240" w:orient="landscape"/>
      <w:pgMar w:top="72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81C21" w14:textId="77777777" w:rsidR="006C0EAA" w:rsidRDefault="006C0EAA">
      <w:r>
        <w:separator/>
      </w:r>
    </w:p>
  </w:endnote>
  <w:endnote w:type="continuationSeparator" w:id="0">
    <w:p w14:paraId="426BEB09" w14:textId="77777777" w:rsidR="006C0EAA" w:rsidRDefault="006C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roxima Nova">
    <w:panose1 w:val="02000506030000020004"/>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E8DCF" w14:textId="77777777" w:rsidR="006C0EAA" w:rsidRDefault="006C0EAA">
      <w:r>
        <w:separator/>
      </w:r>
    </w:p>
  </w:footnote>
  <w:footnote w:type="continuationSeparator" w:id="0">
    <w:p w14:paraId="65E6F9C9" w14:textId="77777777" w:rsidR="006C0EAA" w:rsidRDefault="006C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654390">
    <w:abstractNumId w:val="9"/>
  </w:num>
  <w:num w:numId="2" w16cid:durableId="53086974">
    <w:abstractNumId w:val="4"/>
  </w:num>
  <w:num w:numId="3" w16cid:durableId="559437279">
    <w:abstractNumId w:val="1"/>
  </w:num>
  <w:num w:numId="4" w16cid:durableId="1887181527">
    <w:abstractNumId w:val="2"/>
  </w:num>
  <w:num w:numId="5" w16cid:durableId="1333802269">
    <w:abstractNumId w:val="5"/>
  </w:num>
  <w:num w:numId="6" w16cid:durableId="1473718910">
    <w:abstractNumId w:val="3"/>
  </w:num>
  <w:num w:numId="7" w16cid:durableId="1025793986">
    <w:abstractNumId w:val="6"/>
  </w:num>
  <w:num w:numId="8" w16cid:durableId="519274164">
    <w:abstractNumId w:val="7"/>
  </w:num>
  <w:num w:numId="9" w16cid:durableId="533612396">
    <w:abstractNumId w:val="8"/>
  </w:num>
  <w:num w:numId="10" w16cid:durableId="1054934018">
    <w:abstractNumId w:val="0"/>
  </w:num>
  <w:num w:numId="11" w16cid:durableId="2055305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DQyNzY2NbUwMTJW0lEKTi0uzszPAymwrAUAp1ogBywAAAA="/>
  </w:docVars>
  <w:rsids>
    <w:rsidRoot w:val="00D94EED"/>
    <w:rsid w:val="000010ED"/>
    <w:rsid w:val="00002D80"/>
    <w:rsid w:val="0000713C"/>
    <w:rsid w:val="000125B3"/>
    <w:rsid w:val="00013C73"/>
    <w:rsid w:val="00020074"/>
    <w:rsid w:val="00024F9F"/>
    <w:rsid w:val="000409A4"/>
    <w:rsid w:val="000417FD"/>
    <w:rsid w:val="00046A3B"/>
    <w:rsid w:val="00053CB7"/>
    <w:rsid w:val="00060044"/>
    <w:rsid w:val="00066548"/>
    <w:rsid w:val="00070AFF"/>
    <w:rsid w:val="0007102F"/>
    <w:rsid w:val="00071CD8"/>
    <w:rsid w:val="000736D2"/>
    <w:rsid w:val="000779F6"/>
    <w:rsid w:val="000A3933"/>
    <w:rsid w:val="000A6172"/>
    <w:rsid w:val="000B7ACA"/>
    <w:rsid w:val="000D33D9"/>
    <w:rsid w:val="000E38D6"/>
    <w:rsid w:val="000E407C"/>
    <w:rsid w:val="000F6D2F"/>
    <w:rsid w:val="00100029"/>
    <w:rsid w:val="00102D40"/>
    <w:rsid w:val="00125885"/>
    <w:rsid w:val="001267B4"/>
    <w:rsid w:val="001273BE"/>
    <w:rsid w:val="00137149"/>
    <w:rsid w:val="00137F58"/>
    <w:rsid w:val="001433ED"/>
    <w:rsid w:val="00157FF2"/>
    <w:rsid w:val="0016189C"/>
    <w:rsid w:val="00171C76"/>
    <w:rsid w:val="001741FE"/>
    <w:rsid w:val="00176952"/>
    <w:rsid w:val="00184130"/>
    <w:rsid w:val="00187603"/>
    <w:rsid w:val="001A119B"/>
    <w:rsid w:val="001B13A5"/>
    <w:rsid w:val="001B52E0"/>
    <w:rsid w:val="001B6964"/>
    <w:rsid w:val="001D08DA"/>
    <w:rsid w:val="001D686E"/>
    <w:rsid w:val="001D761D"/>
    <w:rsid w:val="001F5045"/>
    <w:rsid w:val="00206C52"/>
    <w:rsid w:val="00215A9B"/>
    <w:rsid w:val="00221113"/>
    <w:rsid w:val="00225DDF"/>
    <w:rsid w:val="00226531"/>
    <w:rsid w:val="00227D77"/>
    <w:rsid w:val="00245324"/>
    <w:rsid w:val="00263E6A"/>
    <w:rsid w:val="00270330"/>
    <w:rsid w:val="00286EB1"/>
    <w:rsid w:val="002A58FD"/>
    <w:rsid w:val="002A6520"/>
    <w:rsid w:val="002A7630"/>
    <w:rsid w:val="002C1C51"/>
    <w:rsid w:val="002D5841"/>
    <w:rsid w:val="002E0D72"/>
    <w:rsid w:val="002E3BD2"/>
    <w:rsid w:val="002E3E04"/>
    <w:rsid w:val="002E7696"/>
    <w:rsid w:val="00323754"/>
    <w:rsid w:val="00334D9F"/>
    <w:rsid w:val="00347422"/>
    <w:rsid w:val="00352AAC"/>
    <w:rsid w:val="0035799F"/>
    <w:rsid w:val="0037143B"/>
    <w:rsid w:val="00397108"/>
    <w:rsid w:val="003A4EAC"/>
    <w:rsid w:val="003B30D9"/>
    <w:rsid w:val="003C05E5"/>
    <w:rsid w:val="003C4402"/>
    <w:rsid w:val="003C4495"/>
    <w:rsid w:val="003C782B"/>
    <w:rsid w:val="003E495B"/>
    <w:rsid w:val="003F07D5"/>
    <w:rsid w:val="003F5A96"/>
    <w:rsid w:val="00401004"/>
    <w:rsid w:val="004043AF"/>
    <w:rsid w:val="00404FA3"/>
    <w:rsid w:val="0041024F"/>
    <w:rsid w:val="00411329"/>
    <w:rsid w:val="00413A7A"/>
    <w:rsid w:val="0043234A"/>
    <w:rsid w:val="00433D20"/>
    <w:rsid w:val="00437423"/>
    <w:rsid w:val="0045318F"/>
    <w:rsid w:val="00465304"/>
    <w:rsid w:val="004722A7"/>
    <w:rsid w:val="00475E33"/>
    <w:rsid w:val="004817F4"/>
    <w:rsid w:val="004833B2"/>
    <w:rsid w:val="004957BF"/>
    <w:rsid w:val="004B45D4"/>
    <w:rsid w:val="004E35B9"/>
    <w:rsid w:val="004F001F"/>
    <w:rsid w:val="00502E53"/>
    <w:rsid w:val="00506D9A"/>
    <w:rsid w:val="00514CF4"/>
    <w:rsid w:val="00515843"/>
    <w:rsid w:val="0052382F"/>
    <w:rsid w:val="00524ACD"/>
    <w:rsid w:val="00531072"/>
    <w:rsid w:val="005313C1"/>
    <w:rsid w:val="0054416E"/>
    <w:rsid w:val="00556ECE"/>
    <w:rsid w:val="005644BE"/>
    <w:rsid w:val="00567F39"/>
    <w:rsid w:val="0057580E"/>
    <w:rsid w:val="00580852"/>
    <w:rsid w:val="00582D3B"/>
    <w:rsid w:val="00582D6D"/>
    <w:rsid w:val="00591A0B"/>
    <w:rsid w:val="00596024"/>
    <w:rsid w:val="005B3DE6"/>
    <w:rsid w:val="005B40A1"/>
    <w:rsid w:val="005E6E59"/>
    <w:rsid w:val="005F6068"/>
    <w:rsid w:val="006129FF"/>
    <w:rsid w:val="00634240"/>
    <w:rsid w:val="00635029"/>
    <w:rsid w:val="0066021F"/>
    <w:rsid w:val="00671001"/>
    <w:rsid w:val="006745C1"/>
    <w:rsid w:val="006A01AB"/>
    <w:rsid w:val="006A556C"/>
    <w:rsid w:val="006A7F01"/>
    <w:rsid w:val="006B3F70"/>
    <w:rsid w:val="006C0EAA"/>
    <w:rsid w:val="006C5442"/>
    <w:rsid w:val="006D7699"/>
    <w:rsid w:val="006E68E5"/>
    <w:rsid w:val="006F0309"/>
    <w:rsid w:val="006F1529"/>
    <w:rsid w:val="006F3F76"/>
    <w:rsid w:val="007103AA"/>
    <w:rsid w:val="00711CB3"/>
    <w:rsid w:val="0071273D"/>
    <w:rsid w:val="00731F69"/>
    <w:rsid w:val="007574ED"/>
    <w:rsid w:val="00781B5A"/>
    <w:rsid w:val="00784D4B"/>
    <w:rsid w:val="00784D75"/>
    <w:rsid w:val="00792A37"/>
    <w:rsid w:val="007A74EF"/>
    <w:rsid w:val="007E2DAC"/>
    <w:rsid w:val="008037E2"/>
    <w:rsid w:val="008043AF"/>
    <w:rsid w:val="00814965"/>
    <w:rsid w:val="008211A9"/>
    <w:rsid w:val="00824CF3"/>
    <w:rsid w:val="00832B21"/>
    <w:rsid w:val="00842EB5"/>
    <w:rsid w:val="00851594"/>
    <w:rsid w:val="00865ABF"/>
    <w:rsid w:val="00877A81"/>
    <w:rsid w:val="00881C20"/>
    <w:rsid w:val="0089054F"/>
    <w:rsid w:val="008939C3"/>
    <w:rsid w:val="00897F27"/>
    <w:rsid w:val="008A7F33"/>
    <w:rsid w:val="008B4AF1"/>
    <w:rsid w:val="008C5F5C"/>
    <w:rsid w:val="008C64FE"/>
    <w:rsid w:val="008D11DC"/>
    <w:rsid w:val="008D6C1B"/>
    <w:rsid w:val="008E4429"/>
    <w:rsid w:val="008E583A"/>
    <w:rsid w:val="008E7172"/>
    <w:rsid w:val="00905261"/>
    <w:rsid w:val="009159F1"/>
    <w:rsid w:val="0092209D"/>
    <w:rsid w:val="009242DD"/>
    <w:rsid w:val="00925535"/>
    <w:rsid w:val="00926BBB"/>
    <w:rsid w:val="00933EB5"/>
    <w:rsid w:val="00955C6E"/>
    <w:rsid w:val="00957CF8"/>
    <w:rsid w:val="00970327"/>
    <w:rsid w:val="00973ADE"/>
    <w:rsid w:val="00976E37"/>
    <w:rsid w:val="00977647"/>
    <w:rsid w:val="009829AA"/>
    <w:rsid w:val="0099340B"/>
    <w:rsid w:val="00997E58"/>
    <w:rsid w:val="009A17DA"/>
    <w:rsid w:val="009A42EA"/>
    <w:rsid w:val="009B2812"/>
    <w:rsid w:val="009C4A7B"/>
    <w:rsid w:val="009C6525"/>
    <w:rsid w:val="009D2B91"/>
    <w:rsid w:val="009F1BE6"/>
    <w:rsid w:val="009F1D2A"/>
    <w:rsid w:val="00A07F98"/>
    <w:rsid w:val="00A22D76"/>
    <w:rsid w:val="00A33ABB"/>
    <w:rsid w:val="00A46DA1"/>
    <w:rsid w:val="00A54F93"/>
    <w:rsid w:val="00A61589"/>
    <w:rsid w:val="00A6617F"/>
    <w:rsid w:val="00A74273"/>
    <w:rsid w:val="00A7438A"/>
    <w:rsid w:val="00AA3300"/>
    <w:rsid w:val="00AB56D4"/>
    <w:rsid w:val="00AB611D"/>
    <w:rsid w:val="00AC46F8"/>
    <w:rsid w:val="00AC492B"/>
    <w:rsid w:val="00AC5684"/>
    <w:rsid w:val="00AD1203"/>
    <w:rsid w:val="00AD2848"/>
    <w:rsid w:val="00AD5C65"/>
    <w:rsid w:val="00B12F77"/>
    <w:rsid w:val="00B3202E"/>
    <w:rsid w:val="00B452EB"/>
    <w:rsid w:val="00B45310"/>
    <w:rsid w:val="00B454E4"/>
    <w:rsid w:val="00B527BB"/>
    <w:rsid w:val="00B57661"/>
    <w:rsid w:val="00B6019E"/>
    <w:rsid w:val="00B8782D"/>
    <w:rsid w:val="00B90508"/>
    <w:rsid w:val="00B965D6"/>
    <w:rsid w:val="00BA4BF8"/>
    <w:rsid w:val="00BB0C9B"/>
    <w:rsid w:val="00BC5B0D"/>
    <w:rsid w:val="00BC6665"/>
    <w:rsid w:val="00BD318C"/>
    <w:rsid w:val="00BD3AFA"/>
    <w:rsid w:val="00BD79D6"/>
    <w:rsid w:val="00BF045E"/>
    <w:rsid w:val="00BF6D55"/>
    <w:rsid w:val="00C12E06"/>
    <w:rsid w:val="00C203C8"/>
    <w:rsid w:val="00C32B55"/>
    <w:rsid w:val="00C5797C"/>
    <w:rsid w:val="00C663F9"/>
    <w:rsid w:val="00C9691A"/>
    <w:rsid w:val="00CA21D3"/>
    <w:rsid w:val="00CA3004"/>
    <w:rsid w:val="00CA61CB"/>
    <w:rsid w:val="00CB704D"/>
    <w:rsid w:val="00CC0B4E"/>
    <w:rsid w:val="00CC71EB"/>
    <w:rsid w:val="00CE0135"/>
    <w:rsid w:val="00CE666B"/>
    <w:rsid w:val="00D45FF4"/>
    <w:rsid w:val="00D60B26"/>
    <w:rsid w:val="00D76559"/>
    <w:rsid w:val="00D7669A"/>
    <w:rsid w:val="00D94EED"/>
    <w:rsid w:val="00D95D25"/>
    <w:rsid w:val="00DB1DFE"/>
    <w:rsid w:val="00DB4095"/>
    <w:rsid w:val="00DB5FB6"/>
    <w:rsid w:val="00DE6A18"/>
    <w:rsid w:val="00DF0641"/>
    <w:rsid w:val="00DF6864"/>
    <w:rsid w:val="00E0079F"/>
    <w:rsid w:val="00E01FA0"/>
    <w:rsid w:val="00E15381"/>
    <w:rsid w:val="00E15CC0"/>
    <w:rsid w:val="00E305BF"/>
    <w:rsid w:val="00E405EF"/>
    <w:rsid w:val="00E426A2"/>
    <w:rsid w:val="00E508EC"/>
    <w:rsid w:val="00E56C03"/>
    <w:rsid w:val="00E73C96"/>
    <w:rsid w:val="00E827CE"/>
    <w:rsid w:val="00E92607"/>
    <w:rsid w:val="00E93AAB"/>
    <w:rsid w:val="00EA5404"/>
    <w:rsid w:val="00EB2EA1"/>
    <w:rsid w:val="00EB7469"/>
    <w:rsid w:val="00ED2946"/>
    <w:rsid w:val="00ED3D4B"/>
    <w:rsid w:val="00EE1A14"/>
    <w:rsid w:val="00EF2932"/>
    <w:rsid w:val="00F13001"/>
    <w:rsid w:val="00F21305"/>
    <w:rsid w:val="00F2711F"/>
    <w:rsid w:val="00F34965"/>
    <w:rsid w:val="00F46DCA"/>
    <w:rsid w:val="00F547E6"/>
    <w:rsid w:val="00F67E15"/>
    <w:rsid w:val="00F72463"/>
    <w:rsid w:val="00F72F8D"/>
    <w:rsid w:val="00F8278E"/>
    <w:rsid w:val="00F92A8E"/>
    <w:rsid w:val="00F97528"/>
    <w:rsid w:val="00FA35A8"/>
    <w:rsid w:val="00FB08BB"/>
    <w:rsid w:val="00FB4C20"/>
    <w:rsid w:val="00FC3B5F"/>
    <w:rsid w:val="00FC3DE9"/>
    <w:rsid w:val="00FC6F51"/>
    <w:rsid w:val="00FE1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2894"/>
  <w15:docId w15:val="{0E9B5F2B-96B1-F441-B25F-8F9BA9EE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61CB"/>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Heading1">
    <w:name w:val="heading 1"/>
    <w:basedOn w:val="Normal"/>
    <w:next w:val="Normal"/>
    <w:pPr>
      <w:keepNext/>
      <w:keepLines/>
      <w:spacing w:after="120"/>
      <w:outlineLvl w:val="0"/>
    </w:pPr>
    <w:rPr>
      <w:color w:val="0077BE"/>
      <w:sz w:val="36"/>
      <w:szCs w:val="36"/>
    </w:rPr>
  </w:style>
  <w:style w:type="paragraph" w:styleId="Heading2">
    <w:name w:val="heading 2"/>
    <w:basedOn w:val="Normal"/>
    <w:next w:val="Normal"/>
    <w:pPr>
      <w:keepNext/>
      <w:keepLines/>
      <w:spacing w:before="480"/>
      <w:outlineLvl w:val="1"/>
    </w:pPr>
    <w:rPr>
      <w:b/>
      <w:color w:val="0D8D93"/>
      <w:sz w:val="30"/>
      <w:szCs w:val="30"/>
    </w:rPr>
  </w:style>
  <w:style w:type="paragraph" w:styleId="Heading3">
    <w:name w:val="heading 3"/>
    <w:basedOn w:val="Normal"/>
    <w:next w:val="Normal"/>
    <w:pPr>
      <w:keepNext/>
      <w:keepLines/>
      <w:spacing w:before="200" w:after="120"/>
      <w:outlineLvl w:val="2"/>
    </w:pPr>
    <w:rPr>
      <w:i/>
      <w:color w:val="0075C1"/>
      <w:sz w:val="26"/>
      <w:szCs w:val="26"/>
    </w:rPr>
  </w:style>
  <w:style w:type="paragraph" w:styleId="Heading4">
    <w:name w:val="heading 4"/>
    <w:basedOn w:val="Normal"/>
    <w:next w:val="Normal"/>
    <w:pPr>
      <w:keepNext/>
      <w:keepLines/>
      <w:outlineLvl w:val="3"/>
    </w:pPr>
    <w:rPr>
      <w:b/>
      <w:color w:val="0070C0"/>
      <w:sz w:val="28"/>
      <w:szCs w:val="28"/>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Proxima Nova" w:eastAsia="Proxima Nova" w:hAnsi="Proxima Nova" w:cs="Proxima Nova"/>
      <w:sz w:val="44"/>
      <w:szCs w:val="44"/>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5843"/>
    <w:rPr>
      <w:sz w:val="16"/>
      <w:szCs w:val="16"/>
    </w:rPr>
  </w:style>
  <w:style w:type="paragraph" w:styleId="CommentText">
    <w:name w:val="annotation text"/>
    <w:basedOn w:val="Normal"/>
    <w:link w:val="CommentTextChar"/>
    <w:uiPriority w:val="99"/>
    <w:semiHidden/>
    <w:unhideWhenUsed/>
    <w:rsid w:val="00515843"/>
    <w:rPr>
      <w:sz w:val="20"/>
      <w:szCs w:val="20"/>
    </w:rPr>
  </w:style>
  <w:style w:type="character" w:customStyle="1" w:styleId="CommentTextChar">
    <w:name w:val="Comment Text Char"/>
    <w:basedOn w:val="DefaultParagraphFont"/>
    <w:link w:val="CommentText"/>
    <w:uiPriority w:val="99"/>
    <w:semiHidden/>
    <w:rsid w:val="00515843"/>
    <w:rPr>
      <w:sz w:val="20"/>
      <w:szCs w:val="20"/>
    </w:rPr>
  </w:style>
  <w:style w:type="paragraph" w:styleId="CommentSubject">
    <w:name w:val="annotation subject"/>
    <w:basedOn w:val="CommentText"/>
    <w:next w:val="CommentText"/>
    <w:link w:val="CommentSubjectChar"/>
    <w:uiPriority w:val="99"/>
    <w:semiHidden/>
    <w:unhideWhenUsed/>
    <w:rsid w:val="00515843"/>
    <w:rPr>
      <w:b/>
      <w:bCs/>
    </w:rPr>
  </w:style>
  <w:style w:type="character" w:customStyle="1" w:styleId="CommentSubjectChar">
    <w:name w:val="Comment Subject Char"/>
    <w:basedOn w:val="CommentTextChar"/>
    <w:link w:val="CommentSubject"/>
    <w:uiPriority w:val="99"/>
    <w:semiHidden/>
    <w:rsid w:val="00515843"/>
    <w:rPr>
      <w:b/>
      <w:bCs/>
      <w:sz w:val="20"/>
      <w:szCs w:val="20"/>
    </w:rPr>
  </w:style>
  <w:style w:type="paragraph" w:styleId="BalloonText">
    <w:name w:val="Balloon Text"/>
    <w:basedOn w:val="Normal"/>
    <w:link w:val="BalloonTextChar"/>
    <w:uiPriority w:val="99"/>
    <w:semiHidden/>
    <w:unhideWhenUsed/>
    <w:rsid w:val="00515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o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ListParagraph">
    <w:name w:val="List Paragraph"/>
    <w:basedOn w:val="Normal"/>
    <w:uiPriority w:val="34"/>
    <w:qFormat/>
    <w:rsid w:val="00AD5C65"/>
    <w:pPr>
      <w:ind w:left="720"/>
      <w:contextualSpacing/>
    </w:pPr>
  </w:style>
  <w:style w:type="character" w:styleId="Hyperlink">
    <w:name w:val="Hyperlink"/>
    <w:basedOn w:val="DefaultParagraphFont"/>
    <w:uiPriority w:val="99"/>
    <w:unhideWhenUsed/>
    <w:rsid w:val="00F8278E"/>
    <w:rPr>
      <w:color w:val="0000FF" w:themeColor="hyperlink"/>
      <w:u w:val="single"/>
    </w:rPr>
  </w:style>
  <w:style w:type="character" w:customStyle="1" w:styleId="UnresolvedMention1">
    <w:name w:val="Unresolved Mention1"/>
    <w:basedOn w:val="DefaultParagraphFont"/>
    <w:uiPriority w:val="99"/>
    <w:rsid w:val="00F8278E"/>
    <w:rPr>
      <w:color w:val="605E5C"/>
      <w:shd w:val="clear" w:color="auto" w:fill="E1DFDD"/>
    </w:rPr>
  </w:style>
  <w:style w:type="table" w:styleId="TableGrid">
    <w:name w:val="Table Grid"/>
    <w:basedOn w:val="Table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17D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eryprogres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6A787-E399-154A-97E7-0936D61F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13</Pages>
  <Words>3047</Words>
  <Characters>15754</Characters>
  <Application>Microsoft Office Word</Application>
  <DocSecurity>0</DocSecurity>
  <Lines>302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M Shiham Adam</cp:lastModifiedBy>
  <cp:revision>67</cp:revision>
  <dcterms:created xsi:type="dcterms:W3CDTF">2021-03-14T07:53:00Z</dcterms:created>
  <dcterms:modified xsi:type="dcterms:W3CDTF">2024-12-01T07:53:00Z</dcterms:modified>
</cp:coreProperties>
</file>